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09163">
      <w:pPr>
        <w:pStyle w:val="3"/>
        <w:keepNext w:val="0"/>
        <w:keepLines w:val="0"/>
        <w:widowControl/>
        <w:suppressLineNumbers w:val="0"/>
        <w:spacing w:line="140" w:lineRule="atLeast"/>
        <w:rPr>
          <w:rFonts w:hint="default" w:ascii="Arial Narrow" w:hAnsi="Arial Narrow" w:eastAsia="Arial Narrow" w:cs="Arial Narrow"/>
          <w:b/>
          <w:bCs/>
          <w:i w:val="0"/>
          <w:iCs w:val="0"/>
          <w:color w:val="000000"/>
          <w:spacing w:val="0"/>
          <w:sz w:val="14"/>
          <w:szCs w:val="14"/>
        </w:rPr>
      </w:pPr>
    </w:p>
    <w:p w14:paraId="52F35871">
      <w:pPr>
        <w:pStyle w:val="3"/>
        <w:keepNext w:val="0"/>
        <w:keepLines w:val="0"/>
        <w:widowControl/>
        <w:suppressLineNumbers w:val="0"/>
        <w:spacing w:line="140" w:lineRule="atLeast"/>
        <w:jc w:val="center"/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Summary of GRADE evidence quality and effect estimates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724"/>
        <w:gridCol w:w="869"/>
        <w:gridCol w:w="1013"/>
        <w:gridCol w:w="1013"/>
        <w:gridCol w:w="1013"/>
        <w:gridCol w:w="1013"/>
        <w:gridCol w:w="1592"/>
        <w:gridCol w:w="1158"/>
        <w:gridCol w:w="1158"/>
        <w:gridCol w:w="1158"/>
        <w:gridCol w:w="869"/>
        <w:gridCol w:w="1448"/>
        <w:gridCol w:w="1448"/>
      </w:tblGrid>
      <w:tr w14:paraId="4DC2A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tblHeader/>
        </w:trPr>
        <w:tc>
          <w:tcPr>
            <w:tcW w:w="0" w:type="auto"/>
            <w:gridSpan w:val="7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44DE01EC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</w:pPr>
          </w:p>
          <w:p w14:paraId="4925E696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Certainty assessment</w:t>
            </w:r>
          </w:p>
        </w:tc>
        <w:tc>
          <w:tcPr>
            <w:tcW w:w="0" w:type="auto"/>
            <w:gridSpan w:val="2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6E82477E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№ of patients</w:t>
            </w:r>
          </w:p>
        </w:tc>
        <w:tc>
          <w:tcPr>
            <w:tcW w:w="0" w:type="auto"/>
            <w:gridSpan w:val="2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68A21DDA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7CEE2C1F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Certainty</w:t>
            </w:r>
          </w:p>
        </w:tc>
        <w:tc>
          <w:tcPr>
            <w:tcW w:w="0" w:type="auto"/>
            <w:vMerge w:val="restart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26212A51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Importance</w:t>
            </w:r>
          </w:p>
        </w:tc>
      </w:tr>
      <w:tr w14:paraId="5DFD5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  <w:tblHeader/>
        </w:trPr>
        <w:tc>
          <w:tcPr>
            <w:tcW w:w="0" w:type="auto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32C99EEB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№ of studies</w:t>
            </w:r>
          </w:p>
        </w:tc>
        <w:tc>
          <w:tcPr>
            <w:tcW w:w="0" w:type="auto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1D126C6F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Study design</w:t>
            </w:r>
          </w:p>
        </w:tc>
        <w:tc>
          <w:tcPr>
            <w:tcW w:w="0" w:type="auto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6F20E839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Risk of bias</w:t>
            </w:r>
          </w:p>
        </w:tc>
        <w:tc>
          <w:tcPr>
            <w:tcW w:w="0" w:type="auto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278206B9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Inconsistency</w:t>
            </w:r>
          </w:p>
        </w:tc>
        <w:tc>
          <w:tcPr>
            <w:tcW w:w="0" w:type="auto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125E2A28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Indirectness</w:t>
            </w:r>
          </w:p>
        </w:tc>
        <w:tc>
          <w:tcPr>
            <w:tcW w:w="0" w:type="auto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750BAE19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Imprecision</w:t>
            </w:r>
          </w:p>
        </w:tc>
        <w:tc>
          <w:tcPr>
            <w:tcW w:w="0" w:type="auto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7776ABF3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Other considerations</w:t>
            </w:r>
          </w:p>
        </w:tc>
        <w:tc>
          <w:tcPr>
            <w:tcW w:w="0" w:type="auto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472D8AC6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Exercise-based rehabilitation</w:t>
            </w:r>
          </w:p>
        </w:tc>
        <w:tc>
          <w:tcPr>
            <w:tcW w:w="0" w:type="auto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39A6107E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Routine rehabilitation</w:t>
            </w:r>
          </w:p>
        </w:tc>
        <w:tc>
          <w:tcPr>
            <w:tcW w:w="0" w:type="auto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0204B36C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Relative</w:t>
            </w: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(95% CI)</w:t>
            </w:r>
          </w:p>
        </w:tc>
        <w:tc>
          <w:tcPr>
            <w:tcW w:w="0" w:type="auto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79B09980">
            <w:pPr>
              <w:keepNext w:val="0"/>
              <w:keepLines w:val="0"/>
              <w:widowControl/>
              <w:suppressLineNumbers w:val="0"/>
              <w:shd w:val="clear" w:fill="2F5496"/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Absolute</w:t>
            </w: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kern w:val="0"/>
                <w:sz w:val="13"/>
                <w:szCs w:val="13"/>
                <w:lang w:val="en-US" w:eastAsia="zh-CN" w:bidi="ar"/>
              </w:rPr>
              <w:t>(95% CI)</w:t>
            </w:r>
          </w:p>
        </w:tc>
        <w:tc>
          <w:tcPr>
            <w:tcW w:w="500" w:type="pct"/>
            <w:vMerge w:val="continue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3C04AE1F">
            <w:pPr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</w:p>
        </w:tc>
        <w:tc>
          <w:tcPr>
            <w:tcW w:w="0" w:type="auto"/>
            <w:vMerge w:val="continue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shd w:val="clear" w:color="auto" w:fill="2F5496"/>
            <w:tcMar>
              <w:top w:w="38" w:type="dxa"/>
              <w:left w:w="38" w:type="dxa"/>
              <w:bottom w:w="38" w:type="dxa"/>
              <w:right w:w="38" w:type="dxa"/>
            </w:tcMar>
            <w:vAlign w:val="center"/>
          </w:tcPr>
          <w:p w14:paraId="4A3C0E27">
            <w:pPr>
              <w:jc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FFFFFF"/>
                <w:sz w:val="13"/>
                <w:szCs w:val="13"/>
              </w:rPr>
            </w:pPr>
          </w:p>
        </w:tc>
      </w:tr>
      <w:tr w14:paraId="2BA98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38" w:type="dxa"/>
            </w:tcMar>
            <w:vAlign w:val="center"/>
          </w:tcPr>
          <w:p w14:paraId="1A1594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Kinesiophobia</w:t>
            </w:r>
          </w:p>
        </w:tc>
      </w:tr>
      <w:tr w14:paraId="132F4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2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1CAC7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11</w:t>
            </w:r>
          </w:p>
        </w:tc>
        <w:tc>
          <w:tcPr>
            <w:tcW w:w="3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08AEE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randomised trials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FD01E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9E47E1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F8DF7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BA0B6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5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D9E2A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0861C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  <w:lang w:val="en-US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5</w:t>
            </w:r>
            <w:r>
              <w:rPr>
                <w:rFonts w:hint="eastAsia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50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D25DA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  <w:lang w:val="en-US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5</w:t>
            </w:r>
            <w:r>
              <w:rPr>
                <w:rFonts w:hint="eastAsia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46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95588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52297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SMD </w:t>
            </w: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1</w:t>
            </w:r>
            <w:r>
              <w:rPr>
                <w:rFonts w:hint="eastAsia" w:eastAsia="Arial Narrow" w:cs="Times New Roman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.22</w:t>
            </w: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 lower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</w:t>
            </w:r>
            <w:r>
              <w:rPr>
                <w:rFonts w:hint="eastAsia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1.72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 lower to 0.</w:t>
            </w:r>
            <w:r>
              <w:rPr>
                <w:rFonts w:hint="eastAsia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72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 lower)</w:t>
            </w:r>
          </w:p>
        </w:tc>
        <w:tc>
          <w:tcPr>
            <w:tcW w:w="3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09BC2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GRADE-quality" w:cs="Times New Roman"/>
                <w:i w:val="0"/>
                <w:iCs w:val="0"/>
                <w:kern w:val="0"/>
                <w:sz w:val="10"/>
                <w:szCs w:val="10"/>
                <w:lang w:val="en-US" w:eastAsia="zh-CN" w:bidi="ar"/>
              </w:rPr>
              <w:t>⨁⨁◯◯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Low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a,b</w:t>
            </w:r>
          </w:p>
        </w:tc>
        <w:tc>
          <w:tcPr>
            <w:tcW w:w="5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CAEC5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CRITICAL</w:t>
            </w:r>
          </w:p>
        </w:tc>
      </w:tr>
      <w:tr w14:paraId="37B24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38" w:type="dxa"/>
            </w:tcMar>
            <w:vAlign w:val="center"/>
          </w:tcPr>
          <w:p w14:paraId="6F3B8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Knee joint function</w:t>
            </w:r>
          </w:p>
        </w:tc>
      </w:tr>
      <w:tr w14:paraId="39BE7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2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DEDA4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10</w:t>
            </w:r>
          </w:p>
        </w:tc>
        <w:tc>
          <w:tcPr>
            <w:tcW w:w="3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C4457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randomised trials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E2DBA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5D13F1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B160F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0FBCD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5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93FE6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474620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501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51F92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497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2AA961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86897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SMD </w:t>
            </w: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1.19 higher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(0.67 higher to 1.71 higher)</w:t>
            </w:r>
          </w:p>
        </w:tc>
        <w:tc>
          <w:tcPr>
            <w:tcW w:w="3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03EE7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GRADE-quality" w:cs="Times New Roman"/>
                <w:i w:val="0"/>
                <w:iCs w:val="0"/>
                <w:kern w:val="0"/>
                <w:sz w:val="10"/>
                <w:szCs w:val="10"/>
                <w:lang w:val="en-US" w:eastAsia="zh-CN" w:bidi="ar"/>
              </w:rPr>
              <w:t>⨁⨁◯◯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Low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a,b</w:t>
            </w:r>
          </w:p>
        </w:tc>
        <w:tc>
          <w:tcPr>
            <w:tcW w:w="5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943F0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CRITICAL</w:t>
            </w:r>
          </w:p>
        </w:tc>
      </w:tr>
      <w:tr w14:paraId="2471C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38" w:type="dxa"/>
            </w:tcMar>
            <w:vAlign w:val="center"/>
          </w:tcPr>
          <w:p w14:paraId="1751B7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pain</w:t>
            </w:r>
          </w:p>
        </w:tc>
      </w:tr>
      <w:tr w14:paraId="32BD9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2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8F793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7</w:t>
            </w:r>
          </w:p>
        </w:tc>
        <w:tc>
          <w:tcPr>
            <w:tcW w:w="3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24CE1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randomised trials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E5802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EA78D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8032B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F9A54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5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B59B4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9FC5C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367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8D77F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364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16E17F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CD45E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SMD </w:t>
            </w: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0.71 lower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(1.21 lower to 0.21 lower)</w:t>
            </w:r>
          </w:p>
        </w:tc>
        <w:tc>
          <w:tcPr>
            <w:tcW w:w="3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1F26B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GRADE-quality" w:cs="Times New Roman"/>
                <w:i w:val="0"/>
                <w:iCs w:val="0"/>
                <w:kern w:val="0"/>
                <w:sz w:val="10"/>
                <w:szCs w:val="10"/>
                <w:lang w:val="en-US" w:eastAsia="zh-CN" w:bidi="ar"/>
              </w:rPr>
              <w:t>⨁⨁◯◯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Low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a,b</w:t>
            </w:r>
          </w:p>
        </w:tc>
        <w:tc>
          <w:tcPr>
            <w:tcW w:w="5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89049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CRITICAL</w:t>
            </w:r>
          </w:p>
        </w:tc>
      </w:tr>
      <w:tr w14:paraId="1E32B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38" w:type="dxa"/>
            </w:tcMar>
            <w:vAlign w:val="center"/>
          </w:tcPr>
          <w:p w14:paraId="0DB3B2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BBS</w:t>
            </w:r>
          </w:p>
        </w:tc>
      </w:tr>
      <w:tr w14:paraId="4EB76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2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A5149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2</w:t>
            </w:r>
          </w:p>
        </w:tc>
        <w:tc>
          <w:tcPr>
            <w:tcW w:w="3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48BEB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randomised trials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63036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91802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2AD30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541DF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5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5933F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C6367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148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5225A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147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33B24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66C14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MD </w:t>
            </w: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4.5 higher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(2.97 higher to 6.02 higher)</w:t>
            </w:r>
          </w:p>
        </w:tc>
        <w:tc>
          <w:tcPr>
            <w:tcW w:w="3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BDBF7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GRADE-quality" w:cs="Times New Roman"/>
                <w:i w:val="0"/>
                <w:iCs w:val="0"/>
                <w:kern w:val="0"/>
                <w:sz w:val="10"/>
                <w:szCs w:val="10"/>
                <w:lang w:val="en-US" w:eastAsia="zh-CN" w:bidi="ar"/>
              </w:rPr>
              <w:t>⨁◯◯◯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Very Low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a,c</w:t>
            </w:r>
          </w:p>
        </w:tc>
        <w:tc>
          <w:tcPr>
            <w:tcW w:w="5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92FA3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IMPORTANT</w:t>
            </w:r>
          </w:p>
        </w:tc>
      </w:tr>
      <w:tr w14:paraId="18B8D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38" w:type="dxa"/>
            </w:tcMar>
            <w:vAlign w:val="center"/>
          </w:tcPr>
          <w:p w14:paraId="61E4F6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Time to first mobilization</w:t>
            </w:r>
          </w:p>
        </w:tc>
      </w:tr>
      <w:tr w14:paraId="52749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2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E952A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2</w:t>
            </w:r>
          </w:p>
        </w:tc>
        <w:tc>
          <w:tcPr>
            <w:tcW w:w="3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9E528F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randomised trials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3877D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982DC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2144A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C416B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5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9C7F6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1AF44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103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C9A5E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102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46999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6ADD6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MD </w:t>
            </w: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6.49 lower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(8.3 lower to 4.67 lower)</w:t>
            </w:r>
          </w:p>
        </w:tc>
        <w:tc>
          <w:tcPr>
            <w:tcW w:w="3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46D77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GRADE-quality" w:cs="Times New Roman"/>
                <w:i w:val="0"/>
                <w:iCs w:val="0"/>
                <w:kern w:val="0"/>
                <w:sz w:val="10"/>
                <w:szCs w:val="10"/>
                <w:lang w:val="en-US" w:eastAsia="zh-CN" w:bidi="ar"/>
              </w:rPr>
              <w:t>⨁◯◯◯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Very Low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a,c</w:t>
            </w:r>
          </w:p>
        </w:tc>
        <w:tc>
          <w:tcPr>
            <w:tcW w:w="5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EDB03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IMPORTANT</w:t>
            </w:r>
          </w:p>
        </w:tc>
      </w:tr>
      <w:tr w14:paraId="4832F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0" w:type="auto"/>
            <w:gridSpan w:val="13"/>
            <w:shd w:val="clear" w:color="auto" w:fill="FFFFFF"/>
            <w:tcMar>
              <w:top w:w="38" w:type="dxa"/>
            </w:tcMar>
            <w:vAlign w:val="center"/>
          </w:tcPr>
          <w:p w14:paraId="627AB6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</w:pBdr>
              <w:jc w:val="left"/>
              <w:textAlignment w:val="center"/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00000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lang w:val="en-US" w:eastAsia="zh-CN" w:bidi="ar"/>
              </w:rPr>
              <w:t>Rehabilitation adherence</w:t>
            </w:r>
          </w:p>
        </w:tc>
      </w:tr>
      <w:tr w14:paraId="17D06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cantSplit/>
        </w:trPr>
        <w:tc>
          <w:tcPr>
            <w:tcW w:w="2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11A8E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2</w:t>
            </w:r>
          </w:p>
        </w:tc>
        <w:tc>
          <w:tcPr>
            <w:tcW w:w="3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1D38F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randomised trials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A7453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5CFB6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C21E2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not serious</w:t>
            </w:r>
          </w:p>
        </w:tc>
        <w:tc>
          <w:tcPr>
            <w:tcW w:w="3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5BA3A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serious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55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FC1BD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none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84006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139/149（93.3%） 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7B155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110/149（73.8%） </w:t>
            </w:r>
          </w:p>
        </w:tc>
        <w:tc>
          <w:tcPr>
            <w:tcW w:w="4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A540E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eastAsia" w:eastAsia="Arial Narrow" w:cs="Times New Roman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R </w:t>
            </w:r>
            <w:r>
              <w:rPr>
                <w:rFonts w:hint="eastAsia" w:eastAsia="Arial Narrow" w:cs="Times New Roman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5.11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</w:t>
            </w:r>
            <w:r>
              <w:rPr>
                <w:rFonts w:hint="eastAsia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2.42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 to</w:t>
            </w:r>
            <w:r>
              <w:rPr>
                <w:rFonts w:hint="eastAsia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 xml:space="preserve"> 10.78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5365DD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b/>
                <w:bCs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195 more per 1,000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(from 109 more to 266 more)</w:t>
            </w:r>
          </w:p>
        </w:tc>
        <w:tc>
          <w:tcPr>
            <w:tcW w:w="3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04B5CE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GRADE-quality" w:cs="Times New Roman"/>
                <w:i w:val="0"/>
                <w:iCs w:val="0"/>
                <w:kern w:val="0"/>
                <w:sz w:val="10"/>
                <w:szCs w:val="10"/>
                <w:lang w:val="en-US" w:eastAsia="zh-CN" w:bidi="ar"/>
              </w:rPr>
              <w:t>⨁◯◯◯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Very Low</w:t>
            </w: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vertAlign w:val="superscript"/>
                <w:lang w:val="en-US" w:eastAsia="zh-CN" w:bidi="ar"/>
              </w:rPr>
              <w:t>a,c</w:t>
            </w:r>
          </w:p>
        </w:tc>
        <w:tc>
          <w:tcPr>
            <w:tcW w:w="500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6E7A3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rial Narrow" w:cs="Times New Roman"/>
                <w:i w:val="0"/>
                <w:iCs w:val="0"/>
                <w:sz w:val="13"/>
                <w:szCs w:val="13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kern w:val="0"/>
                <w:sz w:val="13"/>
                <w:szCs w:val="13"/>
                <w:lang w:val="en-US" w:eastAsia="zh-CN" w:bidi="ar"/>
              </w:rPr>
              <w:t>IMPORTANT</w:t>
            </w:r>
          </w:p>
        </w:tc>
      </w:tr>
    </w:tbl>
    <w:p w14:paraId="0F6723D2">
      <w:pPr>
        <w:pStyle w:val="3"/>
        <w:keepNext w:val="0"/>
        <w:keepLines w:val="0"/>
        <w:widowControl/>
        <w:suppressLineNumbers w:val="0"/>
        <w:spacing w:line="140" w:lineRule="atLeas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sz w:val="14"/>
          <w:szCs w:val="14"/>
        </w:rPr>
        <w:t>CI</w:t>
      </w:r>
      <w:r>
        <w:rPr>
          <w:rFonts w:hint="eastAsia" w:cs="Times New Roman"/>
          <w:b/>
          <w:bCs/>
          <w:i w:val="0"/>
          <w:iCs w:val="0"/>
          <w:color w:val="000000"/>
          <w:spacing w:val="0"/>
          <w:sz w:val="14"/>
          <w:szCs w:val="14"/>
          <w:lang w:val="en-US" w:eastAsia="zh-CN"/>
        </w:rPr>
        <w:t>:</w:t>
      </w:r>
      <w:r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sz w:val="14"/>
          <w:szCs w:val="14"/>
        </w:rPr>
        <w:t xml:space="preserve"> </w:t>
      </w:r>
      <w:r>
        <w:rPr>
          <w:rFonts w:hint="default" w:ascii="Times New Roman" w:hAnsi="Times New Roman" w:eastAsia="Arial Narrow" w:cs="Times New Roman"/>
          <w:b w:val="0"/>
          <w:bCs w:val="0"/>
          <w:i w:val="0"/>
          <w:iCs w:val="0"/>
          <w:color w:val="000000"/>
          <w:spacing w:val="0"/>
          <w:sz w:val="14"/>
          <w:szCs w:val="14"/>
        </w:rPr>
        <w:t>confidence interval;</w:t>
      </w:r>
      <w:r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sz w:val="14"/>
          <w:szCs w:val="14"/>
        </w:rPr>
        <w:t xml:space="preserve"> MD</w:t>
      </w:r>
      <w:r>
        <w:rPr>
          <w:rFonts w:hint="eastAsia" w:cs="Times New Roman"/>
          <w:b/>
          <w:bCs/>
          <w:i w:val="0"/>
          <w:iCs w:val="0"/>
          <w:color w:val="000000"/>
          <w:spacing w:val="0"/>
          <w:sz w:val="14"/>
          <w:szCs w:val="14"/>
          <w:lang w:eastAsia="zh-CN"/>
        </w:rPr>
        <w:t>:</w:t>
      </w:r>
      <w:r>
        <w:rPr>
          <w:rFonts w:hint="eastAsia" w:cs="Times New Roman"/>
          <w:b/>
          <w:bCs/>
          <w:i w:val="0"/>
          <w:iCs w:val="0"/>
          <w:color w:val="000000"/>
          <w:spacing w:val="0"/>
          <w:sz w:val="14"/>
          <w:szCs w:val="14"/>
          <w:lang w:val="en-US" w:eastAsia="zh-CN"/>
        </w:rPr>
        <w:t xml:space="preserve"> </w:t>
      </w:r>
      <w:r>
        <w:rPr>
          <w:rFonts w:hint="default" w:ascii="Times New Roman" w:hAnsi="Times New Roman" w:eastAsia="Arial Narrow" w:cs="Times New Roman"/>
          <w:b w:val="0"/>
          <w:bCs w:val="0"/>
          <w:i w:val="0"/>
          <w:iCs w:val="0"/>
          <w:color w:val="000000"/>
          <w:spacing w:val="0"/>
          <w:sz w:val="14"/>
          <w:szCs w:val="14"/>
        </w:rPr>
        <w:t>mean difference;</w:t>
      </w:r>
      <w:r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sz w:val="14"/>
          <w:szCs w:val="14"/>
        </w:rPr>
        <w:t xml:space="preserve"> OR</w:t>
      </w:r>
      <w:r>
        <w:rPr>
          <w:rFonts w:hint="eastAsia" w:cs="Times New Roman"/>
          <w:b/>
          <w:bCs/>
          <w:i w:val="0"/>
          <w:iCs w:val="0"/>
          <w:color w:val="000000"/>
          <w:spacing w:val="0"/>
          <w:sz w:val="14"/>
          <w:szCs w:val="14"/>
          <w:lang w:eastAsia="zh-CN"/>
        </w:rPr>
        <w:t>:</w:t>
      </w:r>
      <w:r>
        <w:rPr>
          <w:rFonts w:hint="eastAsia" w:cs="Times New Roman"/>
          <w:b/>
          <w:bCs/>
          <w:i w:val="0"/>
          <w:iCs w:val="0"/>
          <w:color w:val="000000"/>
          <w:spacing w:val="0"/>
          <w:sz w:val="14"/>
          <w:szCs w:val="14"/>
          <w:lang w:val="en-US" w:eastAsia="zh-CN"/>
        </w:rPr>
        <w:t xml:space="preserve"> </w:t>
      </w:r>
      <w:r>
        <w:rPr>
          <w:rFonts w:hint="default" w:ascii="Times New Roman" w:hAnsi="Times New Roman" w:eastAsia="Arial Narrow" w:cs="Times New Roman"/>
          <w:b w:val="0"/>
          <w:bCs w:val="0"/>
          <w:i w:val="0"/>
          <w:iCs w:val="0"/>
          <w:color w:val="000000"/>
          <w:spacing w:val="0"/>
          <w:sz w:val="14"/>
          <w:szCs w:val="14"/>
        </w:rPr>
        <w:t>odds ratio;</w:t>
      </w:r>
      <w:r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sz w:val="14"/>
          <w:szCs w:val="14"/>
        </w:rPr>
        <w:t xml:space="preserve"> SMD</w:t>
      </w:r>
      <w:r>
        <w:rPr>
          <w:rFonts w:hint="eastAsia" w:cs="Times New Roman"/>
          <w:b/>
          <w:bCs/>
          <w:i w:val="0"/>
          <w:iCs w:val="0"/>
          <w:color w:val="000000"/>
          <w:spacing w:val="0"/>
          <w:sz w:val="14"/>
          <w:szCs w:val="14"/>
          <w:lang w:eastAsia="zh-CN"/>
        </w:rPr>
        <w:t>:</w:t>
      </w:r>
      <w:r>
        <w:rPr>
          <w:rFonts w:hint="eastAsia" w:cs="Times New Roman"/>
          <w:b/>
          <w:bCs/>
          <w:i w:val="0"/>
          <w:iCs w:val="0"/>
          <w:color w:val="000000"/>
          <w:spacing w:val="0"/>
          <w:sz w:val="14"/>
          <w:szCs w:val="14"/>
          <w:lang w:val="en-US" w:eastAsia="zh-CN"/>
        </w:rPr>
        <w:t xml:space="preserve"> </w:t>
      </w:r>
      <w:r>
        <w:rPr>
          <w:rFonts w:hint="default" w:ascii="Times New Roman" w:hAnsi="Times New Roman" w:eastAsia="Arial Narrow" w:cs="Times New Roman"/>
          <w:b w:val="0"/>
          <w:bCs w:val="0"/>
          <w:i w:val="0"/>
          <w:iCs w:val="0"/>
          <w:color w:val="000000"/>
          <w:spacing w:val="0"/>
          <w:sz w:val="14"/>
          <w:szCs w:val="14"/>
        </w:rPr>
        <w:t>standardised mean difference;</w:t>
      </w:r>
      <w:r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sz w:val="14"/>
          <w:szCs w:val="14"/>
        </w:rPr>
        <w:t xml:space="preserve"> BBS</w:t>
      </w:r>
      <w:r>
        <w:rPr>
          <w:rFonts w:hint="eastAsia" w:cs="Times New Roman"/>
          <w:b/>
          <w:bCs/>
          <w:i w:val="0"/>
          <w:iCs w:val="0"/>
          <w:color w:val="000000"/>
          <w:spacing w:val="0"/>
          <w:sz w:val="14"/>
          <w:szCs w:val="14"/>
          <w:lang w:eastAsia="zh-CN"/>
        </w:rPr>
        <w:t>:</w:t>
      </w:r>
      <w:r>
        <w:rPr>
          <w:rFonts w:hint="eastAsia" w:cs="Times New Roman"/>
          <w:b/>
          <w:bCs/>
          <w:i w:val="0"/>
          <w:iCs w:val="0"/>
          <w:color w:val="000000"/>
          <w:spacing w:val="0"/>
          <w:sz w:val="14"/>
          <w:szCs w:val="14"/>
          <w:lang w:val="en-US" w:eastAsia="zh-CN"/>
        </w:rPr>
        <w:t xml:space="preserve"> </w:t>
      </w:r>
      <w:r>
        <w:rPr>
          <w:rFonts w:hint="default" w:ascii="Times New Roman" w:hAnsi="Times New Roman" w:eastAsia="Arial Narrow" w:cs="Times New Roman"/>
          <w:b w:val="0"/>
          <w:bCs w:val="0"/>
          <w:i w:val="0"/>
          <w:iCs w:val="0"/>
          <w:color w:val="000000"/>
          <w:spacing w:val="0"/>
          <w:sz w:val="14"/>
          <w:szCs w:val="14"/>
        </w:rPr>
        <w:t>Berg Balance Scale;</w:t>
      </w:r>
      <w:r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sz w:val="14"/>
          <w:szCs w:val="14"/>
        </w:rPr>
        <w:t xml:space="preserve"> TSK</w:t>
      </w:r>
      <w:r>
        <w:rPr>
          <w:rFonts w:hint="eastAsia" w:cs="Times New Roman"/>
          <w:b/>
          <w:bCs/>
          <w:i w:val="0"/>
          <w:iCs w:val="0"/>
          <w:color w:val="000000"/>
          <w:spacing w:val="0"/>
          <w:sz w:val="14"/>
          <w:szCs w:val="14"/>
          <w:lang w:eastAsia="zh-CN"/>
        </w:rPr>
        <w:t>:</w:t>
      </w:r>
      <w:r>
        <w:rPr>
          <w:rFonts w:hint="eastAsia" w:cs="Times New Roman"/>
          <w:b/>
          <w:bCs/>
          <w:i w:val="0"/>
          <w:iCs w:val="0"/>
          <w:color w:val="000000"/>
          <w:spacing w:val="0"/>
          <w:sz w:val="14"/>
          <w:szCs w:val="14"/>
          <w:lang w:val="en-US" w:eastAsia="zh-CN"/>
        </w:rPr>
        <w:t xml:space="preserve"> </w:t>
      </w:r>
      <w:r>
        <w:rPr>
          <w:rFonts w:hint="default" w:ascii="Times New Roman" w:hAnsi="Times New Roman" w:eastAsia="Arial Narrow" w:cs="Times New Roman"/>
          <w:b w:val="0"/>
          <w:bCs w:val="0"/>
          <w:i w:val="0"/>
          <w:iCs w:val="0"/>
          <w:color w:val="000000"/>
          <w:spacing w:val="0"/>
          <w:sz w:val="14"/>
          <w:szCs w:val="14"/>
        </w:rPr>
        <w:t>Tampa Scale for Kinesiophobia</w:t>
      </w:r>
    </w:p>
    <w:p w14:paraId="443F45F8">
      <w:pPr>
        <w:pStyle w:val="2"/>
        <w:keepNext w:val="0"/>
        <w:keepLines w:val="0"/>
        <w:widowControl/>
        <w:suppressLineNumbers w:val="0"/>
        <w:spacing w:line="140" w:lineRule="atLeas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pacing w:val="0"/>
        </w:rPr>
        <w:t>Explanations</w:t>
      </w:r>
    </w:p>
    <w:p w14:paraId="3692E035">
      <w:pPr>
        <w:keepNext w:val="0"/>
        <w:keepLines w:val="0"/>
        <w:widowControl/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sz w:val="14"/>
          <w:szCs w:val="14"/>
        </w:rPr>
      </w:pP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a.</w:t>
      </w:r>
      <w:r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 xml:space="preserve"> Risk of bias:</w:t>
      </w: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 xml:space="preserve"> Performance bias was unavoidable due to the nature of exercise interventions (no participant/personnel blinding); allocation concealment was unclear in approximately half of included studies. Downgraded one level for serious risk of bias.</w:t>
      </w:r>
    </w:p>
    <w:p w14:paraId="7B016241">
      <w:pPr>
        <w:keepNext w:val="0"/>
        <w:keepLines w:val="0"/>
        <w:widowControl/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sz w:val="14"/>
          <w:szCs w:val="14"/>
        </w:rPr>
      </w:pP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 xml:space="preserve">b. </w:t>
      </w:r>
      <w:r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Inconsistency</w:t>
      </w:r>
      <w:bookmarkStart w:id="0" w:name="_GoBack"/>
      <w:r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:</w:t>
      </w:r>
      <w:r>
        <w:rPr>
          <w:rFonts w:hint="eastAsia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 xml:space="preserve"> </w:t>
      </w: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Substantial between-study heterogeneity</w:t>
      </w:r>
      <w:r>
        <w:rPr>
          <w:rFonts w:hint="eastAsia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 xml:space="preserve"> (</w:t>
      </w: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I² ≥ 50%</w:t>
      </w:r>
      <w:r>
        <w:rPr>
          <w:rFonts w:hint="eastAsia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 xml:space="preserve">) </w:t>
      </w: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was observed, driven by variability in intervention protocols, follow-up duration and outcome measurement instrum</w:t>
      </w:r>
      <w:bookmarkEnd w:id="0"/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ents. Downgraded one level for serious inconsistency.</w:t>
      </w:r>
    </w:p>
    <w:p w14:paraId="7C5F5AAA">
      <w:pPr>
        <w:keepNext w:val="0"/>
        <w:keepLines w:val="0"/>
        <w:widowControl/>
        <w:suppressLineNumbers w:val="0"/>
        <w:spacing w:line="140" w:lineRule="atLeast"/>
        <w:jc w:val="left"/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</w:pP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 xml:space="preserve">c. </w:t>
      </w:r>
      <w:r>
        <w:rPr>
          <w:rFonts w:hint="default" w:ascii="Times New Roman" w:hAnsi="Times New Roman" w:eastAsia="Arial Narrow" w:cs="Times New Roman"/>
          <w:b/>
          <w:bCs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>Imprecision:</w:t>
      </w:r>
      <w:r>
        <w:rPr>
          <w:rFonts w:hint="default" w:ascii="Times New Roman" w:hAnsi="Times New Roman" w:eastAsia="Arial Narrow" w:cs="Times New Roman"/>
          <w:i w:val="0"/>
          <w:iCs w:val="0"/>
          <w:color w:val="000000"/>
          <w:spacing w:val="0"/>
          <w:kern w:val="0"/>
          <w:sz w:val="14"/>
          <w:szCs w:val="14"/>
          <w:lang w:val="en-US" w:eastAsia="zh-CN" w:bidi="ar"/>
        </w:rPr>
        <w:t xml:space="preserve">  Each of these outcomes was based on only two small studies with limited total sample size and relatively wide confidence intervals. Downgraded two levels for very serious imprecision.</w:t>
      </w:r>
    </w:p>
    <w:sectPr>
      <w:pgSz w:w="15840" w:h="12240" w:orient="landscape"/>
      <w:pgMar w:top="720" w:right="720" w:bottom="720" w:left="7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GRADE-quality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F825365"/>
    <w:rsid w:val="3FEC0081"/>
    <w:rsid w:val="561778BD"/>
    <w:rsid w:val="59AE04F1"/>
    <w:rsid w:val="60A06D7A"/>
    <w:rsid w:val="66EF20CE"/>
    <w:rsid w:val="69704937"/>
    <w:rsid w:val="6A692A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343</Words>
  <Characters>1853</Characters>
  <TotalTime>10</TotalTime>
  <ScaleCrop>false</ScaleCrop>
  <LinksUpToDate>false</LinksUpToDate>
  <CharactersWithSpaces>2057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2026-07-12T00:57:00Z</dcterms:created>
  <dc:creator>温鸿博</dc:creator>
  <cp:lastModifiedBy>温鸿博</cp:lastModifiedBy>
  <dcterms:modified xsi:type="dcterms:W3CDTF">2026-09-06T01:12:20Z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eyJoZGlkIjoiM2RkNmQ0ZTY4N2Y3NDhiNzJkMjVkYWYwMjZjYzYzNjYiLCJ1c2VySWQiOiIxNzE2NTU0ODMwIn0=</vt:lpwstr>
  </property>
  <property fmtid="{D5CDD505-2E9C-101B-9397-08002B2CF9AE}" pid="3" name="KSOProductBuildVer">
    <vt:lpwstr>2052-12.1.0.28505</vt:lpwstr>
  </property>
  <property fmtid="{D5CDD505-2E9C-101B-9397-08002B2CF9AE}" pid="4" name="ICV">
    <vt:lpwstr>04894BD2ACCA47B288F5C2EC0FCBC97F_12</vt:lpwstr>
  </property>
</Properties>
</file>