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Times New Roman" w:hAnsi="Times New Roman"/>
          <w:b/>
          <w:sz w:val="26"/>
        </w:rPr>
        <w:t>GRADE Assessment of the Certainty of Evidence</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936"/>
        <w:gridCol w:w="2232"/>
        <w:gridCol w:w="1224"/>
        <w:gridCol w:w="1224"/>
        <w:gridCol w:w="1224"/>
        <w:gridCol w:w="1224"/>
        <w:gridCol w:w="1440"/>
        <w:gridCol w:w="1440"/>
      </w:tblGrid>
      <w:tr>
        <w:tc>
          <w:tcPr>
            <w:tcW w:w="1800" w:type="dxa"/>
            <w:vAlign w:val="center"/>
          </w:tcPr>
          <w:p>
            <w:pPr>
              <w:spacing w:after="0" w:line="240" w:lineRule="auto"/>
              <w:jc w:val="center"/>
            </w:pPr>
            <w:r>
              <w:rPr>
                <w:rFonts w:ascii="Times New Roman" w:hAnsi="Times New Roman"/>
                <w:b/>
                <w:sz w:val="17"/>
              </w:rPr>
              <w:t>Outcome</w:t>
            </w:r>
          </w:p>
        </w:tc>
        <w:tc>
          <w:tcPr>
            <w:tcW w:w="936" w:type="dxa"/>
            <w:vAlign w:val="center"/>
          </w:tcPr>
          <w:p>
            <w:pPr>
              <w:spacing w:after="0" w:line="240" w:lineRule="auto"/>
              <w:jc w:val="center"/>
            </w:pPr>
            <w:r>
              <w:rPr>
                <w:rFonts w:ascii="Times New Roman" w:hAnsi="Times New Roman"/>
                <w:b/>
                <w:sz w:val="17"/>
              </w:rPr>
              <w:t>No. of studies</w:t>
            </w:r>
          </w:p>
        </w:tc>
        <w:tc>
          <w:tcPr>
            <w:tcW w:w="2232" w:type="dxa"/>
            <w:vAlign w:val="center"/>
          </w:tcPr>
          <w:p>
            <w:pPr>
              <w:spacing w:after="0" w:line="240" w:lineRule="auto"/>
              <w:jc w:val="center"/>
            </w:pPr>
            <w:r>
              <w:rPr>
                <w:rFonts w:ascii="Times New Roman" w:hAnsi="Times New Roman"/>
                <w:b/>
                <w:sz w:val="17"/>
              </w:rPr>
              <w:t>Study design</w:t>
            </w:r>
          </w:p>
        </w:tc>
        <w:tc>
          <w:tcPr>
            <w:tcW w:w="1224" w:type="dxa"/>
            <w:vAlign w:val="center"/>
          </w:tcPr>
          <w:p>
            <w:pPr>
              <w:spacing w:after="0" w:line="240" w:lineRule="auto"/>
              <w:jc w:val="center"/>
            </w:pPr>
            <w:r>
              <w:rPr>
                <w:rFonts w:ascii="Times New Roman" w:hAnsi="Times New Roman"/>
                <w:b/>
                <w:sz w:val="17"/>
              </w:rPr>
              <w:t>Risk of bias</w:t>
            </w:r>
          </w:p>
        </w:tc>
        <w:tc>
          <w:tcPr>
            <w:tcW w:w="1224" w:type="dxa"/>
            <w:vAlign w:val="center"/>
          </w:tcPr>
          <w:p>
            <w:pPr>
              <w:spacing w:after="0" w:line="240" w:lineRule="auto"/>
              <w:jc w:val="center"/>
            </w:pPr>
            <w:r>
              <w:rPr>
                <w:rFonts w:ascii="Times New Roman" w:hAnsi="Times New Roman"/>
                <w:b/>
                <w:sz w:val="17"/>
              </w:rPr>
              <w:t>Inconsistency</w:t>
            </w:r>
          </w:p>
        </w:tc>
        <w:tc>
          <w:tcPr>
            <w:tcW w:w="1224" w:type="dxa"/>
            <w:vAlign w:val="center"/>
          </w:tcPr>
          <w:p>
            <w:pPr>
              <w:spacing w:after="0" w:line="240" w:lineRule="auto"/>
              <w:jc w:val="center"/>
            </w:pPr>
            <w:r>
              <w:rPr>
                <w:rFonts w:ascii="Times New Roman" w:hAnsi="Times New Roman"/>
                <w:b/>
                <w:sz w:val="17"/>
              </w:rPr>
              <w:t>Indirectness</w:t>
            </w:r>
          </w:p>
        </w:tc>
        <w:tc>
          <w:tcPr>
            <w:tcW w:w="1224" w:type="dxa"/>
            <w:vAlign w:val="center"/>
          </w:tcPr>
          <w:p>
            <w:pPr>
              <w:spacing w:after="0" w:line="240" w:lineRule="auto"/>
              <w:jc w:val="center"/>
            </w:pPr>
            <w:r>
              <w:rPr>
                <w:rFonts w:ascii="Times New Roman" w:hAnsi="Times New Roman"/>
                <w:b/>
                <w:sz w:val="17"/>
              </w:rPr>
              <w:t>Imprecision</w:t>
            </w:r>
          </w:p>
        </w:tc>
        <w:tc>
          <w:tcPr>
            <w:tcW w:w="1440" w:type="dxa"/>
            <w:vAlign w:val="center"/>
          </w:tcPr>
          <w:p>
            <w:pPr>
              <w:spacing w:after="0" w:line="240" w:lineRule="auto"/>
              <w:jc w:val="center"/>
            </w:pPr>
            <w:r>
              <w:rPr>
                <w:rFonts w:ascii="Times New Roman" w:hAnsi="Times New Roman"/>
                <w:b/>
                <w:sz w:val="17"/>
              </w:rPr>
              <w:t>Publication bias</w:t>
            </w:r>
          </w:p>
        </w:tc>
        <w:tc>
          <w:tcPr>
            <w:tcW w:w="1440" w:type="dxa"/>
            <w:vAlign w:val="center"/>
          </w:tcPr>
          <w:p>
            <w:pPr>
              <w:spacing w:after="0" w:line="240" w:lineRule="auto"/>
              <w:jc w:val="center"/>
            </w:pPr>
            <w:r>
              <w:rPr>
                <w:rFonts w:ascii="Times New Roman" w:hAnsi="Times New Roman"/>
                <w:b/>
                <w:sz w:val="17"/>
              </w:rPr>
              <w:t>Overall certainty</w:t>
            </w:r>
          </w:p>
        </w:tc>
      </w:tr>
      <w:tr>
        <w:tc>
          <w:tcPr>
            <w:tcW w:w="1800" w:type="dxa"/>
            <w:vAlign w:val="center"/>
          </w:tcPr>
          <w:p>
            <w:pPr>
              <w:spacing w:after="0" w:line="240" w:lineRule="auto"/>
              <w:jc w:val="center"/>
            </w:pPr>
            <w:r>
              <w:rPr>
                <w:rFonts w:ascii="Times New Roman" w:hAnsi="Times New Roman"/>
                <w:sz w:val="17"/>
              </w:rPr>
              <w:t>Ankle injury occurrence</w:t>
            </w:r>
          </w:p>
        </w:tc>
        <w:tc>
          <w:tcPr>
            <w:tcW w:w="936" w:type="dxa"/>
            <w:vAlign w:val="center"/>
          </w:tcPr>
          <w:p>
            <w:pPr>
              <w:spacing w:after="0" w:line="240" w:lineRule="auto"/>
              <w:jc w:val="center"/>
            </w:pPr>
            <w:r>
              <w:rPr>
                <w:rFonts w:ascii="Times New Roman" w:hAnsi="Times New Roman"/>
                <w:sz w:val="17"/>
              </w:rPr>
              <w:t>15</w:t>
            </w:r>
          </w:p>
        </w:tc>
        <w:tc>
          <w:tcPr>
            <w:tcW w:w="2232" w:type="dxa"/>
            <w:vAlign w:val="center"/>
          </w:tcPr>
          <w:p>
            <w:pPr>
              <w:spacing w:after="0" w:line="240" w:lineRule="auto"/>
              <w:jc w:val="center"/>
            </w:pPr>
            <w:r>
              <w:rPr>
                <w:rFonts w:ascii="Times New Roman" w:hAnsi="Times New Roman"/>
                <w:sz w:val="17"/>
              </w:rPr>
              <w:t>Randomized and cluster-randomized controlled trials</w:t>
            </w:r>
          </w:p>
        </w:tc>
        <w:tc>
          <w:tcPr>
            <w:tcW w:w="1224" w:type="dxa"/>
            <w:vAlign w:val="center"/>
          </w:tcPr>
          <w:p>
            <w:pPr>
              <w:spacing w:after="0" w:line="240" w:lineRule="auto"/>
              <w:jc w:val="center"/>
            </w:pPr>
            <w:r>
              <w:rPr>
                <w:rFonts w:ascii="Times New Roman" w:hAnsi="Times New Roman"/>
                <w:sz w:val="17"/>
              </w:rPr>
              <w:t>Not serious</w:t>
            </w:r>
          </w:p>
        </w:tc>
        <w:tc>
          <w:tcPr>
            <w:tcW w:w="1224" w:type="dxa"/>
            <w:vAlign w:val="center"/>
          </w:tcPr>
          <w:p>
            <w:pPr>
              <w:spacing w:after="0" w:line="240" w:lineRule="auto"/>
              <w:jc w:val="center"/>
            </w:pPr>
            <w:r>
              <w:rPr>
                <w:rFonts w:ascii="Times New Roman" w:hAnsi="Times New Roman"/>
                <w:sz w:val="17"/>
              </w:rPr>
              <w:t>Not serious</w:t>
            </w:r>
          </w:p>
        </w:tc>
        <w:tc>
          <w:tcPr>
            <w:tcW w:w="1224" w:type="dxa"/>
            <w:vAlign w:val="center"/>
          </w:tcPr>
          <w:p>
            <w:pPr>
              <w:spacing w:after="0" w:line="240" w:lineRule="auto"/>
              <w:jc w:val="center"/>
            </w:pPr>
            <w:r>
              <w:rPr>
                <w:rFonts w:ascii="Times New Roman" w:hAnsi="Times New Roman"/>
                <w:sz w:val="17"/>
              </w:rPr>
              <w:t>Not serious</w:t>
            </w:r>
          </w:p>
        </w:tc>
        <w:tc>
          <w:tcPr>
            <w:tcW w:w="1224" w:type="dxa"/>
            <w:vAlign w:val="center"/>
          </w:tcPr>
          <w:p>
            <w:pPr>
              <w:spacing w:after="0" w:line="240" w:lineRule="auto"/>
              <w:jc w:val="center"/>
            </w:pPr>
            <w:r>
              <w:rPr>
                <w:rFonts w:ascii="Times New Roman" w:hAnsi="Times New Roman"/>
                <w:sz w:val="17"/>
              </w:rPr>
              <w:t>Not serious</w:t>
            </w:r>
          </w:p>
        </w:tc>
        <w:tc>
          <w:tcPr>
            <w:tcW w:w="1440" w:type="dxa"/>
            <w:vAlign w:val="center"/>
          </w:tcPr>
          <w:p>
            <w:pPr>
              <w:spacing w:after="0" w:line="240" w:lineRule="auto"/>
              <w:jc w:val="center"/>
            </w:pPr>
            <w:r>
              <w:rPr>
                <w:rFonts w:ascii="Times New Roman" w:hAnsi="Times New Roman"/>
                <w:b/>
                <w:sz w:val="17"/>
              </w:rPr>
              <w:t>Serious¹</w:t>
            </w:r>
          </w:p>
        </w:tc>
        <w:tc>
          <w:tcPr>
            <w:tcW w:w="1440" w:type="dxa"/>
            <w:vAlign w:val="center"/>
          </w:tcPr>
          <w:p>
            <w:pPr>
              <w:spacing w:after="0" w:line="240" w:lineRule="auto"/>
              <w:jc w:val="center"/>
            </w:pPr>
            <w:r>
              <w:rPr>
                <w:rFonts w:ascii="Times New Roman" w:hAnsi="Times New Roman"/>
                <w:b/>
                <w:sz w:val="17"/>
              </w:rPr>
              <w:t>Moderate</w:t>
            </w:r>
            <w:r>
              <w:rPr>
                <w:rFonts w:ascii="Times New Roman" w:hAnsi="Times New Roman"/>
                <w:b/>
                <w:sz w:val="17"/>
              </w:rPr>
              <w:br w:type="textWrapping"/>
            </w:r>
            <w:r>
              <w:rPr>
                <w:rFonts w:ascii="Times New Roman" w:hAnsi="Times New Roman"/>
                <w:b/>
                <w:sz w:val="17"/>
              </w:rPr>
              <w:t>⊕⊕⊕◯</w:t>
            </w:r>
          </w:p>
        </w:tc>
      </w:tr>
    </w:tbl>
    <w:p/>
    <w:p>
      <w:bookmarkStart w:id="0" w:name="_GoBack"/>
      <w:r>
        <w:rPr>
          <w:b/>
          <w:sz w:val="20"/>
        </w:rPr>
        <w:t>Footnote</w:t>
      </w:r>
    </w:p>
    <w:p>
      <w:pPr>
        <w:spacing w:after="100"/>
      </w:pPr>
      <w:r>
        <w:rPr>
          <w:sz w:val="19"/>
        </w:rPr>
        <w:t>¹ Publication bias / small-study effects: Funnel plot asymmetry was observed, and Egger's regression test indicated potential small-study effects. Because funnel plot asymmetry may arise from causes other than publication bias, this finding was not interpreted as definitive evidence of publication bias; however, it was considered sufficient to downgrade the certainty of evidence by one level.</w:t>
      </w:r>
    </w:p>
    <w:p>
      <w:r>
        <w:rPr>
          <w:b/>
          <w:sz w:val="22"/>
        </w:rPr>
        <w:t>Rationale for GRADE judgements</w:t>
      </w:r>
    </w:p>
    <w:p>
      <w:pPr>
        <w:spacing w:after="60"/>
        <w:ind w:left="173" w:hanging="173"/>
      </w:pPr>
      <w:r>
        <w:rPr>
          <w:b/>
          <w:sz w:val="19"/>
        </w:rPr>
        <w:t xml:space="preserve">Risk of bias — Not serious. </w:t>
      </w:r>
      <w:r>
        <w:rPr>
          <w:sz w:val="19"/>
        </w:rPr>
        <w:t>Five of the 15 trials were judged to have a low overall risk of bias, nine raised some concerns, and one was judged to have a high overall risk of bias. Although methodological concerns were present in several studies, the overall findings were robust across sensitivity analyses and were not considered sufficiently severe to warrant downgrading the certainty of evidence.</w:t>
      </w:r>
    </w:p>
    <w:p>
      <w:pPr>
        <w:spacing w:after="60"/>
        <w:ind w:left="173" w:hanging="173"/>
      </w:pPr>
      <w:r>
        <w:rPr>
          <w:b/>
          <w:sz w:val="19"/>
        </w:rPr>
        <w:t xml:space="preserve">Inconsistency — Not serious. </w:t>
      </w:r>
      <w:r>
        <w:rPr>
          <w:sz w:val="19"/>
        </w:rPr>
        <w:t>Statistical heterogeneity in the primary analysis was relatively low (I² = 22.7%), and the direction of effect was generally consistent across the included studies and sensitivity analyses. Therefore, no downgrade was applied for inconsistency.</w:t>
      </w:r>
    </w:p>
    <w:p>
      <w:pPr>
        <w:spacing w:after="60"/>
        <w:ind w:left="173" w:hanging="173"/>
      </w:pPr>
      <w:r>
        <w:rPr>
          <w:b/>
          <w:sz w:val="19"/>
        </w:rPr>
        <w:t xml:space="preserve">Indirectness — Not serious. </w:t>
      </w:r>
      <w:r>
        <w:rPr>
          <w:sz w:val="19"/>
        </w:rPr>
        <w:t>The included studies directly evaluated ankle-specific injury outcomes in athletic populations receiving interventions incorporating proprioceptive or balance-oriented training. Although intervention composition and sporting populations varied, these differences were consistent with the scope of the review and were not considered sufficiently indirect to warrant downgrading.</w:t>
      </w:r>
    </w:p>
    <w:p>
      <w:pPr>
        <w:spacing w:after="60"/>
        <w:ind w:left="173" w:hanging="173"/>
      </w:pPr>
      <w:r>
        <w:rPr>
          <w:b/>
          <w:sz w:val="19"/>
        </w:rPr>
        <w:t xml:space="preserve">Imprecision — Not serious. </w:t>
      </w:r>
      <w:r>
        <w:rPr>
          <w:sz w:val="19"/>
        </w:rPr>
        <w:t>The pooled estimate demonstrated a preventive effect, and its confidence interval did not cross the null. The prediction interval approached but remained below the null. The overall evidence was therefore considered sufficiently precise for the primary conclusion.</w:t>
      </w:r>
    </w:p>
    <w:p>
      <w:pPr>
        <w:spacing w:after="60"/>
        <w:ind w:left="173" w:hanging="173"/>
      </w:pPr>
      <w:r>
        <w:rPr>
          <w:b/>
          <w:sz w:val="19"/>
        </w:rPr>
        <w:t xml:space="preserve">Publication bias — Serious. </w:t>
      </w:r>
      <w:r>
        <w:rPr>
          <w:sz w:val="19"/>
        </w:rPr>
        <w:t>Funnel plot asymmetry and Egger's regression test indicated potential small-study effects. Although these findings do not establish publication bias, the possibility of publication bias or related small-study effects could not be excluded, and the evidence was downgraded by one level.</w:t>
      </w:r>
    </w:p>
    <w:p>
      <w:pPr>
        <w:spacing w:after="60"/>
        <w:ind w:left="173" w:hanging="173"/>
      </w:pPr>
      <w:r>
        <w:rPr>
          <w:b/>
          <w:sz w:val="19"/>
        </w:rPr>
        <w:t xml:space="preserve">Overall certainty — Moderate (⊕⊕⊕◯). </w:t>
      </w:r>
      <w:r>
        <w:rPr>
          <w:sz w:val="19"/>
        </w:rPr>
        <w:t>The evidence originated from randomized and cluster-randomized controlled trials and therefore began at high certainty. One level was deducted for potential publication bias/small-study effects, resulting in moderate-certainty evidence.</w:t>
      </w:r>
    </w:p>
    <w:bookmarkEnd w:id="0"/>
    <w:sectPr>
      <w:pgSz w:w="15840" w:h="12240" w:orient="landscape"/>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宋体-简">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DDFC04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陈世伟</cp:lastModifiedBy>
  <dcterms:modified xsi:type="dcterms:W3CDTF">2026-10-13T19:17:09Z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29EE29F93B34EA473513CE6ACB634C13_42</vt:lpwstr>
  </property>
</Properties>
</file>