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5DC2" w:rsidRPr="000D3F1C" w:rsidRDefault="00000000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0D3F1C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Supplementary Table </w:t>
      </w:r>
      <w:r w:rsidRPr="000D3F1C">
        <w:rPr>
          <w:rFonts w:ascii="Times New Roman" w:eastAsia="Times New Roman" w:hAnsi="Times New Roman" w:cs="Times New Roman"/>
          <w:b/>
          <w:sz w:val="22"/>
          <w:szCs w:val="22"/>
        </w:rPr>
        <w:t>1</w:t>
      </w:r>
      <w:r w:rsidRPr="000D3F1C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: Subgroup Unadjusted Analysis of Risk Factors Associated With 30-Day Readmission in Patients Aged 65 Years And Above</w:t>
      </w:r>
    </w:p>
    <w:p w:rsidR="00275DC2" w:rsidRPr="000D3F1C" w:rsidRDefault="00275DC2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tbl>
      <w:tblPr>
        <w:tblStyle w:val="a"/>
        <w:tblW w:w="978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61"/>
        <w:gridCol w:w="1586"/>
        <w:gridCol w:w="2345"/>
        <w:gridCol w:w="601"/>
        <w:gridCol w:w="1754"/>
        <w:gridCol w:w="1134"/>
      </w:tblGrid>
      <w:tr w:rsidR="00275DC2" w:rsidRPr="000D3F1C">
        <w:trPr>
          <w:trHeight w:val="351"/>
          <w:jc w:val="center"/>
        </w:trPr>
        <w:tc>
          <w:tcPr>
            <w:tcW w:w="2361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b/>
                <w:color w:val="000000"/>
              </w:rPr>
              <w:t>Preoperative Risk Factors</w:t>
            </w:r>
          </w:p>
        </w:tc>
        <w:tc>
          <w:tcPr>
            <w:tcW w:w="1586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b/>
                <w:color w:val="000000"/>
              </w:rPr>
              <w:t>Not Readmitted</w:t>
            </w:r>
          </w:p>
          <w:p w:rsidR="00275DC2" w:rsidRPr="000D3F1C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b/>
                <w:color w:val="000000"/>
              </w:rPr>
              <w:t>(n = 1044)</w:t>
            </w:r>
          </w:p>
        </w:tc>
        <w:tc>
          <w:tcPr>
            <w:tcW w:w="234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b/>
                <w:color w:val="000000"/>
              </w:rPr>
              <w:t>Readmitted Within 30 Days</w:t>
            </w:r>
          </w:p>
          <w:p w:rsidR="00275DC2" w:rsidRPr="000D3F1C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b/>
                <w:color w:val="000000"/>
              </w:rPr>
              <w:t>(n = 127)</w:t>
            </w:r>
          </w:p>
        </w:tc>
        <w:tc>
          <w:tcPr>
            <w:tcW w:w="601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b/>
                <w:color w:val="000000"/>
              </w:rPr>
              <w:t>OR</w:t>
            </w:r>
          </w:p>
        </w:tc>
        <w:tc>
          <w:tcPr>
            <w:tcW w:w="1754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b/>
                <w:color w:val="000000"/>
              </w:rPr>
              <w:t>95% CI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b/>
                <w:color w:val="000000"/>
              </w:rPr>
              <w:t>p-value</w:t>
            </w:r>
          </w:p>
        </w:tc>
      </w:tr>
      <w:tr w:rsidR="00275DC2" w:rsidRPr="000D3F1C">
        <w:trPr>
          <w:trHeight w:val="161"/>
          <w:jc w:val="center"/>
        </w:trPr>
        <w:tc>
          <w:tcPr>
            <w:tcW w:w="2361" w:type="dxa"/>
            <w:tcBorders>
              <w:top w:val="single" w:sz="4" w:space="0" w:color="000000"/>
            </w:tcBorders>
            <w:vAlign w:val="center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86" w:type="dxa"/>
            <w:tcBorders>
              <w:top w:val="single" w:sz="4" w:space="0" w:color="000000"/>
            </w:tcBorders>
            <w:vAlign w:val="center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5" w:type="dxa"/>
            <w:tcBorders>
              <w:top w:val="single" w:sz="4" w:space="0" w:color="000000"/>
            </w:tcBorders>
            <w:vAlign w:val="center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1" w:type="dxa"/>
            <w:tcBorders>
              <w:top w:val="single" w:sz="4" w:space="0" w:color="000000"/>
            </w:tcBorders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4" w:type="dxa"/>
            <w:tcBorders>
              <w:top w:val="single" w:sz="4" w:space="0" w:color="000000"/>
            </w:tcBorders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Age (years)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73.7 ± 7.3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74.5 ± 7.1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1.01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0.99 – 1.04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  <w:shd w:val="clear" w:color="auto" w:fill="auto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Gender</w:t>
            </w:r>
          </w:p>
        </w:tc>
        <w:tc>
          <w:tcPr>
            <w:tcW w:w="1586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5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1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4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  <w:shd w:val="clear" w:color="auto" w:fill="auto"/>
          </w:tcPr>
          <w:p w:rsidR="00275DC2" w:rsidRPr="000D3F1C" w:rsidRDefault="00000000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491 (47.0)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54 (42.5)</w:t>
            </w:r>
          </w:p>
        </w:tc>
        <w:tc>
          <w:tcPr>
            <w:tcW w:w="601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4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  <w:shd w:val="clear" w:color="auto" w:fill="auto"/>
          </w:tcPr>
          <w:p w:rsidR="00275DC2" w:rsidRPr="000D3F1C" w:rsidRDefault="00000000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553 (53.0)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73 (57.5)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1.20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0.83 – 1.74</w:t>
            </w:r>
          </w:p>
        </w:tc>
        <w:tc>
          <w:tcPr>
            <w:tcW w:w="1134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  <w:shd w:val="clear" w:color="auto" w:fill="auto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Ethnicity</w:t>
            </w:r>
          </w:p>
        </w:tc>
        <w:tc>
          <w:tcPr>
            <w:tcW w:w="1586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5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1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4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  <w:shd w:val="clear" w:color="auto" w:fill="auto"/>
          </w:tcPr>
          <w:p w:rsidR="00275DC2" w:rsidRPr="000D3F1C" w:rsidRDefault="00000000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Chinese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824 (78.9)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100 (78.7)</w:t>
            </w:r>
          </w:p>
        </w:tc>
        <w:tc>
          <w:tcPr>
            <w:tcW w:w="601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4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  <w:shd w:val="clear" w:color="auto" w:fill="auto"/>
          </w:tcPr>
          <w:p w:rsidR="00275DC2" w:rsidRPr="000D3F1C" w:rsidRDefault="00000000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Malay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132 (12.6)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15 (11.8)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0.53 – 1.66</w:t>
            </w:r>
          </w:p>
        </w:tc>
        <w:tc>
          <w:tcPr>
            <w:tcW w:w="1134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Indian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71 (6.8)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11 (8.7)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0.65 – 2.49</w:t>
            </w:r>
          </w:p>
        </w:tc>
        <w:tc>
          <w:tcPr>
            <w:tcW w:w="1134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Others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17 (1.6)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 (0.0)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0.06 – 3.68</w:t>
            </w:r>
          </w:p>
        </w:tc>
        <w:tc>
          <w:tcPr>
            <w:tcW w:w="1134" w:type="dxa"/>
          </w:tcPr>
          <w:p w:rsidR="00275DC2" w:rsidRPr="000D3F1C" w:rsidRDefault="00275DC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Obesity (BMI &gt; 27.5)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133 (12.7)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20 (15.7)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0.77 – 2.13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0.34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Smoker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82 (7.9)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12 (9.5)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1.24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0.65 – 2.33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Asthma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55 (5.3)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10 (7.9)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1.54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0.76 – 3.10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Hypertension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747 (71.6)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93 (73.2)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1.09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0.72 – 1.65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Hyperlipidaemia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620 (59.4)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80 (63.0)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1.16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0.80 – 1.70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Diabetes Mellitus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329 (31.5)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46 (36.2)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0.84 – 1.81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Renal Disease*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141 (13.5)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35 (27.6)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2.44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1.59 – 3.74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Malignancy*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176 (16.9)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30 (23.6)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1.53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0.98 – 2.37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CCF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36 (3.4)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3 (2.4)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0.68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0.21 – 2.23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IHD*</w:t>
            </w:r>
          </w:p>
        </w:tc>
        <w:tc>
          <w:tcPr>
            <w:tcW w:w="1586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240 (23.0)</w:t>
            </w:r>
          </w:p>
        </w:tc>
        <w:tc>
          <w:tcPr>
            <w:tcW w:w="2345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39 (30.7)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0.99 – 2.22</w:t>
            </w:r>
          </w:p>
        </w:tc>
        <w:tc>
          <w:tcPr>
            <w:tcW w:w="1134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VHD</w:t>
            </w:r>
          </w:p>
        </w:tc>
        <w:tc>
          <w:tcPr>
            <w:tcW w:w="1586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54 (5.2)</w:t>
            </w:r>
          </w:p>
        </w:tc>
        <w:tc>
          <w:tcPr>
            <w:tcW w:w="2345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9 (7.1)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0.67 – 2.91</w:t>
            </w:r>
          </w:p>
        </w:tc>
        <w:tc>
          <w:tcPr>
            <w:tcW w:w="1134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PVD*</w:t>
            </w:r>
          </w:p>
        </w:tc>
        <w:tc>
          <w:tcPr>
            <w:tcW w:w="1586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42 (4.0)</w:t>
            </w:r>
          </w:p>
        </w:tc>
        <w:tc>
          <w:tcPr>
            <w:tcW w:w="2345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13 (10.2)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2.72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1.42 – 5.22</w:t>
            </w:r>
          </w:p>
        </w:tc>
        <w:tc>
          <w:tcPr>
            <w:tcW w:w="1134" w:type="dxa"/>
            <w:vAlign w:val="center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0.002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Arrhythmias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100 (9.6)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18 (14.2)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1.56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0.91 – 2.67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AMI (Within 1 Month)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16 (1.5)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 (0.8)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0.07 – 3.87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&gt;0.99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COPD*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32 (3.1)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8 (6.3)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2.13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0.96 – 4.72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OSA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21 (2.0)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3 (2.4)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1.18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0.35 – 4.01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Seizures*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7 (0.7)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4 (3.1)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4.82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1.39 – 16.69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Liver Disease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28 (2.7)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5 (3.9)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0.56 – 3.92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0.39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 xml:space="preserve">Hematology 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47 (4.5)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6 (4.7)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1.05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0.44 – 2.51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CVA*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140 (13.4)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36 (28.3)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2.55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1.67 – 3.91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Other CNS Comorbidities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61 (5.8)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12 (9.4)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1.68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0.88 – 3.22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Thyroid</w:t>
            </w:r>
          </w:p>
        </w:tc>
        <w:tc>
          <w:tcPr>
            <w:tcW w:w="1586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68 (6.5)</w:t>
            </w:r>
          </w:p>
        </w:tc>
        <w:tc>
          <w:tcPr>
            <w:tcW w:w="2345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12 (9.4)</w:t>
            </w:r>
          </w:p>
        </w:tc>
        <w:tc>
          <w:tcPr>
            <w:tcW w:w="601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1.50</w:t>
            </w:r>
          </w:p>
        </w:tc>
        <w:tc>
          <w:tcPr>
            <w:tcW w:w="175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0.79 – 2.85</w:t>
            </w:r>
          </w:p>
        </w:tc>
        <w:tc>
          <w:tcPr>
            <w:tcW w:w="1134" w:type="dxa"/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</w:tr>
      <w:tr w:rsidR="00275DC2" w:rsidRPr="000D3F1C">
        <w:trPr>
          <w:trHeight w:val="302"/>
          <w:jc w:val="center"/>
        </w:trPr>
        <w:tc>
          <w:tcPr>
            <w:tcW w:w="2361" w:type="dxa"/>
            <w:tcBorders>
              <w:bottom w:val="single" w:sz="4" w:space="0" w:color="000000"/>
            </w:tcBorders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Anaemia*</w:t>
            </w:r>
            <w:r w:rsidRPr="000D3F1C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†</w:t>
            </w:r>
          </w:p>
        </w:tc>
        <w:tc>
          <w:tcPr>
            <w:tcW w:w="1586" w:type="dxa"/>
            <w:tcBorders>
              <w:bottom w:val="single" w:sz="4" w:space="0" w:color="000000"/>
            </w:tcBorders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498 (48.7)</w:t>
            </w:r>
          </w:p>
        </w:tc>
        <w:tc>
          <w:tcPr>
            <w:tcW w:w="2345" w:type="dxa"/>
            <w:tcBorders>
              <w:bottom w:val="single" w:sz="4" w:space="0" w:color="000000"/>
            </w:tcBorders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76 (59.8)</w:t>
            </w:r>
          </w:p>
        </w:tc>
        <w:tc>
          <w:tcPr>
            <w:tcW w:w="601" w:type="dxa"/>
            <w:tcBorders>
              <w:bottom w:val="single" w:sz="4" w:space="0" w:color="000000"/>
            </w:tcBorders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1.57</w:t>
            </w:r>
          </w:p>
        </w:tc>
        <w:tc>
          <w:tcPr>
            <w:tcW w:w="1754" w:type="dxa"/>
            <w:tcBorders>
              <w:bottom w:val="single" w:sz="4" w:space="0" w:color="000000"/>
            </w:tcBorders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1.08 – 2.29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275DC2" w:rsidRPr="000D3F1C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D3F1C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</w:tr>
    </w:tbl>
    <w:p w:rsidR="00275DC2" w:rsidRPr="000D3F1C" w:rsidRDefault="00000000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0D3F1C">
        <w:rPr>
          <w:rFonts w:ascii="Times New Roman" w:eastAsia="Times New Roman" w:hAnsi="Times New Roman" w:cs="Times New Roman"/>
          <w:color w:val="000000"/>
          <w:sz w:val="22"/>
          <w:szCs w:val="22"/>
        </w:rPr>
        <w:t>Results are presented as n (%) or mean ± standard deviation</w:t>
      </w:r>
    </w:p>
    <w:p w:rsidR="00275DC2" w:rsidRPr="000D3F1C" w:rsidRDefault="00000000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0D3F1C">
        <w:rPr>
          <w:rFonts w:ascii="Times New Roman" w:eastAsia="Times New Roman" w:hAnsi="Times New Roman" w:cs="Times New Roman"/>
          <w:color w:val="000000"/>
          <w:sz w:val="22"/>
          <w:szCs w:val="22"/>
        </w:rPr>
        <w:t>*Significant factors identified from unadjusted analysis (p value &lt;0.1) which were then further analysed using multivariable logistic regression</w:t>
      </w:r>
    </w:p>
    <w:p w:rsidR="00275DC2" w:rsidRPr="000D3F1C" w:rsidRDefault="00000000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0D3F1C">
        <w:rPr>
          <w:rFonts w:ascii="Times New Roman" w:eastAsia="Times New Roman" w:hAnsi="Times New Roman" w:cs="Times New Roman"/>
          <w:color w:val="000000"/>
          <w:sz w:val="22"/>
          <w:szCs w:val="22"/>
        </w:rPr>
        <w:t>CI: Confidence Interval; OR: Odds Ratio</w:t>
      </w:r>
    </w:p>
    <w:p w:rsidR="00275DC2" w:rsidRPr="000D3F1C" w:rsidRDefault="00000000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0D3F1C">
        <w:rPr>
          <w:rFonts w:ascii="Times New Roman" w:eastAsia="Times New Roman" w:hAnsi="Times New Roman" w:cs="Times New Roman"/>
          <w:color w:val="000000"/>
          <w:sz w:val="22"/>
          <w:szCs w:val="22"/>
        </w:rPr>
        <w:t>AMI: Acute Myocardial Infarction; BMI: Body Mass Index; CCF: Congestive Cardiac Failure; CNS: Central Nervous System; COPD: Chronic Obstructive Pulmonary Disease; CVA: Cerebrovascular Accident; IHD: Ischaemic Heart Disease; OSA: Obstructive Sleep Apnoea; PVD: Peripheral Vascular Disease; VHD: Valvular Heart Disease</w:t>
      </w:r>
    </w:p>
    <w:p w:rsidR="00275DC2" w:rsidRDefault="00000000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heading=h.gjdgxs" w:colFirst="0" w:colLast="0"/>
      <w:bookmarkEnd w:id="0"/>
      <w:r w:rsidRPr="000D3F1C">
        <w:rPr>
          <w:rFonts w:ascii="Times New Roman" w:eastAsia="Times New Roman" w:hAnsi="Times New Roman" w:cs="Times New Roman"/>
          <w:color w:val="000000"/>
          <w:sz w:val="22"/>
          <w:szCs w:val="22"/>
          <w:vertAlign w:val="superscript"/>
        </w:rPr>
        <w:t xml:space="preserve">† </w:t>
      </w:r>
      <w:r w:rsidRPr="000D3F1C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Anaemia: Hb </w:t>
      </w:r>
      <w:r w:rsidRPr="000D3F1C">
        <w:rPr>
          <w:rFonts w:ascii="Symbol" w:eastAsia="Symbol" w:hAnsi="Symbol" w:cs="Symbol"/>
          <w:color w:val="000000"/>
          <w:sz w:val="22"/>
          <w:szCs w:val="22"/>
        </w:rPr>
        <w:t>≤</w:t>
      </w:r>
      <w:r w:rsidRPr="000D3F1C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12.0 g/dL (female), Hb </w:t>
      </w:r>
      <w:r w:rsidRPr="000D3F1C">
        <w:rPr>
          <w:rFonts w:ascii="Symbol" w:eastAsia="Symbol" w:hAnsi="Symbol" w:cs="Symbol"/>
          <w:color w:val="000000"/>
          <w:sz w:val="22"/>
          <w:szCs w:val="22"/>
        </w:rPr>
        <w:t>≤</w:t>
      </w:r>
      <w:r w:rsidRPr="000D3F1C">
        <w:rPr>
          <w:rFonts w:ascii="Times New Roman" w:eastAsia="Times New Roman" w:hAnsi="Times New Roman" w:cs="Times New Roman"/>
          <w:color w:val="000000"/>
          <w:sz w:val="22"/>
          <w:szCs w:val="22"/>
        </w:rPr>
        <w:t>13.0 g/dL (male)</w:t>
      </w:r>
    </w:p>
    <w:sectPr w:rsidR="00275DC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DC2"/>
    <w:rsid w:val="000D3F1C"/>
    <w:rsid w:val="0027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7C07EB7-009A-4049-BDB6-8088AB76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93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B29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hk2ivWW3eboLXlbmdUfF0+umPAA==">AMUW2mWufA5poLEWUXM2NNPiffK4gUURqJD4pKWao7OyfPVeJyas1z5XXqr4XkWtuuwLKVoEpogEPwIqdjEBg9/XHdMyH09t2AHuRpHHYcqgGRU2UiskVDDbzL72v4pnE3kCUjFScIFv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 Zhao Kai</dc:creator>
  <cp:lastModifiedBy>Zhao Kai Low</cp:lastModifiedBy>
  <cp:revision>2</cp:revision>
  <dcterms:created xsi:type="dcterms:W3CDTF">2022-01-09T13:37:00Z</dcterms:created>
  <dcterms:modified xsi:type="dcterms:W3CDTF">2023-04-05T05:11:00Z</dcterms:modified>
</cp:coreProperties>
</file>