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44E" w:rsidRDefault="00D46FAE" w:rsidP="00D46FAE">
      <w:pPr>
        <w:pStyle w:val="ListParagraph"/>
        <w:numPr>
          <w:ilvl w:val="0"/>
          <w:numId w:val="1"/>
        </w:numPr>
      </w:pPr>
      <w:r>
        <w:t>We have conducted a case series on 55 patients with ophthalmic aneurysm microsurgical treatment and followed the outcomes.</w:t>
      </w:r>
    </w:p>
    <w:p w:rsidR="00D46FAE" w:rsidRDefault="00D46FAE" w:rsidP="00D46FAE">
      <w:pPr>
        <w:pStyle w:val="ListParagraph"/>
        <w:numPr>
          <w:ilvl w:val="0"/>
          <w:numId w:val="1"/>
        </w:numPr>
      </w:pPr>
      <w:r>
        <w:t xml:space="preserve">Visual problems improvement and complete </w:t>
      </w:r>
      <w:bookmarkStart w:id="0" w:name="_GoBack"/>
      <w:bookmarkEnd w:id="0"/>
      <w:r>
        <w:t>aneurysm occlusion were resulted in 28% and 100% of the cases.</w:t>
      </w:r>
    </w:p>
    <w:p w:rsidR="00D46FAE" w:rsidRDefault="00D46FAE" w:rsidP="00D46FAE">
      <w:pPr>
        <w:pStyle w:val="ListParagraph"/>
        <w:numPr>
          <w:ilvl w:val="0"/>
          <w:numId w:val="1"/>
        </w:numPr>
      </w:pPr>
      <w:r>
        <w:t>Intraoperative aneurysm rupture was associated with preoperative hydrocephalus and larger aneurysm size.</w:t>
      </w:r>
    </w:p>
    <w:sectPr w:rsidR="00D46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72473"/>
    <w:multiLevelType w:val="hybridMultilevel"/>
    <w:tmpl w:val="0772E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2D"/>
    <w:rsid w:val="00391F2D"/>
    <w:rsid w:val="00BE4C6D"/>
    <w:rsid w:val="00D46FAE"/>
    <w:rsid w:val="00F2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3858F"/>
  <w15:chartTrackingRefBased/>
  <w15:docId w15:val="{F5AE9815-24D8-4A02-B755-3A219281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283</Characters>
  <Application>Microsoft Office Word</Application>
  <DocSecurity>0</DocSecurity>
  <Lines>2</Lines>
  <Paragraphs>1</Paragraphs>
  <ScaleCrop>false</ScaleCrop>
  <Company>diakov.net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</dc:creator>
  <cp:keywords/>
  <dc:description/>
  <cp:lastModifiedBy>mega</cp:lastModifiedBy>
  <cp:revision>2</cp:revision>
  <dcterms:created xsi:type="dcterms:W3CDTF">2022-09-25T15:33:00Z</dcterms:created>
  <dcterms:modified xsi:type="dcterms:W3CDTF">2022-09-25T15:38:00Z</dcterms:modified>
</cp:coreProperties>
</file>