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03FD1" w14:textId="77777777" w:rsidR="00B95FB8" w:rsidRDefault="00B95FB8" w:rsidP="00B95F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78C9">
        <w:rPr>
          <w:rFonts w:ascii="Times New Roman" w:hAnsi="Times New Roman" w:cs="Times New Roman"/>
          <w:sz w:val="24"/>
          <w:szCs w:val="24"/>
        </w:rPr>
        <w:t>Table 1. Advantages and disadvantages of SILC over CLC</w:t>
      </w:r>
    </w:p>
    <w:p w14:paraId="65ECFBA8" w14:textId="77777777" w:rsidR="00B95FB8" w:rsidRDefault="00B95FB8" w:rsidP="00B95F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8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8"/>
        <w:gridCol w:w="938"/>
        <w:gridCol w:w="920"/>
        <w:gridCol w:w="920"/>
        <w:gridCol w:w="920"/>
        <w:gridCol w:w="1018"/>
        <w:gridCol w:w="998"/>
        <w:gridCol w:w="1140"/>
        <w:gridCol w:w="1028"/>
        <w:gridCol w:w="920"/>
        <w:gridCol w:w="920"/>
        <w:gridCol w:w="920"/>
        <w:gridCol w:w="920"/>
        <w:gridCol w:w="920"/>
        <w:gridCol w:w="920"/>
      </w:tblGrid>
      <w:tr w:rsidR="00B95FB8" w:rsidRPr="005978C9" w14:paraId="1ECB0D77" w14:textId="77777777" w:rsidTr="004B41BA">
        <w:trPr>
          <w:trHeight w:val="31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47D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5EA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C1B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B19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EB5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51F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A01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951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053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F426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Complication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774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18F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88A3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5EAE7504" w14:textId="77777777" w:rsidTr="004B41BA">
        <w:trPr>
          <w:trHeight w:val="685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4B8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1D7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DF4B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No. of studies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2D69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E65B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Pain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0428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Cosmetic satisfaction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4AE8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Operation time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382C1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Additional port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0026E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Conversion </w:t>
            </w: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rate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2314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87EA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BDI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09A9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Hernia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8B58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Cost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9E2B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QoL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BC0C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LOH</w:t>
            </w:r>
          </w:p>
        </w:tc>
      </w:tr>
      <w:tr w:rsidR="00B95FB8" w:rsidRPr="005978C9" w14:paraId="5215BBFC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109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Evers et al, 2017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420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156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860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668305B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4B7EEE6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5F8CFD1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3ED58DF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1B3B17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05ACFF2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8C6110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41871AE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951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805816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6414C3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</w:tr>
      <w:tr w:rsidR="00B95FB8" w:rsidRPr="005978C9" w14:paraId="416D80AE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A2D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Hauster</w:t>
            </w:r>
            <w:proofErr w:type="spellEnd"/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 et al, 2017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DCD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F4C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3,051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45214E5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29C8233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7DFC089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48E25C4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EF9E38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C1E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B18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5F60767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693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014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DCC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41C5A81E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6A8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Lirici</w:t>
            </w:r>
            <w:proofErr w:type="spellEnd"/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 et al, 2016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A1C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B4C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1,293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D9BDE0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6FA1D6A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2EB3FD1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098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B34E25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6DB794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CC8343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0E4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1997993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EFB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B27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0E471E7D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70C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Allemann et al, 2014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28A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8ED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898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D2C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3CD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A7D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FBF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8D4D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AD96EE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28176D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739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655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5DD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4F7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47607217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52D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Milas et al, 2014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BDA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9F0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2,411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199C69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23633A2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30BA108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6D19E82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444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DA84A2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015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6569C5D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7AA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9B4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021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6737ABE2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C39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Arezzo et al, 2013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F6B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8E9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996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6032EED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1D02C29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0DEF218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CEC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76B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37A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F43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B77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5A5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ACB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461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647A238B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DA8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Markar et al, 2012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A70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17D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375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DFCC00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0222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470B79B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BD1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045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34D6B07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8E8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29E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B69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AF1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C16099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</w:tr>
      <w:tr w:rsidR="00B95FB8" w:rsidRPr="005978C9" w14:paraId="1CFD3D19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6ED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Hall et al, 2012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757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238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2,336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1592300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24497BC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1EB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214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D0B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0FD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500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A4E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921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B52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43C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B95FB8" w:rsidRPr="005978C9" w14:paraId="70E7DBAF" w14:textId="77777777" w:rsidTr="004B41BA">
        <w:trPr>
          <w:trHeight w:val="310"/>
        </w:trPr>
        <w:tc>
          <w:tcPr>
            <w:tcW w:w="1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DB6D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Joseph et al, 2012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BDF8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BD35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2,626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8073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911C3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B1E5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7A16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8F12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7FFC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66"/>
            <w:noWrap/>
            <w:vAlign w:val="center"/>
            <w:hideMark/>
          </w:tcPr>
          <w:p w14:paraId="50DBEE8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B63E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35B3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055A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3CD4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B95FB8" w:rsidRPr="005978C9" w14:paraId="7A4F3B1E" w14:textId="77777777" w:rsidTr="004B41BA">
        <w:trPr>
          <w:trHeight w:val="310"/>
        </w:trPr>
        <w:tc>
          <w:tcPr>
            <w:tcW w:w="9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CB2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Result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47E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SILC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387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0FD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54DA9D2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14:paraId="61CCA5E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97F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9AA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9E5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4E2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01D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3ED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C4B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298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B8E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B95FB8" w:rsidRPr="005978C9" w14:paraId="05FCF2D6" w14:textId="77777777" w:rsidTr="004B41BA">
        <w:trPr>
          <w:trHeight w:val="310"/>
        </w:trPr>
        <w:tc>
          <w:tcPr>
            <w:tcW w:w="9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BF49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420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CLC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6D84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4788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F96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E6A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28DE3C1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70B4E00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4EE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A09B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313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64424C8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66"/>
            <w:noWrap/>
            <w:vAlign w:val="center"/>
            <w:hideMark/>
          </w:tcPr>
          <w:p w14:paraId="5E7E6AF9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B87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5C5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B95FB8" w:rsidRPr="005978C9" w14:paraId="55137B49" w14:textId="77777777" w:rsidTr="004B41BA">
        <w:trPr>
          <w:trHeight w:val="310"/>
        </w:trPr>
        <w:tc>
          <w:tcPr>
            <w:tcW w:w="9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CB9E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D686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Equal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9E35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34B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2F7312F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AB7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FACE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6D0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22893BC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9B85B0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08808B0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FAD1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E437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DA2E5FA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D5D730D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B95FB8" w:rsidRPr="005978C9" w14:paraId="6D76B45C" w14:textId="77777777" w:rsidTr="004B41BA">
        <w:trPr>
          <w:trHeight w:val="310"/>
        </w:trPr>
        <w:tc>
          <w:tcPr>
            <w:tcW w:w="1388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76E2" w14:textId="77777777" w:rsidR="00B95FB8" w:rsidRPr="005978C9" w:rsidRDefault="00B95FB8" w:rsidP="004B41BA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(Green: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SILC </w:t>
            </w: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 xml:space="preserve">Advantage, Orange: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14:ligatures w14:val="none"/>
              </w:rPr>
              <w:t>CLC A</w:t>
            </w:r>
            <w:r w:rsidRPr="005978C9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14:ligatures w14:val="none"/>
              </w:rPr>
              <w:t>dvantage, Gray: Equal)</w:t>
            </w:r>
          </w:p>
        </w:tc>
      </w:tr>
    </w:tbl>
    <w:p w14:paraId="1731631B" w14:textId="77777777" w:rsidR="00B95FB8" w:rsidRDefault="00B95FB8" w:rsidP="00B95FB8">
      <w:pPr>
        <w:spacing w:line="360" w:lineRule="auto"/>
        <w:ind w:firstLine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7E04E2" w14:textId="77777777" w:rsidR="00B95FB8" w:rsidRDefault="00B95FB8" w:rsidP="00B95F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501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 w:rsidRPr="003C50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A summary of</w:t>
      </w:r>
      <w:r w:rsidRPr="003C501E">
        <w:rPr>
          <w:rFonts w:ascii="Times New Roman" w:hAnsi="Times New Roman" w:cs="Times New Roman"/>
          <w:sz w:val="24"/>
          <w:szCs w:val="24"/>
        </w:rPr>
        <w:t xml:space="preserve"> the advantages, limitations, and other notable aspects of each modality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minimally invasive cholecystectomy</w:t>
      </w:r>
    </w:p>
    <w:tbl>
      <w:tblPr>
        <w:tblW w:w="142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0"/>
        <w:gridCol w:w="4600"/>
        <w:gridCol w:w="4760"/>
        <w:gridCol w:w="4000"/>
      </w:tblGrid>
      <w:tr w:rsidR="00B95FB8" w:rsidRPr="003C501E" w14:paraId="3FE0B408" w14:textId="77777777" w:rsidTr="004B41BA">
        <w:trPr>
          <w:trHeight w:val="39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E8E32C3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　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3E2275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Benefits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BC9E27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Limitations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10BE1C3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Other Notable Aspects</w:t>
            </w:r>
          </w:p>
        </w:tc>
      </w:tr>
      <w:tr w:rsidR="00B95FB8" w:rsidRPr="003C501E" w14:paraId="0C797FA4" w14:textId="77777777" w:rsidTr="004B41BA">
        <w:trPr>
          <w:trHeight w:val="162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679B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 xml:space="preserve">SILC 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7C4D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Enhanced aesthetic outcomes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due to fewer incisions, leading to improved body image and cosmetic satisfaction.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>* Potential for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 xml:space="preserve"> reduced postoperative pain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in some studies, with conflicting results suggesting variability among patient experiences.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6B64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Higher cost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compared to CLC due to specialized equipment.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Increased complexity of the procedure can lead to a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higher risk of bile duct injury and incisional hernias.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Lack of standardized technique, leading to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heterogeneity in surgical approaches and outcomes.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B7DE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Surgeon expertise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plays a significant role in minimizing complications and improving outcomes.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>* Ongoing research and technological advancements may help overcome current limitations.</w:t>
            </w:r>
          </w:p>
        </w:tc>
      </w:tr>
      <w:tr w:rsidR="00B95FB8" w:rsidRPr="003C501E" w14:paraId="34CCAF02" w14:textId="77777777" w:rsidTr="004B41BA">
        <w:trPr>
          <w:trHeight w:val="17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C226EB3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MLC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FFDA4BD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 xml:space="preserve">Reduced invasiveness 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with smaller incisions, leading to less postoperative pain and improved cosmetic outcomes.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>* Maintains the advantages of CLC, including the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 xml:space="preserve"> preservation of triangulation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, which is lost in SILC.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0A5CD17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Requires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 xml:space="preserve">higher surgical skill 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due to reduced instrument rigidity and maneuverability.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Potential issues with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camera quality and lighting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due to smaller ports, which could increase the risk of complications such as gallbladder perforation.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3B9AA71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Can be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easily converted to CLC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if necessary, providing flexibility during surgery.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Innovations like the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Low-impact laparoscopic (LIL) cholecystectomy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approach show promise in further reducing invasiveness and postoperative pain.</w:t>
            </w:r>
          </w:p>
        </w:tc>
      </w:tr>
      <w:tr w:rsidR="00B95FB8" w:rsidRPr="003C501E" w14:paraId="139C592F" w14:textId="77777777" w:rsidTr="004B41BA">
        <w:trPr>
          <w:trHeight w:val="1261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ABC8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NOTES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D926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Eliminates abdominal incisions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, potentially reducing pain, and improving recovery times.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Offers an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enhanced quality of life post-surgery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due to minimal external scarring.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30D7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High technical demand and steep learning curve.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Concerns about the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necessity and safety of internal organ injury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for access.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7E20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* The utility of NOTES over other minimally invasive techniques remains a topic of debate, with a need for more research to establish clear advantages.</w:t>
            </w:r>
          </w:p>
        </w:tc>
      </w:tr>
      <w:tr w:rsidR="00B95FB8" w:rsidRPr="003C501E" w14:paraId="12C77AE5" w14:textId="77777777" w:rsidTr="004B41BA">
        <w:trPr>
          <w:trHeight w:val="183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0162575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b/>
                <w:bCs/>
                <w:color w:val="0D0D0D"/>
                <w:kern w:val="0"/>
                <w:szCs w:val="20"/>
                <w14:ligatures w14:val="none"/>
              </w:rPr>
              <w:t>RALC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CA7DAFD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Increased precision and control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through robotic assistance, potentially improving surgical outcomes.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Lower or similar rates of conversion, blood loss, and readmissions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compared to CLC.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E88DB86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 xml:space="preserve">* 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t>Significant initial investment and operating costs.</w:t>
            </w:r>
            <w:r w:rsidRPr="003C501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  <w14:ligatures w14:val="none"/>
              </w:rPr>
              <w:br/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* Concern of complications such as bile duct injury.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>* Variability in outcomes depending on the specific robotic system used.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5A85B0" w14:textId="77777777" w:rsidR="00B95FB8" w:rsidRPr="003C501E" w:rsidRDefault="00B95FB8" w:rsidP="004B41B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t>* Continuous technological advancements and system diversification are likely to expand the applicability and benefits of RALC.</w:t>
            </w:r>
            <w:r w:rsidRPr="003C501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14:ligatures w14:val="none"/>
              </w:rPr>
              <w:br/>
              <w:t>* The financial aspect remains a challenge, but with strategic planning and policy support, the adoption of RALC could become more feasible for more hospitals.</w:t>
            </w:r>
          </w:p>
        </w:tc>
      </w:tr>
    </w:tbl>
    <w:p w14:paraId="09C26163" w14:textId="77777777" w:rsidR="00B95FB8" w:rsidRDefault="00B95FB8" w:rsidP="00B95FB8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</w:p>
    <w:p w14:paraId="76FC762D" w14:textId="6ACCF26C" w:rsidR="001048FA" w:rsidRPr="00B95FB8" w:rsidRDefault="001048FA"/>
    <w:sectPr w:rsidR="001048FA" w:rsidRPr="00B95FB8" w:rsidSect="00784F4C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B8"/>
    <w:rsid w:val="000675B8"/>
    <w:rsid w:val="001048FA"/>
    <w:rsid w:val="001E4BE3"/>
    <w:rsid w:val="00784F4C"/>
    <w:rsid w:val="00A52F73"/>
    <w:rsid w:val="00B95FB8"/>
    <w:rsid w:val="00C0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46724"/>
  <w15:chartTrackingRefBased/>
  <w15:docId w15:val="{A086513C-39E3-4DC8-88B5-E40B876A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FB8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95FB8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5FB8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5FB8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5FB8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5FB8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5FB8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5FB8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5FB8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5FB8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95F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95F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95F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95F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95F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95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5FB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95F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5FB8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B95FB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5FB8"/>
    <w:pPr>
      <w:spacing w:line="240" w:lineRule="auto"/>
      <w:ind w:left="720"/>
      <w:contextualSpacing/>
      <w:jc w:val="left"/>
    </w:pPr>
    <w:rPr>
      <w:rFonts w:asciiTheme="minorEastAsia"/>
      <w:sz w:val="22"/>
      <w:szCs w:val="24"/>
    </w:rPr>
  </w:style>
  <w:style w:type="character" w:styleId="a7">
    <w:name w:val="Intense Emphasis"/>
    <w:basedOn w:val="a0"/>
    <w:uiPriority w:val="21"/>
    <w:qFormat/>
    <w:rsid w:val="00B95FB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5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B95FB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95F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이준서</dc:creator>
  <cp:keywords/>
  <dc:description/>
  <cp:lastModifiedBy>이준서</cp:lastModifiedBy>
  <cp:revision>2</cp:revision>
  <dcterms:created xsi:type="dcterms:W3CDTF">2024-09-06T05:53:00Z</dcterms:created>
  <dcterms:modified xsi:type="dcterms:W3CDTF">2024-09-06T06:04:00Z</dcterms:modified>
</cp:coreProperties>
</file>