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0"/>
        <w:gridCol w:w="1040"/>
        <w:gridCol w:w="1040"/>
        <w:gridCol w:w="1960"/>
        <w:gridCol w:w="3760"/>
      </w:tblGrid>
      <w:tr w:rsidR="00AE0F6C" w:rsidRPr="004A596E" w14:paraId="22F60BDB" w14:textId="77777777" w:rsidTr="00AE0F6C">
        <w:trPr>
          <w:trHeight w:val="480"/>
        </w:trPr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165BF2D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b/>
                <w:bCs/>
                <w:kern w:val="0"/>
                <w:sz w:val="18"/>
                <w:szCs w:val="18"/>
                <w14:ligatures w14:val="none"/>
              </w:rPr>
              <w:t>First Author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764193B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b/>
                <w:bCs/>
                <w:kern w:val="0"/>
                <w:sz w:val="18"/>
                <w:szCs w:val="18"/>
                <w14:ligatures w14:val="none"/>
              </w:rPr>
              <w:t>Year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628DE41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b/>
                <w:bCs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8E313B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b/>
                <w:bCs/>
                <w:kern w:val="0"/>
                <w:sz w:val="18"/>
                <w:szCs w:val="18"/>
                <w14:ligatures w14:val="none"/>
              </w:rPr>
              <w:t>Primary Outcome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A7844D8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b/>
                <w:bCs/>
                <w:kern w:val="0"/>
                <w:sz w:val="18"/>
                <w:szCs w:val="18"/>
                <w14:ligatures w14:val="none"/>
              </w:rPr>
              <w:t>Key Finding</w:t>
            </w:r>
          </w:p>
        </w:tc>
      </w:tr>
      <w:tr w:rsidR="00AE0F6C" w:rsidRPr="004A596E" w14:paraId="08024CFE" w14:textId="77777777" w:rsidTr="00AE0F6C">
        <w:trPr>
          <w:trHeight w:val="53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18DED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Davison SP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E8DE0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57683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110 breasts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0328B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Complications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FC5C2" w14:textId="17A4DF6A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DermACELL</w:t>
            </w:r>
            <w:proofErr w:type="spellEnd"/>
            <w:r w:rsidR="004A3BDA" w:rsidRPr="004A3BDA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:vertAlign w:val="superscript"/>
                <w14:ligatures w14:val="none"/>
              </w:rPr>
              <w:t>®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better than </w:t>
            </w:r>
            <w:proofErr w:type="spellStart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AlloDerm</w:t>
            </w:r>
            <w:proofErr w:type="spellEnd"/>
            <w:r w:rsidR="004A3BDA" w:rsidRPr="004A3BDA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:vertAlign w:val="superscript"/>
                <w14:ligatures w14:val="none"/>
              </w:rPr>
              <w:t>®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(seroma, incorporation)</w:t>
            </w:r>
          </w:p>
        </w:tc>
      </w:tr>
      <w:tr w:rsidR="00AE0F6C" w:rsidRPr="004A596E" w14:paraId="05AFF189" w14:textId="77777777" w:rsidTr="00AE0F6C">
        <w:trPr>
          <w:trHeight w:val="673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05183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Wong JS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3F2FF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DE366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400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993D3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6-mo PWB change, chest wall toxicity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8E256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HF PMRT is as safe as CF; in &lt;45y,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HF improves QOL</w:t>
            </w:r>
          </w:p>
        </w:tc>
      </w:tr>
      <w:tr w:rsidR="00AE0F6C" w:rsidRPr="004A596E" w14:paraId="4A460FD2" w14:textId="77777777" w:rsidTr="00AE0F6C">
        <w:trPr>
          <w:trHeight w:val="65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1C4A6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Hwang JW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1F0C5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E6E9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276 breasts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5531A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Skin complication rate,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nipple necrosis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1C16C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IV PGE1 reduces necrosis</w:t>
            </w:r>
          </w:p>
        </w:tc>
      </w:tr>
      <w:tr w:rsidR="00AE0F6C" w:rsidRPr="004A596E" w14:paraId="0C68423B" w14:textId="77777777" w:rsidTr="00AE0F6C">
        <w:trPr>
          <w:trHeight w:val="5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9BEFB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Mendenhall SD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09F44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AC5C1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167 breasts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12C9E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Complication rate, patient satisfaction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98961" w14:textId="6043E520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AlloDerm</w:t>
            </w:r>
            <w:proofErr w:type="spellEnd"/>
            <w:r w:rsidR="004A3BDA" w:rsidRPr="004A3BDA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:vertAlign w:val="superscript"/>
                <w14:ligatures w14:val="none"/>
              </w:rPr>
              <w:t>®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= </w:t>
            </w:r>
            <w:proofErr w:type="spellStart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DermaMatrix</w:t>
            </w:r>
            <w:proofErr w:type="spellEnd"/>
            <w:r w:rsidR="004A3BDA" w:rsidRPr="004A3BDA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:vertAlign w:val="superscript"/>
                <w14:ligatures w14:val="none"/>
              </w:rPr>
              <w:t>®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outcomes</w:t>
            </w:r>
          </w:p>
        </w:tc>
      </w:tr>
      <w:tr w:rsidR="00AE0F6C" w:rsidRPr="004A596E" w14:paraId="103D281C" w14:textId="77777777" w:rsidTr="00AE0F6C">
        <w:trPr>
          <w:trHeight w:val="7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18BCE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Xia 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D246C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AFAC1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122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2AECF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Recovery,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 xml:space="preserve">pain,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opioid use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8F5DE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ERAS improves outcomes,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reduced pain and opioid use</w:t>
            </w:r>
          </w:p>
        </w:tc>
      </w:tr>
      <w:tr w:rsidR="00AE0F6C" w:rsidRPr="004A596E" w14:paraId="2DA3FD37" w14:textId="77777777" w:rsidTr="00AE0F6C">
        <w:trPr>
          <w:trHeight w:val="9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86136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Song 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62072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7885C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389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70E2F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Venous congestion,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 xml:space="preserve">flap necrosis rates,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flap safety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7F5F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Pedicle length measurement reduces venous congestion and flap necrosis after DIEP flap</w:t>
            </w:r>
          </w:p>
        </w:tc>
      </w:tr>
      <w:tr w:rsidR="00AE0F6C" w:rsidRPr="004A596E" w14:paraId="63AB63AD" w14:textId="77777777" w:rsidTr="00AE0F6C">
        <w:trPr>
          <w:trHeight w:val="493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603D2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Mutter RW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D44CA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4C762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82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1D7D0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Complications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11EE6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HF proton PMRT was as safe as conventional</w:t>
            </w:r>
          </w:p>
        </w:tc>
      </w:tr>
      <w:tr w:rsidR="00AE0F6C" w:rsidRPr="004A596E" w14:paraId="7DBAA234" w14:textId="77777777" w:rsidTr="00AE0F6C">
        <w:trPr>
          <w:trHeight w:val="7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BC315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Colakoglu</w:t>
            </w:r>
            <w:proofErr w:type="spellEnd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7D14C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53430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63 flaps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FFEA3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Flap dissection,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 xml:space="preserve">OR time,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complications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88DF4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Preoperative CTA reduces flap dissection and OR time, with no difference in complications</w:t>
            </w:r>
          </w:p>
        </w:tc>
      </w:tr>
      <w:tr w:rsidR="00AE0F6C" w:rsidRPr="004A596E" w14:paraId="68545433" w14:textId="77777777" w:rsidTr="00AE0F6C">
        <w:trPr>
          <w:trHeight w:val="57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D998D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Muller-</w:t>
            </w:r>
            <w:proofErr w:type="spellStart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Sloof</w:t>
            </w:r>
            <w:proofErr w:type="spellEnd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8AF61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D1180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53F9C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Donor-site wound dehiscence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2BA90" w14:textId="2D8BDBD0" w:rsidR="007B6191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ciNPWT</w:t>
            </w:r>
            <w:proofErr w:type="spellEnd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reduces dehiscence</w:t>
            </w:r>
          </w:p>
          <w:p w14:paraId="4E95EA8F" w14:textId="3D9EE70D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(19.4% vs 41%)</w:t>
            </w:r>
          </w:p>
        </w:tc>
      </w:tr>
      <w:tr w:rsidR="00AE0F6C" w:rsidRPr="004A596E" w14:paraId="7A38B270" w14:textId="77777777" w:rsidTr="00AE0F6C">
        <w:trPr>
          <w:trHeight w:val="65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F2A15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Hanson 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E1D4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608BB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9C2E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Fat necrosis,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complications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6F103" w14:textId="697C8890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No difference between fat processing techniques; prior BCT increases necrosis </w:t>
            </w:r>
          </w:p>
        </w:tc>
      </w:tr>
      <w:tr w:rsidR="00AE0F6C" w:rsidRPr="004A596E" w14:paraId="590682CF" w14:textId="77777777" w:rsidTr="00AE0F6C">
        <w:trPr>
          <w:trHeight w:val="5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27549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Tallroth</w:t>
            </w:r>
            <w:proofErr w:type="spellEnd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A6271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F325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AEA4F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Complications, QOL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B883E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DIEP higher satisfaction but more complications</w:t>
            </w:r>
          </w:p>
        </w:tc>
      </w:tr>
      <w:tr w:rsidR="00AE0F6C" w:rsidRPr="004A596E" w14:paraId="46CA782E" w14:textId="77777777" w:rsidTr="00AE0F6C">
        <w:trPr>
          <w:trHeight w:val="41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51DE8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Hansson 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93DE6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87A9F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48 breasts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4E5F9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Complications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774DA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Synthetic mesh superior to biological mesh</w:t>
            </w:r>
          </w:p>
        </w:tc>
      </w:tr>
      <w:tr w:rsidR="00AE0F6C" w:rsidRPr="004A596E" w14:paraId="43C8756B" w14:textId="77777777" w:rsidTr="00AE0F6C">
        <w:trPr>
          <w:trHeight w:val="403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16443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Asaad 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0393A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04C92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103 breasts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6697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Complications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8A75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Similar outcomes HADM vs BADM</w:t>
            </w:r>
          </w:p>
        </w:tc>
      </w:tr>
      <w:tr w:rsidR="00AE0F6C" w:rsidRPr="004A596E" w14:paraId="05992DFF" w14:textId="77777777" w:rsidTr="00AE0F6C">
        <w:trPr>
          <w:trHeight w:val="59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D684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Lembo 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666E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6702D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A5A65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Seroma rate, QOL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AABAF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Early drain removal safe; reduces seroma, improves QoL</w:t>
            </w:r>
          </w:p>
        </w:tc>
      </w:tr>
      <w:tr w:rsidR="00AE0F6C" w:rsidRPr="004A596E" w14:paraId="7C08CB7B" w14:textId="77777777" w:rsidTr="00AE0F6C">
        <w:trPr>
          <w:trHeight w:val="5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645CF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Tokumoto 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0FC8E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58BB5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140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D7A7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Drain volume,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drain removal days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00DA9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AFG reduces drainage and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drainage period at donor site</w:t>
            </w:r>
          </w:p>
        </w:tc>
      </w:tr>
      <w:tr w:rsidR="00AE0F6C" w:rsidRPr="004A596E" w14:paraId="4531DE6D" w14:textId="77777777" w:rsidTr="00AE0F6C">
        <w:trPr>
          <w:trHeight w:val="33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32BA3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Broyles JM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DF31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3A255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384 breasts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5CCA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Matrix complications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F76EA" w14:textId="23593762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No difference </w:t>
            </w:r>
            <w:proofErr w:type="spellStart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FlexHD</w:t>
            </w:r>
            <w:proofErr w:type="spellEnd"/>
            <w:r w:rsidR="004A3BDA" w:rsidRPr="004A3BDA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:vertAlign w:val="superscript"/>
                <w14:ligatures w14:val="none"/>
              </w:rPr>
              <w:t>®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vs </w:t>
            </w:r>
            <w:proofErr w:type="spellStart"/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AlloDerm</w:t>
            </w:r>
            <w:proofErr w:type="spellEnd"/>
            <w:r w:rsidR="004A3BDA" w:rsidRPr="004A3BDA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:vertAlign w:val="superscript"/>
                <w14:ligatures w14:val="none"/>
              </w:rPr>
              <w:t>®</w:t>
            </w:r>
          </w:p>
        </w:tc>
      </w:tr>
      <w:tr w:rsidR="00AE0F6C" w:rsidRPr="004A596E" w14:paraId="655B64E6" w14:textId="77777777" w:rsidTr="00AE0F6C">
        <w:trPr>
          <w:trHeight w:val="5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ED956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Suh YC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474A3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B5420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73154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Drainage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C5E54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Hydrochlorothiazide (25mg/day)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reduces drainage</w:t>
            </w:r>
          </w:p>
        </w:tc>
      </w:tr>
      <w:tr w:rsidR="00AE0F6C" w:rsidRPr="004A596E" w14:paraId="4F029165" w14:textId="77777777" w:rsidTr="00AE0F6C">
        <w:trPr>
          <w:trHeight w:val="33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AC815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Anker AM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AC97D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07DA1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04C54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Flap Perfusion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CE6E5" w14:textId="23DE68BD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No </w:t>
            </w:r>
            <w:r w:rsidR="004A3BDA" w:rsidRPr="004A596E"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  <w:t>difference between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vasopressor vs fluids</w:t>
            </w:r>
          </w:p>
        </w:tc>
      </w:tr>
      <w:tr w:rsidR="00AE0F6C" w:rsidRPr="004A596E" w14:paraId="44B48865" w14:textId="77777777" w:rsidTr="00AE0F6C">
        <w:trPr>
          <w:trHeight w:val="590"/>
        </w:trPr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09DFE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Brorson F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9EBFF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AF5D7F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Not specified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28C07" w14:textId="77777777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Complications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E2DFE8" w14:textId="410D7DC6" w:rsidR="00AE0F6C" w:rsidRPr="004A596E" w:rsidRDefault="00AE0F6C" w:rsidP="00AE0F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 Unicode MS" w:eastAsia="Arial Unicode MS" w:hAnsi="Arial Unicode MS" w:cs="Arial Unicode MS"/>
                <w:kern w:val="0"/>
                <w:sz w:val="18"/>
                <w:szCs w:val="18"/>
                <w14:ligatures w14:val="none"/>
              </w:rPr>
            </w:pP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Similar rates TD</w:t>
            </w:r>
            <w:r w:rsidR="007B6191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>(Implant) vs Tissue expander,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br/>
              <w:t>Similar rates LD</w:t>
            </w:r>
            <w:r w:rsidR="007B6191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A596E">
              <w:rPr>
                <w:rFonts w:ascii="Arial Unicode MS" w:eastAsia="Arial Unicode MS" w:hAnsi="Arial Unicode MS" w:cs="Arial Unicode MS" w:hint="eastAsia"/>
                <w:kern w:val="0"/>
                <w:sz w:val="18"/>
                <w:szCs w:val="18"/>
                <w14:ligatures w14:val="none"/>
              </w:rPr>
              <w:t xml:space="preserve">(Implant) vs DIEP flap </w:t>
            </w:r>
          </w:p>
        </w:tc>
      </w:tr>
    </w:tbl>
    <w:p w14:paraId="6F205509" w14:textId="4AE3F165" w:rsidR="00BF21E1" w:rsidRPr="004A596E" w:rsidRDefault="00AE0F6C" w:rsidP="00AE0F6C">
      <w:pPr>
        <w:rPr>
          <w:rFonts w:ascii="Arial Unicode MS" w:eastAsia="Arial Unicode MS" w:hAnsi="Arial Unicode MS" w:cs="Arial Unicode MS"/>
          <w:b/>
          <w:bCs/>
        </w:rPr>
      </w:pPr>
      <w:r w:rsidRPr="004A596E">
        <w:rPr>
          <w:rFonts w:ascii="Arial Unicode MS" w:eastAsia="Arial Unicode MS" w:hAnsi="Arial Unicode MS" w:cs="Arial Unicode MS"/>
          <w:b/>
          <w:bCs/>
        </w:rPr>
        <w:lastRenderedPageBreak/>
        <w:t>Supplementary Table 1. Overview of Included RCTs</w:t>
      </w:r>
      <w:r w:rsidRPr="004A596E">
        <w:rPr>
          <w:rFonts w:ascii="Arial Unicode MS" w:eastAsia="Arial Unicode MS" w:hAnsi="Arial Unicode MS" w:cs="Arial Unicode MS" w:hint="eastAsia"/>
          <w:b/>
          <w:bCs/>
        </w:rPr>
        <w:t xml:space="preserve">. </w:t>
      </w:r>
    </w:p>
    <w:p w14:paraId="01B86B26" w14:textId="06DA45E5" w:rsidR="00AE0F6C" w:rsidRPr="004A596E" w:rsidRDefault="00AE0F6C" w:rsidP="00AE0F6C">
      <w:pPr>
        <w:rPr>
          <w:rFonts w:ascii="Arial Unicode MS" w:eastAsia="Arial Unicode MS" w:hAnsi="Arial Unicode MS" w:cs="Arial Unicode MS"/>
        </w:rPr>
      </w:pPr>
      <w:r w:rsidRPr="004A596E">
        <w:rPr>
          <w:rFonts w:ascii="Arial Unicode MS" w:eastAsia="Arial Unicode MS" w:hAnsi="Arial Unicode MS" w:cs="Arial Unicode MS"/>
        </w:rPr>
        <w:t xml:space="preserve">*AFG: Autologous fibrin glue; BADM: Bovine acellular dermal matrix; CF: Conventional fractionation; </w:t>
      </w:r>
      <w:proofErr w:type="spellStart"/>
      <w:r w:rsidRPr="004A596E">
        <w:rPr>
          <w:rFonts w:ascii="Arial Unicode MS" w:eastAsia="Arial Unicode MS" w:hAnsi="Arial Unicode MS" w:cs="Arial Unicode MS"/>
        </w:rPr>
        <w:t>ciNPWT</w:t>
      </w:r>
      <w:proofErr w:type="spellEnd"/>
      <w:r w:rsidRPr="004A596E">
        <w:rPr>
          <w:rFonts w:ascii="Arial Unicode MS" w:eastAsia="Arial Unicode MS" w:hAnsi="Arial Unicode MS" w:cs="Arial Unicode MS"/>
        </w:rPr>
        <w:t>: Closed-incision negative pressure wound therapy; CTA: CT angiography; ERAS: Enhanced recovery after surgery; HADM: Human acellular dermal matrix; HF: Hypofractionation; LD: Latissimus dorsi muscle flap; PMRT: Postmastectomy radiation therapy; PWB: Physical well-being; QOL: Quality of life; TD: Thoracodorsal artery perforator flap</w:t>
      </w:r>
    </w:p>
    <w:sectPr w:rsidR="00AE0F6C" w:rsidRPr="004A596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A09F8" w14:textId="77777777" w:rsidR="00C66A13" w:rsidRDefault="00C66A13" w:rsidP="004A596E">
      <w:pPr>
        <w:spacing w:after="0"/>
      </w:pPr>
      <w:r>
        <w:separator/>
      </w:r>
    </w:p>
  </w:endnote>
  <w:endnote w:type="continuationSeparator" w:id="0">
    <w:p w14:paraId="4E2880ED" w14:textId="77777777" w:rsidR="00C66A13" w:rsidRDefault="00C66A13" w:rsidP="004A59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4BFDB" w14:textId="77777777" w:rsidR="00C66A13" w:rsidRDefault="00C66A13" w:rsidP="004A596E">
      <w:pPr>
        <w:spacing w:after="0"/>
      </w:pPr>
      <w:r>
        <w:separator/>
      </w:r>
    </w:p>
  </w:footnote>
  <w:footnote w:type="continuationSeparator" w:id="0">
    <w:p w14:paraId="1D17CB1D" w14:textId="77777777" w:rsidR="00C66A13" w:rsidRDefault="00C66A13" w:rsidP="004A59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3B"/>
    <w:rsid w:val="00260D3B"/>
    <w:rsid w:val="00411B5B"/>
    <w:rsid w:val="00435825"/>
    <w:rsid w:val="004A3BDA"/>
    <w:rsid w:val="004A596E"/>
    <w:rsid w:val="00612A26"/>
    <w:rsid w:val="007B6191"/>
    <w:rsid w:val="00806B22"/>
    <w:rsid w:val="00AE0F6C"/>
    <w:rsid w:val="00BF21E1"/>
    <w:rsid w:val="00C66A13"/>
    <w:rsid w:val="00F2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63C60"/>
  <w15:chartTrackingRefBased/>
  <w15:docId w15:val="{9942F116-0FD5-42B0-915F-1ACDBB61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60D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0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0D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0D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0D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0D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0D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0D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0D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60D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60D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60D3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60D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60D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60D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60D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60D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60D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60D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60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0D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60D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0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60D3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0D3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0D3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0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60D3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0D3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A596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A596E"/>
  </w:style>
  <w:style w:type="paragraph" w:styleId="ab">
    <w:name w:val="footer"/>
    <w:basedOn w:val="a"/>
    <w:link w:val="Char4"/>
    <w:uiPriority w:val="99"/>
    <w:unhideWhenUsed/>
    <w:rsid w:val="004A596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4A5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대훈 강</dc:creator>
  <cp:keywords/>
  <dc:description/>
  <cp:lastModifiedBy>대훈 강</cp:lastModifiedBy>
  <cp:revision>4</cp:revision>
  <dcterms:created xsi:type="dcterms:W3CDTF">2025-09-19T17:29:00Z</dcterms:created>
  <dcterms:modified xsi:type="dcterms:W3CDTF">2025-09-20T08:02:00Z</dcterms:modified>
</cp:coreProperties>
</file>