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B9D" w:rsidRPr="00BD595A" w:rsidRDefault="00D35B9D" w:rsidP="00D35B9D">
      <w:pPr>
        <w:pStyle w:val="Heading1"/>
        <w:spacing w:line="480" w:lineRule="auto"/>
        <w:jc w:val="both"/>
        <w:rPr>
          <w:rFonts w:cstheme="majorHAnsi"/>
          <w:color w:val="000000" w:themeColor="text1"/>
        </w:rPr>
      </w:pPr>
      <w:bookmarkStart w:id="0" w:name="_Toc197883152"/>
      <w:r w:rsidRPr="00BD595A">
        <w:rPr>
          <w:rFonts w:cstheme="majorHAnsi"/>
          <w:b/>
          <w:color w:val="000000" w:themeColor="text1"/>
        </w:rPr>
        <w:t>APPENDICES</w:t>
      </w:r>
      <w:bookmarkEnd w:id="0"/>
      <w:r w:rsidRPr="00BD595A">
        <w:rPr>
          <w:rFonts w:cstheme="majorHAnsi"/>
          <w:b/>
          <w:color w:val="000000" w:themeColor="text1"/>
        </w:rPr>
        <w:t xml:space="preserve"> </w:t>
      </w:r>
    </w:p>
    <w:p w:rsidR="00D35B9D" w:rsidRPr="00BD595A" w:rsidRDefault="00D35B9D" w:rsidP="00D35B9D">
      <w:pPr>
        <w:pStyle w:val="Heading2"/>
        <w:spacing w:line="480" w:lineRule="auto"/>
        <w:rPr>
          <w:rFonts w:cstheme="majorHAnsi"/>
          <w:b/>
          <w:color w:val="000000" w:themeColor="text1"/>
        </w:rPr>
      </w:pPr>
      <w:bookmarkStart w:id="1" w:name="_Toc197883153"/>
      <w:r w:rsidRPr="00BD595A">
        <w:rPr>
          <w:color w:val="000000" w:themeColor="text1"/>
        </w:rPr>
        <w:t>Appendix 1 - McGowan Grading</w:t>
      </w:r>
      <w:bookmarkEnd w:id="1"/>
    </w:p>
    <w:tbl>
      <w:tblPr>
        <w:tblStyle w:val="GridTableLight"/>
        <w:tblW w:w="0" w:type="auto"/>
        <w:tblLook w:val="04A0" w:firstRow="1" w:lastRow="0" w:firstColumn="1" w:lastColumn="0" w:noHBand="0" w:noVBand="1"/>
      </w:tblPr>
      <w:tblGrid>
        <w:gridCol w:w="1951"/>
        <w:gridCol w:w="4253"/>
      </w:tblGrid>
      <w:tr w:rsidR="00D35B9D" w:rsidRPr="00BD595A" w:rsidTr="00CB686F">
        <w:trPr>
          <w:trHeight w:val="308"/>
        </w:trPr>
        <w:tc>
          <w:tcPr>
            <w:tcW w:w="1951" w:type="dxa"/>
          </w:tcPr>
          <w:p w:rsidR="00D35B9D" w:rsidRPr="00BD595A" w:rsidRDefault="00D35B9D" w:rsidP="00CB686F">
            <w:pPr>
              <w:spacing w:line="48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McGowan Grade</w:t>
            </w:r>
          </w:p>
        </w:tc>
        <w:tc>
          <w:tcPr>
            <w:tcW w:w="4253" w:type="dxa"/>
          </w:tcPr>
          <w:p w:rsidR="00D35B9D" w:rsidRPr="00BD595A" w:rsidRDefault="00D35B9D" w:rsidP="00CB686F">
            <w:pPr>
              <w:spacing w:line="48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Clinical Features</w:t>
            </w:r>
          </w:p>
        </w:tc>
      </w:tr>
      <w:tr w:rsidR="00D35B9D" w:rsidRPr="00BD595A" w:rsidTr="00CB686F">
        <w:trPr>
          <w:trHeight w:val="292"/>
        </w:trPr>
        <w:tc>
          <w:tcPr>
            <w:tcW w:w="1951" w:type="dxa"/>
          </w:tcPr>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Grade 1</w:t>
            </w:r>
          </w:p>
        </w:tc>
        <w:tc>
          <w:tcPr>
            <w:tcW w:w="4253" w:type="dxa"/>
          </w:tcPr>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Minimal lesion</w:t>
            </w:r>
          </w:p>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Paraesthesia and subjective clumsiness</w:t>
            </w:r>
          </w:p>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No motor deficit</w:t>
            </w:r>
          </w:p>
        </w:tc>
      </w:tr>
      <w:tr w:rsidR="00D35B9D" w:rsidRPr="00BD595A" w:rsidTr="00CB686F">
        <w:trPr>
          <w:trHeight w:val="308"/>
        </w:trPr>
        <w:tc>
          <w:tcPr>
            <w:tcW w:w="1951" w:type="dxa"/>
          </w:tcPr>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Grade 2</w:t>
            </w:r>
          </w:p>
        </w:tc>
        <w:tc>
          <w:tcPr>
            <w:tcW w:w="4253" w:type="dxa"/>
          </w:tcPr>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Intermediate lesion</w:t>
            </w:r>
          </w:p>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Paraesthesia and sensory loss</w:t>
            </w:r>
          </w:p>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Motor weakness ± some muscle wasting</w:t>
            </w:r>
          </w:p>
        </w:tc>
      </w:tr>
      <w:tr w:rsidR="00D35B9D" w:rsidRPr="00BD595A" w:rsidTr="00CB686F">
        <w:trPr>
          <w:trHeight w:val="308"/>
        </w:trPr>
        <w:tc>
          <w:tcPr>
            <w:tcW w:w="1951" w:type="dxa"/>
          </w:tcPr>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Grade 3</w:t>
            </w:r>
          </w:p>
        </w:tc>
        <w:tc>
          <w:tcPr>
            <w:tcW w:w="4253" w:type="dxa"/>
          </w:tcPr>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Severe lesion</w:t>
            </w:r>
          </w:p>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Paraesthesia and sensory loss</w:t>
            </w:r>
          </w:p>
          <w:p w:rsidR="00D35B9D" w:rsidRPr="00BD595A" w:rsidRDefault="00D35B9D" w:rsidP="00CB686F">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Severe motor deficit and muscle wasting</w:t>
            </w:r>
          </w:p>
        </w:tc>
      </w:tr>
    </w:tbl>
    <w:p w:rsidR="00D35B9D" w:rsidRPr="00BD595A" w:rsidRDefault="00D35B9D" w:rsidP="00D35B9D">
      <w:pPr>
        <w:rPr>
          <w:rFonts w:asciiTheme="majorHAnsi" w:hAnsiTheme="majorHAnsi" w:cstheme="majorHAnsi"/>
          <w:color w:val="000000" w:themeColor="text1"/>
        </w:rPr>
      </w:pPr>
      <w:r w:rsidRPr="00BD595A">
        <w:rPr>
          <w:rFonts w:asciiTheme="majorHAnsi" w:hAnsiTheme="majorHAnsi" w:cstheme="majorHAnsi"/>
          <w:color w:val="000000" w:themeColor="text1"/>
        </w:rPr>
        <w:br w:type="page"/>
      </w:r>
    </w:p>
    <w:p w:rsidR="00D35B9D" w:rsidRPr="00BD595A" w:rsidRDefault="00D35B9D" w:rsidP="00D35B9D">
      <w:pPr>
        <w:pStyle w:val="Heading2"/>
        <w:spacing w:line="480" w:lineRule="auto"/>
        <w:rPr>
          <w:color w:val="000000" w:themeColor="text1"/>
        </w:rPr>
      </w:pPr>
      <w:bookmarkStart w:id="2" w:name="_Toc197883154"/>
      <w:r w:rsidRPr="00BD595A">
        <w:rPr>
          <w:color w:val="000000" w:themeColor="text1"/>
        </w:rPr>
        <w:lastRenderedPageBreak/>
        <w:t xml:space="preserve">Appendix 2 – Wilson </w:t>
      </w:r>
      <w:proofErr w:type="spellStart"/>
      <w:r w:rsidRPr="00BD595A">
        <w:rPr>
          <w:color w:val="000000" w:themeColor="text1"/>
        </w:rPr>
        <w:t>Krout</w:t>
      </w:r>
      <w:proofErr w:type="spellEnd"/>
      <w:r w:rsidRPr="00BD595A">
        <w:rPr>
          <w:color w:val="000000" w:themeColor="text1"/>
        </w:rPr>
        <w:t xml:space="preserve"> Grading</w:t>
      </w:r>
      <w:bookmarkEnd w:id="2"/>
    </w:p>
    <w:tbl>
      <w:tblPr>
        <w:tblStyle w:val="GridTableLight"/>
        <w:tblW w:w="0" w:type="auto"/>
        <w:tblLook w:val="01E0" w:firstRow="1" w:lastRow="1" w:firstColumn="1" w:lastColumn="1" w:noHBand="0" w:noVBand="0"/>
      </w:tblPr>
      <w:tblGrid>
        <w:gridCol w:w="1838"/>
        <w:gridCol w:w="6684"/>
      </w:tblGrid>
      <w:tr w:rsidR="00D35B9D" w:rsidRPr="00BD595A" w:rsidTr="00CB686F">
        <w:tc>
          <w:tcPr>
            <w:tcW w:w="1838" w:type="dxa"/>
          </w:tcPr>
          <w:p w:rsidR="00D35B9D" w:rsidRPr="00BD595A" w:rsidRDefault="00D35B9D" w:rsidP="00CB686F">
            <w:pPr>
              <w:spacing w:line="360" w:lineRule="auto"/>
              <w:jc w:val="both"/>
              <w:rPr>
                <w:rFonts w:asciiTheme="majorHAnsi" w:eastAsiaTheme="minorHAnsi" w:hAnsiTheme="majorHAnsi" w:cstheme="majorHAnsi"/>
                <w:b/>
                <w:bCs/>
                <w:color w:val="000000" w:themeColor="text1"/>
                <w:lang w:eastAsia="en-US"/>
              </w:rPr>
            </w:pPr>
            <w:r w:rsidRPr="00BD595A">
              <w:rPr>
                <w:rFonts w:asciiTheme="majorHAnsi" w:hAnsiTheme="majorHAnsi" w:cstheme="majorHAnsi"/>
                <w:b/>
                <w:bCs/>
                <w:color w:val="000000" w:themeColor="text1"/>
              </w:rPr>
              <w:t>Grading</w:t>
            </w:r>
          </w:p>
        </w:tc>
        <w:tc>
          <w:tcPr>
            <w:tcW w:w="6684" w:type="dxa"/>
          </w:tcPr>
          <w:p w:rsidR="00D35B9D" w:rsidRPr="00BD595A" w:rsidRDefault="00D35B9D" w:rsidP="00CB686F">
            <w:pPr>
              <w:spacing w:line="360" w:lineRule="auto"/>
              <w:jc w:val="both"/>
              <w:rPr>
                <w:rFonts w:asciiTheme="majorHAnsi" w:eastAsiaTheme="minorHAnsi" w:hAnsiTheme="majorHAnsi" w:cstheme="majorHAnsi"/>
                <w:b/>
                <w:bCs/>
                <w:color w:val="000000" w:themeColor="text1"/>
                <w:lang w:eastAsia="en-US"/>
              </w:rPr>
            </w:pPr>
            <w:r w:rsidRPr="00BD595A">
              <w:rPr>
                <w:rFonts w:asciiTheme="majorHAnsi" w:hAnsiTheme="majorHAnsi" w:cstheme="majorHAnsi"/>
                <w:b/>
                <w:bCs/>
                <w:color w:val="000000" w:themeColor="text1"/>
              </w:rPr>
              <w:t>Definition</w:t>
            </w:r>
          </w:p>
        </w:tc>
      </w:tr>
      <w:tr w:rsidR="00D35B9D" w:rsidRPr="00BD595A" w:rsidTr="00CB686F">
        <w:tc>
          <w:tcPr>
            <w:tcW w:w="1838" w:type="dxa"/>
          </w:tcPr>
          <w:p w:rsidR="00D35B9D" w:rsidRPr="00BD595A" w:rsidRDefault="00D35B9D" w:rsidP="00CB686F">
            <w:pPr>
              <w:spacing w:line="360" w:lineRule="auto"/>
              <w:jc w:val="both"/>
              <w:rPr>
                <w:rFonts w:asciiTheme="majorHAnsi" w:eastAsiaTheme="minorHAnsi" w:hAnsiTheme="majorHAnsi" w:cstheme="majorHAnsi"/>
                <w:color w:val="000000" w:themeColor="text1"/>
                <w:lang w:eastAsia="en-US"/>
              </w:rPr>
            </w:pPr>
            <w:r w:rsidRPr="00BD595A">
              <w:rPr>
                <w:rFonts w:asciiTheme="majorHAnsi" w:hAnsiTheme="majorHAnsi" w:cstheme="majorHAnsi"/>
                <w:color w:val="000000" w:themeColor="text1"/>
              </w:rPr>
              <w:t>Excellent</w:t>
            </w:r>
          </w:p>
        </w:tc>
        <w:tc>
          <w:tcPr>
            <w:tcW w:w="6684" w:type="dxa"/>
          </w:tcPr>
          <w:p w:rsidR="00D35B9D" w:rsidRPr="00BD595A" w:rsidRDefault="00D35B9D" w:rsidP="00D35B9D">
            <w:pPr>
              <w:pStyle w:val="ListParagraph"/>
              <w:numPr>
                <w:ilvl w:val="0"/>
                <w:numId w:val="1"/>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Normal function </w:t>
            </w:r>
          </w:p>
          <w:p w:rsidR="00D35B9D" w:rsidRPr="00BD595A" w:rsidRDefault="00D35B9D" w:rsidP="00D35B9D">
            <w:pPr>
              <w:pStyle w:val="ListParagraph"/>
              <w:numPr>
                <w:ilvl w:val="0"/>
                <w:numId w:val="1"/>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Minimal sensory/motor symptoms </w:t>
            </w:r>
          </w:p>
          <w:p w:rsidR="00D35B9D" w:rsidRPr="00BD595A" w:rsidRDefault="00D35B9D" w:rsidP="00D35B9D">
            <w:pPr>
              <w:pStyle w:val="ListParagraph"/>
              <w:numPr>
                <w:ilvl w:val="0"/>
                <w:numId w:val="1"/>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No pain</w:t>
            </w:r>
          </w:p>
        </w:tc>
      </w:tr>
      <w:tr w:rsidR="00D35B9D" w:rsidRPr="00BD595A" w:rsidTr="00CB686F">
        <w:tc>
          <w:tcPr>
            <w:tcW w:w="1838" w:type="dxa"/>
          </w:tcPr>
          <w:p w:rsidR="00D35B9D" w:rsidRPr="00BD595A" w:rsidRDefault="00D35B9D" w:rsidP="00CB686F">
            <w:pPr>
              <w:spacing w:line="360" w:lineRule="auto"/>
              <w:jc w:val="both"/>
              <w:rPr>
                <w:rFonts w:asciiTheme="majorHAnsi" w:eastAsiaTheme="minorHAnsi" w:hAnsiTheme="majorHAnsi" w:cstheme="majorHAnsi"/>
                <w:color w:val="000000" w:themeColor="text1"/>
                <w:lang w:eastAsia="en-US"/>
              </w:rPr>
            </w:pPr>
            <w:r w:rsidRPr="00BD595A">
              <w:rPr>
                <w:rFonts w:asciiTheme="majorHAnsi" w:hAnsiTheme="majorHAnsi" w:cstheme="majorHAnsi"/>
                <w:color w:val="000000" w:themeColor="text1"/>
              </w:rPr>
              <w:t>Good</w:t>
            </w:r>
          </w:p>
        </w:tc>
        <w:tc>
          <w:tcPr>
            <w:tcW w:w="6684" w:type="dxa"/>
          </w:tcPr>
          <w:p w:rsidR="00D35B9D" w:rsidRPr="00BD595A" w:rsidRDefault="00D35B9D" w:rsidP="00D35B9D">
            <w:pPr>
              <w:pStyle w:val="ListParagraph"/>
              <w:numPr>
                <w:ilvl w:val="0"/>
                <w:numId w:val="2"/>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Improved</w:t>
            </w:r>
          </w:p>
          <w:p w:rsidR="00D35B9D" w:rsidRPr="00BD595A" w:rsidRDefault="00D35B9D" w:rsidP="00D35B9D">
            <w:pPr>
              <w:pStyle w:val="ListParagraph"/>
              <w:numPr>
                <w:ilvl w:val="0"/>
                <w:numId w:val="2"/>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Mild Sensory/motor symptoms, </w:t>
            </w:r>
          </w:p>
          <w:p w:rsidR="00D35B9D" w:rsidRPr="00BD595A" w:rsidRDefault="00D35B9D" w:rsidP="00D35B9D">
            <w:pPr>
              <w:pStyle w:val="ListParagraph"/>
              <w:numPr>
                <w:ilvl w:val="0"/>
                <w:numId w:val="2"/>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Occasional pain</w:t>
            </w:r>
          </w:p>
        </w:tc>
      </w:tr>
      <w:tr w:rsidR="00D35B9D" w:rsidRPr="00BD595A" w:rsidTr="00CB686F">
        <w:tc>
          <w:tcPr>
            <w:tcW w:w="1838" w:type="dxa"/>
          </w:tcPr>
          <w:p w:rsidR="00D35B9D" w:rsidRPr="00BD595A" w:rsidRDefault="00D35B9D" w:rsidP="00CB686F">
            <w:pPr>
              <w:spacing w:line="360" w:lineRule="auto"/>
              <w:jc w:val="both"/>
              <w:rPr>
                <w:rFonts w:asciiTheme="majorHAnsi" w:eastAsiaTheme="minorHAnsi" w:hAnsiTheme="majorHAnsi" w:cstheme="majorHAnsi"/>
                <w:color w:val="000000" w:themeColor="text1"/>
                <w:lang w:eastAsia="en-US"/>
              </w:rPr>
            </w:pPr>
            <w:r w:rsidRPr="00BD595A">
              <w:rPr>
                <w:rFonts w:asciiTheme="majorHAnsi" w:hAnsiTheme="majorHAnsi" w:cstheme="majorHAnsi"/>
                <w:color w:val="000000" w:themeColor="text1"/>
              </w:rPr>
              <w:t>Fair</w:t>
            </w:r>
          </w:p>
        </w:tc>
        <w:tc>
          <w:tcPr>
            <w:tcW w:w="6684" w:type="dxa"/>
          </w:tcPr>
          <w:p w:rsidR="00D35B9D" w:rsidRPr="00BD595A" w:rsidRDefault="00D35B9D" w:rsidP="00D35B9D">
            <w:pPr>
              <w:pStyle w:val="ListParagraph"/>
              <w:numPr>
                <w:ilvl w:val="0"/>
                <w:numId w:val="3"/>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Better</w:t>
            </w:r>
          </w:p>
          <w:p w:rsidR="00D35B9D" w:rsidRPr="00BD595A" w:rsidRDefault="00D35B9D" w:rsidP="00D35B9D">
            <w:pPr>
              <w:pStyle w:val="ListParagraph"/>
              <w:numPr>
                <w:ilvl w:val="0"/>
                <w:numId w:val="3"/>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Moderate sensory/motor symptoms/weakness</w:t>
            </w:r>
          </w:p>
          <w:p w:rsidR="00D35B9D" w:rsidRPr="00BD595A" w:rsidRDefault="00D35B9D" w:rsidP="00D35B9D">
            <w:pPr>
              <w:pStyle w:val="ListParagraph"/>
              <w:numPr>
                <w:ilvl w:val="0"/>
                <w:numId w:val="3"/>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Consistent pain</w:t>
            </w:r>
          </w:p>
        </w:tc>
      </w:tr>
      <w:tr w:rsidR="00D35B9D" w:rsidRPr="00BD595A" w:rsidTr="00CB686F">
        <w:tc>
          <w:tcPr>
            <w:tcW w:w="1838" w:type="dxa"/>
          </w:tcPr>
          <w:p w:rsidR="00D35B9D" w:rsidRPr="00BD595A" w:rsidRDefault="00D35B9D" w:rsidP="00CB686F">
            <w:pPr>
              <w:spacing w:line="360" w:lineRule="auto"/>
              <w:jc w:val="both"/>
              <w:rPr>
                <w:rFonts w:asciiTheme="majorHAnsi" w:eastAsiaTheme="minorHAnsi" w:hAnsiTheme="majorHAnsi" w:cstheme="majorHAnsi"/>
                <w:color w:val="000000" w:themeColor="text1"/>
                <w:lang w:eastAsia="en-US"/>
              </w:rPr>
            </w:pPr>
            <w:r w:rsidRPr="00BD595A">
              <w:rPr>
                <w:rFonts w:asciiTheme="majorHAnsi" w:hAnsiTheme="majorHAnsi" w:cstheme="majorHAnsi"/>
                <w:color w:val="000000" w:themeColor="text1"/>
              </w:rPr>
              <w:t>Poor</w:t>
            </w:r>
          </w:p>
        </w:tc>
        <w:tc>
          <w:tcPr>
            <w:tcW w:w="6684" w:type="dxa"/>
          </w:tcPr>
          <w:p w:rsidR="00D35B9D" w:rsidRPr="00BD595A" w:rsidRDefault="00D35B9D" w:rsidP="00D35B9D">
            <w:pPr>
              <w:pStyle w:val="ListParagraph"/>
              <w:numPr>
                <w:ilvl w:val="0"/>
                <w:numId w:val="4"/>
              </w:numPr>
              <w:spacing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No improvement or worse</w:t>
            </w:r>
          </w:p>
        </w:tc>
      </w:tr>
    </w:tbl>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hd w:val="clear" w:color="auto" w:fill="FFFFFF"/>
        <w:spacing w:line="48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To assess clinical improvement, the Wilson </w:t>
      </w:r>
      <w:proofErr w:type="spellStart"/>
      <w:r w:rsidRPr="00BD595A">
        <w:rPr>
          <w:rFonts w:asciiTheme="majorHAnsi" w:hAnsiTheme="majorHAnsi" w:cstheme="majorHAnsi"/>
          <w:color w:val="000000" w:themeColor="text1"/>
          <w:sz w:val="22"/>
          <w:szCs w:val="22"/>
        </w:rPr>
        <w:t>Krout</w:t>
      </w:r>
      <w:proofErr w:type="spellEnd"/>
      <w:r w:rsidRPr="00BD595A">
        <w:rPr>
          <w:rFonts w:asciiTheme="majorHAnsi" w:hAnsiTheme="majorHAnsi" w:cstheme="majorHAnsi"/>
          <w:color w:val="000000" w:themeColor="text1"/>
          <w:sz w:val="22"/>
          <w:szCs w:val="22"/>
        </w:rPr>
        <w:t xml:space="preserve"> Classification will be used in conjunction with the McGowan (</w:t>
      </w:r>
      <w:proofErr w:type="spellStart"/>
      <w:r w:rsidRPr="00BD595A">
        <w:rPr>
          <w:rFonts w:asciiTheme="majorHAnsi" w:hAnsiTheme="majorHAnsi" w:cstheme="majorHAnsi"/>
          <w:color w:val="000000" w:themeColor="text1"/>
          <w:sz w:val="22"/>
          <w:szCs w:val="22"/>
        </w:rPr>
        <w:t>McG</w:t>
      </w:r>
      <w:proofErr w:type="spellEnd"/>
      <w:r w:rsidRPr="00BD595A">
        <w:rPr>
          <w:rFonts w:asciiTheme="majorHAnsi" w:hAnsiTheme="majorHAnsi" w:cstheme="majorHAnsi"/>
          <w:color w:val="000000" w:themeColor="text1"/>
          <w:sz w:val="22"/>
          <w:szCs w:val="22"/>
        </w:rPr>
        <w:t>) disease severity grading. The following criteria will be used to standardise the grading of clinical outcome:</w:t>
      </w:r>
    </w:p>
    <w:p w:rsidR="00D35B9D" w:rsidRPr="00BD595A" w:rsidRDefault="00D35B9D" w:rsidP="00D35B9D">
      <w:pPr>
        <w:shd w:val="clear" w:color="auto" w:fill="FFFFFF"/>
        <w:spacing w:line="480" w:lineRule="auto"/>
        <w:jc w:val="both"/>
        <w:rPr>
          <w:rFonts w:asciiTheme="majorHAnsi" w:hAnsiTheme="majorHAnsi" w:cstheme="majorHAnsi"/>
          <w:color w:val="000000" w:themeColor="text1"/>
          <w:sz w:val="22"/>
          <w:szCs w:val="22"/>
        </w:rPr>
      </w:pPr>
    </w:p>
    <w:tbl>
      <w:tblPr>
        <w:tblStyle w:val="GridTableLight"/>
        <w:tblW w:w="0" w:type="auto"/>
        <w:tblLook w:val="04A0" w:firstRow="1" w:lastRow="0" w:firstColumn="1" w:lastColumn="0" w:noHBand="0" w:noVBand="1"/>
      </w:tblPr>
      <w:tblGrid>
        <w:gridCol w:w="1839"/>
        <w:gridCol w:w="7165"/>
      </w:tblGrid>
      <w:tr w:rsidR="00D35B9D" w:rsidRPr="00BD595A" w:rsidTr="00CB686F">
        <w:trPr>
          <w:trHeight w:val="300"/>
        </w:trPr>
        <w:tc>
          <w:tcPr>
            <w:tcW w:w="1839"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b/>
                <w:bCs/>
                <w:color w:val="000000" w:themeColor="text1"/>
                <w:sz w:val="22"/>
                <w:szCs w:val="22"/>
              </w:rPr>
              <w:t>Outcome</w:t>
            </w:r>
          </w:p>
        </w:tc>
        <w:tc>
          <w:tcPr>
            <w:tcW w:w="7165"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b/>
                <w:bCs/>
                <w:color w:val="000000" w:themeColor="text1"/>
                <w:sz w:val="22"/>
                <w:szCs w:val="22"/>
              </w:rPr>
              <w:t>Criteria to be met</w:t>
            </w:r>
          </w:p>
        </w:tc>
      </w:tr>
      <w:tr w:rsidR="00D35B9D" w:rsidRPr="00BD595A" w:rsidTr="00CB686F">
        <w:trPr>
          <w:trHeight w:val="300"/>
        </w:trPr>
        <w:tc>
          <w:tcPr>
            <w:tcW w:w="1839"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Excellent</w:t>
            </w:r>
          </w:p>
        </w:tc>
        <w:tc>
          <w:tcPr>
            <w:tcW w:w="7165"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Complete resolution of all symptoms</w:t>
            </w:r>
          </w:p>
        </w:tc>
      </w:tr>
      <w:tr w:rsidR="00D35B9D" w:rsidRPr="00BD595A" w:rsidTr="00CB686F">
        <w:trPr>
          <w:trHeight w:val="300"/>
        </w:trPr>
        <w:tc>
          <w:tcPr>
            <w:tcW w:w="1839"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Good</w:t>
            </w:r>
          </w:p>
        </w:tc>
        <w:tc>
          <w:tcPr>
            <w:tcW w:w="7165"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u w:val="single"/>
              </w:rPr>
              <w:t>EITHER</w:t>
            </w:r>
            <w:r w:rsidRPr="00BD595A">
              <w:rPr>
                <w:rFonts w:asciiTheme="majorHAnsi" w:hAnsiTheme="majorHAnsi" w:cstheme="majorHAnsi"/>
                <w:color w:val="000000" w:themeColor="text1"/>
                <w:sz w:val="22"/>
                <w:szCs w:val="22"/>
              </w:rPr>
              <w:t> </w:t>
            </w:r>
          </w:p>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A </w:t>
            </w:r>
            <w:r w:rsidRPr="00BD595A">
              <w:rPr>
                <w:rFonts w:asciiTheme="majorHAnsi" w:hAnsiTheme="majorHAnsi" w:cstheme="majorHAnsi"/>
                <w:color w:val="000000" w:themeColor="text1"/>
                <w:sz w:val="22"/>
                <w:szCs w:val="22"/>
                <w:shd w:val="clear" w:color="auto" w:fill="FFFFFF"/>
              </w:rPr>
              <w:t xml:space="preserve">2-point improvement from a </w:t>
            </w:r>
            <w:proofErr w:type="spellStart"/>
            <w:r w:rsidRPr="00BD595A">
              <w:rPr>
                <w:rFonts w:asciiTheme="majorHAnsi" w:hAnsiTheme="majorHAnsi" w:cstheme="majorHAnsi"/>
                <w:color w:val="000000" w:themeColor="text1"/>
                <w:sz w:val="22"/>
                <w:szCs w:val="22"/>
                <w:shd w:val="clear" w:color="auto" w:fill="FFFFFF"/>
              </w:rPr>
              <w:t>McG</w:t>
            </w:r>
            <w:proofErr w:type="spellEnd"/>
            <w:r w:rsidRPr="00BD595A">
              <w:rPr>
                <w:rFonts w:asciiTheme="majorHAnsi" w:hAnsiTheme="majorHAnsi" w:cstheme="majorHAnsi"/>
                <w:color w:val="000000" w:themeColor="text1"/>
                <w:sz w:val="22"/>
                <w:szCs w:val="22"/>
                <w:shd w:val="clear" w:color="auto" w:fill="FFFFFF"/>
              </w:rPr>
              <w:t xml:space="preserve"> 3 to </w:t>
            </w:r>
            <w:proofErr w:type="spellStart"/>
            <w:r w:rsidRPr="00BD595A">
              <w:rPr>
                <w:rFonts w:asciiTheme="majorHAnsi" w:hAnsiTheme="majorHAnsi" w:cstheme="majorHAnsi"/>
                <w:color w:val="000000" w:themeColor="text1"/>
                <w:sz w:val="22"/>
                <w:szCs w:val="22"/>
                <w:shd w:val="clear" w:color="auto" w:fill="FFFFFF"/>
              </w:rPr>
              <w:t>McG</w:t>
            </w:r>
            <w:proofErr w:type="spellEnd"/>
            <w:r w:rsidRPr="00BD595A">
              <w:rPr>
                <w:rFonts w:asciiTheme="majorHAnsi" w:hAnsiTheme="majorHAnsi" w:cstheme="majorHAnsi"/>
                <w:color w:val="000000" w:themeColor="text1"/>
                <w:sz w:val="22"/>
                <w:szCs w:val="22"/>
                <w:shd w:val="clear" w:color="auto" w:fill="FFFFFF"/>
              </w:rPr>
              <w:t xml:space="preserve"> 1; then upgrade or downgrade according to pain symptoms as follows: </w:t>
            </w:r>
          </w:p>
          <w:p w:rsidR="00D35B9D" w:rsidRPr="00BD595A" w:rsidRDefault="00D35B9D" w:rsidP="00D35B9D">
            <w:pPr>
              <w:numPr>
                <w:ilvl w:val="0"/>
                <w:numId w:val="5"/>
              </w:numPr>
              <w:spacing w:before="100" w:beforeAutospacing="1" w:after="100" w:afterAutospacing="1" w:line="360" w:lineRule="auto"/>
              <w:ind w:left="945"/>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if pain is consistently present, downgrade to a FAIR outcome</w:t>
            </w:r>
          </w:p>
          <w:p w:rsidR="00D35B9D" w:rsidRPr="00BD595A" w:rsidRDefault="00D35B9D" w:rsidP="00D35B9D">
            <w:pPr>
              <w:numPr>
                <w:ilvl w:val="0"/>
                <w:numId w:val="5"/>
              </w:numPr>
              <w:spacing w:before="100" w:beforeAutospacing="1" w:after="100" w:afterAutospacing="1" w:line="360" w:lineRule="auto"/>
              <w:ind w:left="945"/>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if pain is occasionally present, maintain at a GOOD outcome</w:t>
            </w:r>
          </w:p>
          <w:p w:rsidR="00D35B9D" w:rsidRPr="00BD595A" w:rsidRDefault="00D35B9D" w:rsidP="00D35B9D">
            <w:pPr>
              <w:numPr>
                <w:ilvl w:val="0"/>
                <w:numId w:val="5"/>
              </w:numPr>
              <w:spacing w:before="100" w:beforeAutospacing="1" w:after="100" w:afterAutospacing="1" w:line="360" w:lineRule="auto"/>
              <w:ind w:left="945"/>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if pain is absent, upgrade to an EXCELLENT outcome</w:t>
            </w:r>
          </w:p>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u w:val="single"/>
                <w:shd w:val="clear" w:color="auto" w:fill="FFFFFF"/>
              </w:rPr>
              <w:t>OR</w:t>
            </w:r>
          </w:p>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shd w:val="clear" w:color="auto" w:fill="FFFFFF"/>
              </w:rPr>
              <w:t xml:space="preserve">A 1-point improvement from a </w:t>
            </w:r>
            <w:proofErr w:type="spellStart"/>
            <w:r w:rsidRPr="00BD595A">
              <w:rPr>
                <w:rFonts w:asciiTheme="majorHAnsi" w:hAnsiTheme="majorHAnsi" w:cstheme="majorHAnsi"/>
                <w:color w:val="000000" w:themeColor="text1"/>
                <w:sz w:val="22"/>
                <w:szCs w:val="22"/>
                <w:shd w:val="clear" w:color="auto" w:fill="FFFFFF"/>
              </w:rPr>
              <w:t>McG</w:t>
            </w:r>
            <w:proofErr w:type="spellEnd"/>
            <w:r w:rsidRPr="00BD595A">
              <w:rPr>
                <w:rFonts w:asciiTheme="majorHAnsi" w:hAnsiTheme="majorHAnsi" w:cstheme="majorHAnsi"/>
                <w:color w:val="000000" w:themeColor="text1"/>
                <w:sz w:val="22"/>
                <w:szCs w:val="22"/>
                <w:shd w:val="clear" w:color="auto" w:fill="FFFFFF"/>
              </w:rPr>
              <w:t xml:space="preserve"> 2 to a </w:t>
            </w:r>
            <w:proofErr w:type="spellStart"/>
            <w:r w:rsidRPr="00BD595A">
              <w:rPr>
                <w:rFonts w:asciiTheme="majorHAnsi" w:hAnsiTheme="majorHAnsi" w:cstheme="majorHAnsi"/>
                <w:color w:val="000000" w:themeColor="text1"/>
                <w:sz w:val="22"/>
                <w:szCs w:val="22"/>
                <w:shd w:val="clear" w:color="auto" w:fill="FFFFFF"/>
              </w:rPr>
              <w:t>McG</w:t>
            </w:r>
            <w:proofErr w:type="spellEnd"/>
            <w:r w:rsidRPr="00BD595A">
              <w:rPr>
                <w:rFonts w:asciiTheme="majorHAnsi" w:hAnsiTheme="majorHAnsi" w:cstheme="majorHAnsi"/>
                <w:color w:val="000000" w:themeColor="text1"/>
                <w:sz w:val="22"/>
                <w:szCs w:val="22"/>
                <w:shd w:val="clear" w:color="auto" w:fill="FFFFFF"/>
              </w:rPr>
              <w:t xml:space="preserve"> 1</w:t>
            </w:r>
          </w:p>
        </w:tc>
      </w:tr>
      <w:tr w:rsidR="00D35B9D" w:rsidRPr="00BD595A" w:rsidTr="00CB686F">
        <w:trPr>
          <w:trHeight w:val="300"/>
        </w:trPr>
        <w:tc>
          <w:tcPr>
            <w:tcW w:w="1839"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FAIR</w:t>
            </w:r>
          </w:p>
        </w:tc>
        <w:tc>
          <w:tcPr>
            <w:tcW w:w="7165"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A 1-point improvement from a </w:t>
            </w:r>
            <w:proofErr w:type="spellStart"/>
            <w:r w:rsidRPr="00BD595A">
              <w:rPr>
                <w:rFonts w:asciiTheme="majorHAnsi" w:hAnsiTheme="majorHAnsi" w:cstheme="majorHAnsi"/>
                <w:color w:val="000000" w:themeColor="text1"/>
                <w:sz w:val="22"/>
                <w:szCs w:val="22"/>
              </w:rPr>
              <w:t>McG</w:t>
            </w:r>
            <w:proofErr w:type="spellEnd"/>
            <w:r w:rsidRPr="00BD595A">
              <w:rPr>
                <w:rFonts w:asciiTheme="majorHAnsi" w:hAnsiTheme="majorHAnsi" w:cstheme="majorHAnsi"/>
                <w:color w:val="000000" w:themeColor="text1"/>
                <w:sz w:val="22"/>
                <w:szCs w:val="22"/>
              </w:rPr>
              <w:t xml:space="preserve"> 3 to a </w:t>
            </w:r>
            <w:proofErr w:type="spellStart"/>
            <w:r w:rsidRPr="00BD595A">
              <w:rPr>
                <w:rFonts w:asciiTheme="majorHAnsi" w:hAnsiTheme="majorHAnsi" w:cstheme="majorHAnsi"/>
                <w:color w:val="000000" w:themeColor="text1"/>
                <w:sz w:val="22"/>
                <w:szCs w:val="22"/>
              </w:rPr>
              <w:t>McG</w:t>
            </w:r>
            <w:proofErr w:type="spellEnd"/>
            <w:r w:rsidRPr="00BD595A">
              <w:rPr>
                <w:rFonts w:asciiTheme="majorHAnsi" w:hAnsiTheme="majorHAnsi" w:cstheme="majorHAnsi"/>
                <w:color w:val="000000" w:themeColor="text1"/>
                <w:sz w:val="22"/>
                <w:szCs w:val="22"/>
              </w:rPr>
              <w:t xml:space="preserve"> 2</w:t>
            </w:r>
          </w:p>
        </w:tc>
      </w:tr>
      <w:tr w:rsidR="00D35B9D" w:rsidRPr="00BD595A" w:rsidTr="00CB686F">
        <w:trPr>
          <w:trHeight w:val="300"/>
        </w:trPr>
        <w:tc>
          <w:tcPr>
            <w:tcW w:w="1839"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POOR</w:t>
            </w:r>
          </w:p>
        </w:tc>
        <w:tc>
          <w:tcPr>
            <w:tcW w:w="7165" w:type="dxa"/>
            <w:hideMark/>
          </w:tcPr>
          <w:p w:rsidR="00D35B9D" w:rsidRPr="00BD595A" w:rsidRDefault="00D35B9D" w:rsidP="00CB686F">
            <w:pPr>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No change in McGowan grading of disease severity</w:t>
            </w:r>
          </w:p>
        </w:tc>
      </w:tr>
    </w:tbl>
    <w:p w:rsidR="00D35B9D" w:rsidRPr="00BD595A" w:rsidRDefault="00D35B9D" w:rsidP="00D35B9D">
      <w:pPr>
        <w:pStyle w:val="Heading2"/>
        <w:spacing w:line="480" w:lineRule="auto"/>
        <w:rPr>
          <w:color w:val="000000" w:themeColor="text1"/>
        </w:rPr>
      </w:pPr>
      <w:bookmarkStart w:id="3" w:name="_Toc197883155"/>
      <w:r w:rsidRPr="00BD595A">
        <w:rPr>
          <w:color w:val="000000" w:themeColor="text1"/>
        </w:rPr>
        <w:lastRenderedPageBreak/>
        <w:t>Appendix 3 – Padua Neurophysiology Grading</w:t>
      </w:r>
      <w:bookmarkEnd w:id="3"/>
    </w:p>
    <w:tbl>
      <w:tblPr>
        <w:tblStyle w:val="GridTableLight"/>
        <w:tblW w:w="0" w:type="auto"/>
        <w:tblLook w:val="04A0" w:firstRow="1" w:lastRow="0" w:firstColumn="1" w:lastColumn="0" w:noHBand="0" w:noVBand="1"/>
      </w:tblPr>
      <w:tblGrid>
        <w:gridCol w:w="2830"/>
        <w:gridCol w:w="6186"/>
      </w:tblGrid>
      <w:tr w:rsidR="00D35B9D" w:rsidRPr="00BD595A" w:rsidTr="00CB686F">
        <w:tc>
          <w:tcPr>
            <w:tcW w:w="2830"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b/>
                <w:bCs/>
                <w:color w:val="000000" w:themeColor="text1"/>
              </w:rPr>
              <w:t>Grade</w:t>
            </w:r>
          </w:p>
        </w:tc>
        <w:tc>
          <w:tcPr>
            <w:tcW w:w="6186"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b/>
                <w:bCs/>
                <w:color w:val="000000" w:themeColor="text1"/>
              </w:rPr>
              <w:t>Neurophysiological findings</w:t>
            </w:r>
          </w:p>
        </w:tc>
      </w:tr>
      <w:tr w:rsidR="00D35B9D" w:rsidRPr="00BD595A" w:rsidTr="00CB686F">
        <w:tc>
          <w:tcPr>
            <w:tcW w:w="2830"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rPr>
              <w:t>Mild</w:t>
            </w:r>
          </w:p>
        </w:tc>
        <w:tc>
          <w:tcPr>
            <w:tcW w:w="6186"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sz w:val="22"/>
                <w:szCs w:val="22"/>
              </w:rPr>
              <w:t>slowing of motor nerve conduction velocity across the elbow</w:t>
            </w:r>
          </w:p>
        </w:tc>
      </w:tr>
      <w:tr w:rsidR="00D35B9D" w:rsidRPr="00BD595A" w:rsidTr="00CB686F">
        <w:tc>
          <w:tcPr>
            <w:tcW w:w="2830"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rPr>
              <w:t>Moderate</w:t>
            </w:r>
          </w:p>
        </w:tc>
        <w:tc>
          <w:tcPr>
            <w:tcW w:w="6186"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sz w:val="22"/>
                <w:szCs w:val="22"/>
              </w:rPr>
              <w:t>sensory axonal loss with distal reduction of the amplitude of the response</w:t>
            </w:r>
          </w:p>
        </w:tc>
      </w:tr>
      <w:tr w:rsidR="00D35B9D" w:rsidRPr="00BD595A" w:rsidTr="00CB686F">
        <w:tc>
          <w:tcPr>
            <w:tcW w:w="2830"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rPr>
              <w:t>Severe</w:t>
            </w:r>
          </w:p>
        </w:tc>
        <w:tc>
          <w:tcPr>
            <w:tcW w:w="6186"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sz w:val="22"/>
                <w:szCs w:val="22"/>
              </w:rPr>
              <w:t>disappearance of digit-wrist sensory response</w:t>
            </w:r>
          </w:p>
        </w:tc>
      </w:tr>
      <w:tr w:rsidR="00D35B9D" w:rsidRPr="00BD595A" w:rsidTr="00CB686F">
        <w:tc>
          <w:tcPr>
            <w:tcW w:w="2830"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rPr>
              <w:t>Extreme</w:t>
            </w:r>
          </w:p>
        </w:tc>
        <w:tc>
          <w:tcPr>
            <w:tcW w:w="6186" w:type="dxa"/>
          </w:tcPr>
          <w:p w:rsidR="00D35B9D" w:rsidRPr="00BD595A" w:rsidRDefault="00D35B9D" w:rsidP="00CB686F">
            <w:pPr>
              <w:spacing w:line="480" w:lineRule="auto"/>
              <w:rPr>
                <w:rFonts w:asciiTheme="majorHAnsi" w:hAnsiTheme="majorHAnsi" w:cstheme="majorHAnsi"/>
                <w:color w:val="000000" w:themeColor="text1"/>
              </w:rPr>
            </w:pPr>
            <w:r w:rsidRPr="00BD595A">
              <w:rPr>
                <w:rFonts w:asciiTheme="majorHAnsi" w:hAnsiTheme="majorHAnsi" w:cstheme="majorHAnsi"/>
                <w:color w:val="000000" w:themeColor="text1"/>
                <w:sz w:val="22"/>
                <w:szCs w:val="22"/>
              </w:rPr>
              <w:t>disappearance of motor response</w:t>
            </w:r>
          </w:p>
        </w:tc>
      </w:tr>
    </w:tbl>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b/>
          <w:color w:val="000000" w:themeColor="text1"/>
        </w:rPr>
        <w:br w:type="page"/>
      </w:r>
    </w:p>
    <w:p w:rsidR="00D35B9D" w:rsidRPr="00BD595A" w:rsidRDefault="00D35B9D" w:rsidP="00D35B9D">
      <w:pPr>
        <w:pStyle w:val="Heading2"/>
        <w:spacing w:line="480" w:lineRule="auto"/>
        <w:rPr>
          <w:color w:val="000000" w:themeColor="text1"/>
        </w:rPr>
      </w:pPr>
      <w:bookmarkStart w:id="4" w:name="_Toc197883156"/>
      <w:r w:rsidRPr="00BD595A">
        <w:rPr>
          <w:color w:val="000000" w:themeColor="text1"/>
        </w:rPr>
        <w:lastRenderedPageBreak/>
        <w:t>Appendix 4 – Surgical Technique</w:t>
      </w:r>
      <w:bookmarkEnd w:id="4"/>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The surgical approach for this study is as follows:</w:t>
      </w:r>
    </w:p>
    <w:p w:rsidR="00D35B9D" w:rsidRPr="00BD595A" w:rsidRDefault="00D35B9D" w:rsidP="00D35B9D">
      <w:pPr>
        <w:pStyle w:val="ListParagraph"/>
        <w:numPr>
          <w:ilvl w:val="0"/>
          <w:numId w:val="6"/>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Anaesthesia appropriate to surgery and American Society of Anaesthesiology (ASA) grade of the patient.</w:t>
      </w:r>
    </w:p>
    <w:p w:rsidR="00D35B9D" w:rsidRPr="00BD595A" w:rsidRDefault="00D35B9D" w:rsidP="00D35B9D">
      <w:pPr>
        <w:pStyle w:val="ListParagraph"/>
        <w:numPr>
          <w:ilvl w:val="0"/>
          <w:numId w:val="6"/>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Distal top-up of local anaesthetic in the vicinity of the ulnar nerve distal to the elbow is to be avoided as this would interfere with the intra-operative nerve stimulation values.</w:t>
      </w:r>
    </w:p>
    <w:p w:rsidR="00D35B9D" w:rsidRPr="00BD595A" w:rsidRDefault="00D35B9D" w:rsidP="00D35B9D">
      <w:pPr>
        <w:pStyle w:val="ListParagraph"/>
        <w:numPr>
          <w:ilvl w:val="0"/>
          <w:numId w:val="6"/>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WHO checklist, Standard preparation and draping of the upper limb, Identification of the landmarks and planning of incisions. </w:t>
      </w:r>
    </w:p>
    <w:p w:rsidR="00D35B9D" w:rsidRPr="00BD595A" w:rsidRDefault="00D35B9D" w:rsidP="00D35B9D">
      <w:pPr>
        <w:pStyle w:val="ListParagraph"/>
        <w:numPr>
          <w:ilvl w:val="0"/>
          <w:numId w:val="6"/>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High arm tourniquet, inflated to 250mmHg before incision. </w:t>
      </w:r>
    </w:p>
    <w:p w:rsidR="00D35B9D" w:rsidRPr="00BD595A" w:rsidRDefault="00D35B9D" w:rsidP="00D35B9D">
      <w:pPr>
        <w:spacing w:line="480" w:lineRule="auto"/>
        <w:jc w:val="both"/>
        <w:rPr>
          <w:rFonts w:asciiTheme="majorHAnsi" w:hAnsiTheme="majorHAnsi" w:cstheme="majorHAnsi"/>
          <w:b/>
          <w:bCs/>
          <w:color w:val="000000" w:themeColor="text1"/>
        </w:rPr>
      </w:pPr>
    </w:p>
    <w:p w:rsidR="00D35B9D" w:rsidRPr="00BD595A" w:rsidRDefault="00D35B9D" w:rsidP="00D35B9D">
      <w:pPr>
        <w:pStyle w:val="Heading5"/>
        <w:spacing w:line="480" w:lineRule="auto"/>
        <w:jc w:val="both"/>
        <w:rPr>
          <w:rFonts w:cstheme="majorHAnsi"/>
          <w:b/>
          <w:color w:val="000000" w:themeColor="text1"/>
        </w:rPr>
      </w:pPr>
      <w:bookmarkStart w:id="5" w:name="_Toc116304235"/>
      <w:r w:rsidRPr="00BD595A">
        <w:rPr>
          <w:rFonts w:cstheme="majorHAnsi"/>
          <w:b/>
          <w:color w:val="000000" w:themeColor="text1"/>
        </w:rPr>
        <w:t>Step 1: The ulnar nerve at the wrist</w:t>
      </w:r>
      <w:bookmarkEnd w:id="5"/>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Mark the incision in-line with the hook of hamate from 6cm proximal to the volar wrist crease, extending 8cm proximally. Identify the branch point of the dorsal cutaneous branch (DCU) of the ulnar nerve (usually 7-10cm proximal to the volar wrist crease), the sensory component of UN and the motor component of UN at the level of the DCU. The motor component fascicles are located as an intermediate sized fascicle group between the more superficial and radially placed larger sensory fascicle group and the smaller dorsally and the more ulnar orientated DCU fascicle group [2</w:t>
      </w:r>
      <w:r>
        <w:rPr>
          <w:rFonts w:asciiTheme="majorHAnsi" w:hAnsiTheme="majorHAnsi" w:cstheme="majorHAnsi"/>
          <w:color w:val="000000" w:themeColor="text1"/>
        </w:rPr>
        <w:t>8</w:t>
      </w:r>
      <w:r w:rsidRPr="00BD595A">
        <w:rPr>
          <w:rFonts w:asciiTheme="majorHAnsi" w:hAnsiTheme="majorHAnsi" w:cstheme="majorHAnsi"/>
          <w:color w:val="000000" w:themeColor="text1"/>
        </w:rPr>
        <w:t>].</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Electrically stimulate the UN to establish whether the motor fascicle group is functioning. Stimulate from 0.1mA to 0.5mA in increments of 0.1 mA until stimulation is detected as the first muscular contraction. If no contraction is seen, continue stimulation in increments of 0.5 mA until visible contraction is identified up to the maximum recording on the device (6mA). This is noted as the minimal stimulation </w:t>
      </w:r>
      <w:r w:rsidRPr="00BD595A">
        <w:rPr>
          <w:rFonts w:asciiTheme="majorHAnsi" w:hAnsiTheme="majorHAnsi" w:cstheme="majorHAnsi"/>
          <w:color w:val="000000" w:themeColor="text1"/>
        </w:rPr>
        <w:lastRenderedPageBreak/>
        <w:t xml:space="preserve">threshold (MST) and will be recorded in the operation record and the case Report </w:t>
      </w:r>
      <w:proofErr w:type="gramStart"/>
      <w:r w:rsidRPr="00BD595A">
        <w:rPr>
          <w:rFonts w:asciiTheme="majorHAnsi" w:hAnsiTheme="majorHAnsi" w:cstheme="majorHAnsi"/>
          <w:color w:val="000000" w:themeColor="text1"/>
        </w:rPr>
        <w:t>Form(</w:t>
      </w:r>
      <w:proofErr w:type="gramEnd"/>
      <w:r w:rsidRPr="00BD595A">
        <w:rPr>
          <w:rFonts w:asciiTheme="majorHAnsi" w:hAnsiTheme="majorHAnsi" w:cstheme="majorHAnsi"/>
          <w:color w:val="000000" w:themeColor="text1"/>
        </w:rPr>
        <w:t>CRF).</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Continue increasing the stimulation beyond the MST to the device maximum (6mA) and note the level at which there is no further change in the contraction strength visualised. This is noted as the maximal stimulation contraction (MSC). The MCS will be recorded in the operation note and CRF.</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lang w:val="en"/>
        </w:rPr>
      </w:pPr>
      <w:r w:rsidRPr="00BD595A">
        <w:rPr>
          <w:rFonts w:asciiTheme="majorHAnsi" w:hAnsiTheme="majorHAnsi" w:cstheme="majorHAnsi"/>
          <w:color w:val="000000" w:themeColor="text1"/>
          <w:lang w:val="en"/>
        </w:rPr>
        <w:t xml:space="preserve">If no contraction is seen upon stimulation, the motor fascicle group will be identified using topographical arrangement and anatomical location, referencing the consistent pattern described in Chambers et al (18). Dissection may be extended proximally if necessary. Record this step in the operation note and CRF. </w:t>
      </w:r>
    </w:p>
    <w:p w:rsidR="00D35B9D" w:rsidRPr="00BD595A" w:rsidRDefault="00D35B9D" w:rsidP="00D35B9D">
      <w:pPr>
        <w:spacing w:line="480" w:lineRule="auto"/>
        <w:rPr>
          <w:rFonts w:asciiTheme="majorHAnsi" w:hAnsiTheme="majorHAnsi" w:cstheme="majorHAnsi"/>
          <w:color w:val="000000" w:themeColor="text1"/>
        </w:rPr>
      </w:pPr>
    </w:p>
    <w:p w:rsidR="00D35B9D" w:rsidRPr="00BD595A" w:rsidRDefault="00D35B9D" w:rsidP="00D35B9D">
      <w:pPr>
        <w:pStyle w:val="Heading5"/>
        <w:spacing w:line="480" w:lineRule="auto"/>
        <w:jc w:val="both"/>
        <w:rPr>
          <w:rFonts w:cstheme="majorHAnsi"/>
          <w:b/>
          <w:color w:val="000000" w:themeColor="text1"/>
        </w:rPr>
      </w:pPr>
      <w:bookmarkStart w:id="6" w:name="_Toc116304236"/>
      <w:r w:rsidRPr="00BD595A">
        <w:rPr>
          <w:rFonts w:cstheme="majorHAnsi"/>
          <w:b/>
          <w:color w:val="000000" w:themeColor="text1"/>
        </w:rPr>
        <w:t>Step 2: The ulnar nerve at the elbow</w:t>
      </w:r>
      <w:bookmarkEnd w:id="6"/>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Identify the UN subcutaneously at the elbow. Mark the incision over the posteromedial elbow in a curvilinear fashion. Perform a simple decompression (SD), exposing the UN proximally at the arcade of Struthers and ensuring distal release of all constricting </w:t>
      </w:r>
      <w:proofErr w:type="spellStart"/>
      <w:r w:rsidRPr="00BD595A">
        <w:rPr>
          <w:rFonts w:asciiTheme="majorHAnsi" w:hAnsiTheme="majorHAnsi" w:cstheme="majorHAnsi"/>
          <w:color w:val="000000" w:themeColor="text1"/>
        </w:rPr>
        <w:t>fascial</w:t>
      </w:r>
      <w:proofErr w:type="spellEnd"/>
      <w:r w:rsidRPr="00BD595A">
        <w:rPr>
          <w:rFonts w:asciiTheme="majorHAnsi" w:hAnsiTheme="majorHAnsi" w:cstheme="majorHAnsi"/>
          <w:color w:val="000000" w:themeColor="text1"/>
        </w:rPr>
        <w:t xml:space="preserve"> bands within the proximal flexor carpi </w:t>
      </w:r>
      <w:proofErr w:type="spellStart"/>
      <w:r w:rsidRPr="00BD595A">
        <w:rPr>
          <w:rFonts w:asciiTheme="majorHAnsi" w:hAnsiTheme="majorHAnsi" w:cstheme="majorHAnsi"/>
          <w:color w:val="000000" w:themeColor="text1"/>
        </w:rPr>
        <w:t>ulnaris</w:t>
      </w:r>
      <w:proofErr w:type="spellEnd"/>
      <w:r w:rsidRPr="00BD595A">
        <w:rPr>
          <w:rFonts w:asciiTheme="majorHAnsi" w:hAnsiTheme="majorHAnsi" w:cstheme="majorHAnsi"/>
          <w:color w:val="000000" w:themeColor="text1"/>
        </w:rPr>
        <w:t xml:space="preserve"> (FCU) muscle. Assess the UN for instability at the elbow and perform any adjunct procedures required at this stage. Instability should be recorded as: </w:t>
      </w:r>
    </w:p>
    <w:p w:rsidR="00D35B9D" w:rsidRPr="00BD595A" w:rsidRDefault="00D35B9D" w:rsidP="00D35B9D">
      <w:pPr>
        <w:pStyle w:val="ListParagraph"/>
        <w:numPr>
          <w:ilvl w:val="0"/>
          <w:numId w:val="7"/>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UN remains located posterior to the medial epicondyle through passive elbow flexion 0-90 degrees</w:t>
      </w:r>
    </w:p>
    <w:p w:rsidR="00D35B9D" w:rsidRPr="00BD595A" w:rsidRDefault="00D35B9D" w:rsidP="00D35B9D">
      <w:pPr>
        <w:pStyle w:val="ListParagraph"/>
        <w:numPr>
          <w:ilvl w:val="0"/>
          <w:numId w:val="7"/>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UN slides anteriorly onto the medial epicondyle during passive elbow flexion 0-90 degrees</w:t>
      </w:r>
    </w:p>
    <w:p w:rsidR="00D35B9D" w:rsidRPr="00BD595A" w:rsidRDefault="00D35B9D" w:rsidP="00D35B9D">
      <w:pPr>
        <w:pStyle w:val="ListParagraph"/>
        <w:numPr>
          <w:ilvl w:val="0"/>
          <w:numId w:val="7"/>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lastRenderedPageBreak/>
        <w:t>UN flicks anteriorly over the medial epicondyle during passive elbow flexion 0-90 degrees</w:t>
      </w:r>
    </w:p>
    <w:p w:rsidR="00D35B9D" w:rsidRPr="00BD595A" w:rsidRDefault="00D35B9D" w:rsidP="00D35B9D">
      <w:pPr>
        <w:pStyle w:val="ListParagraph"/>
        <w:numPr>
          <w:ilvl w:val="0"/>
          <w:numId w:val="7"/>
        </w:num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UN lies anterior to the medial epicondyle in elbow extension</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lang w:val="en"/>
        </w:rPr>
      </w:pPr>
      <w:r w:rsidRPr="00BD595A">
        <w:rPr>
          <w:rFonts w:asciiTheme="majorHAnsi" w:hAnsiTheme="majorHAnsi" w:cstheme="majorHAnsi"/>
          <w:color w:val="000000" w:themeColor="text1"/>
          <w:lang w:val="en"/>
        </w:rPr>
        <w:t xml:space="preserve">If Ulnar nerve instability is detected </w:t>
      </w:r>
      <w:proofErr w:type="spellStart"/>
      <w:r w:rsidRPr="00BD595A">
        <w:rPr>
          <w:rFonts w:asciiTheme="majorHAnsi" w:hAnsiTheme="majorHAnsi" w:cstheme="majorHAnsi"/>
          <w:color w:val="000000" w:themeColor="text1"/>
          <w:lang w:val="en"/>
        </w:rPr>
        <w:t>intraoperatively</w:t>
      </w:r>
      <w:proofErr w:type="spellEnd"/>
      <w:r w:rsidRPr="00BD595A">
        <w:rPr>
          <w:rFonts w:asciiTheme="majorHAnsi" w:hAnsiTheme="majorHAnsi" w:cstheme="majorHAnsi"/>
          <w:color w:val="000000" w:themeColor="text1"/>
          <w:lang w:val="en"/>
        </w:rPr>
        <w:t xml:space="preserve"> (assessed during elbow flexion-extension), the decision to proceed with a transposition (subcutaneous or </w:t>
      </w:r>
      <w:proofErr w:type="spellStart"/>
      <w:r w:rsidRPr="00BD595A">
        <w:rPr>
          <w:rFonts w:asciiTheme="majorHAnsi" w:hAnsiTheme="majorHAnsi" w:cstheme="majorHAnsi"/>
          <w:color w:val="000000" w:themeColor="text1"/>
          <w:lang w:val="en"/>
        </w:rPr>
        <w:t>submuscular</w:t>
      </w:r>
      <w:proofErr w:type="spellEnd"/>
      <w:r w:rsidRPr="00BD595A">
        <w:rPr>
          <w:rFonts w:asciiTheme="majorHAnsi" w:hAnsiTheme="majorHAnsi" w:cstheme="majorHAnsi"/>
          <w:color w:val="000000" w:themeColor="text1"/>
          <w:lang w:val="en"/>
        </w:rPr>
        <w:t xml:space="preserve">) or to use a medial </w:t>
      </w:r>
      <w:proofErr w:type="spellStart"/>
      <w:r w:rsidRPr="00BD595A">
        <w:rPr>
          <w:rFonts w:asciiTheme="majorHAnsi" w:hAnsiTheme="majorHAnsi" w:cstheme="majorHAnsi"/>
          <w:color w:val="000000" w:themeColor="text1"/>
          <w:lang w:val="en"/>
        </w:rPr>
        <w:t>epicondylectomy</w:t>
      </w:r>
      <w:proofErr w:type="spellEnd"/>
      <w:r w:rsidRPr="00BD595A">
        <w:rPr>
          <w:rFonts w:asciiTheme="majorHAnsi" w:hAnsiTheme="majorHAnsi" w:cstheme="majorHAnsi"/>
          <w:color w:val="000000" w:themeColor="text1"/>
          <w:lang w:val="en"/>
        </w:rPr>
        <w:t xml:space="preserve"> will follow the following </w:t>
      </w:r>
      <w:r w:rsidRPr="00BD595A">
        <w:rPr>
          <w:rFonts w:asciiTheme="majorHAnsi" w:hAnsiTheme="majorHAnsi" w:cstheme="majorHAnsi"/>
          <w:bCs/>
          <w:color w:val="000000" w:themeColor="text1"/>
          <w:lang w:val="en"/>
        </w:rPr>
        <w:t>decision tree. If;</w:t>
      </w:r>
    </w:p>
    <w:p w:rsidR="00D35B9D" w:rsidRPr="00BD595A" w:rsidRDefault="00D35B9D" w:rsidP="00D35B9D">
      <w:pPr>
        <w:pStyle w:val="ListParagraph"/>
        <w:numPr>
          <w:ilvl w:val="0"/>
          <w:numId w:val="8"/>
        </w:numPr>
        <w:spacing w:line="480" w:lineRule="auto"/>
        <w:jc w:val="both"/>
        <w:rPr>
          <w:rFonts w:asciiTheme="majorHAnsi" w:hAnsiTheme="majorHAnsi" w:cstheme="majorHAnsi"/>
          <w:color w:val="000000" w:themeColor="text1"/>
          <w:lang w:val="en"/>
        </w:rPr>
      </w:pPr>
      <w:r w:rsidRPr="00BD595A">
        <w:rPr>
          <w:rFonts w:asciiTheme="majorHAnsi" w:hAnsiTheme="majorHAnsi" w:cstheme="majorHAnsi"/>
          <w:color w:val="000000" w:themeColor="text1"/>
          <w:lang w:val="en"/>
        </w:rPr>
        <w:t xml:space="preserve">Nerve stable (remains in </w:t>
      </w:r>
      <w:proofErr w:type="spellStart"/>
      <w:r w:rsidRPr="00BD595A">
        <w:rPr>
          <w:rFonts w:asciiTheme="majorHAnsi" w:hAnsiTheme="majorHAnsi" w:cstheme="majorHAnsi"/>
          <w:color w:val="000000" w:themeColor="text1"/>
          <w:lang w:val="en"/>
        </w:rPr>
        <w:t>retrocondylar</w:t>
      </w:r>
      <w:proofErr w:type="spellEnd"/>
      <w:r w:rsidRPr="00BD595A">
        <w:rPr>
          <w:rFonts w:asciiTheme="majorHAnsi" w:hAnsiTheme="majorHAnsi" w:cstheme="majorHAnsi"/>
          <w:color w:val="000000" w:themeColor="text1"/>
          <w:lang w:val="en"/>
        </w:rPr>
        <w:t xml:space="preserve"> groove through flexion of elbow 0-100 degrees); perform simple decompression alone</w:t>
      </w:r>
    </w:p>
    <w:p w:rsidR="00D35B9D" w:rsidRPr="00BD595A" w:rsidRDefault="00D35B9D" w:rsidP="00D35B9D">
      <w:pPr>
        <w:pStyle w:val="ListParagraph"/>
        <w:numPr>
          <w:ilvl w:val="0"/>
          <w:numId w:val="8"/>
        </w:numPr>
        <w:spacing w:line="480" w:lineRule="auto"/>
        <w:jc w:val="both"/>
        <w:rPr>
          <w:rFonts w:asciiTheme="majorHAnsi" w:hAnsiTheme="majorHAnsi" w:cstheme="majorHAnsi"/>
          <w:color w:val="000000" w:themeColor="text1"/>
          <w:lang w:val="en"/>
        </w:rPr>
      </w:pPr>
      <w:r w:rsidRPr="00BD595A">
        <w:rPr>
          <w:rFonts w:ascii="Segoe UI Symbol" w:hAnsi="Segoe UI Symbol" w:cs="Segoe UI Symbol"/>
          <w:color w:val="000000" w:themeColor="text1"/>
          <w:lang w:val="en"/>
        </w:rPr>
        <w:t>⁠⁠</w:t>
      </w:r>
      <w:r w:rsidRPr="00BD595A">
        <w:rPr>
          <w:rFonts w:asciiTheme="majorHAnsi" w:hAnsiTheme="majorHAnsi" w:cstheme="majorHAnsi"/>
          <w:color w:val="000000" w:themeColor="text1"/>
          <w:lang w:val="en"/>
        </w:rPr>
        <w:t>Nerve stable through 0-100 degree of flexion BUT excessive tension with severe flattening of nerve in flexion, surgical subjective decision of excess tension; perform ME or transposition.</w:t>
      </w:r>
    </w:p>
    <w:p w:rsidR="00D35B9D" w:rsidRPr="00BD595A" w:rsidRDefault="00D35B9D" w:rsidP="00D35B9D">
      <w:pPr>
        <w:pStyle w:val="ListParagraph"/>
        <w:numPr>
          <w:ilvl w:val="0"/>
          <w:numId w:val="8"/>
        </w:numPr>
        <w:spacing w:line="480" w:lineRule="auto"/>
        <w:jc w:val="both"/>
        <w:rPr>
          <w:rFonts w:asciiTheme="majorHAnsi" w:hAnsiTheme="majorHAnsi" w:cstheme="majorHAnsi"/>
          <w:color w:val="000000" w:themeColor="text1"/>
          <w:lang w:val="en"/>
        </w:rPr>
      </w:pPr>
      <w:r w:rsidRPr="00BD595A">
        <w:rPr>
          <w:rFonts w:ascii="Segoe UI Symbol" w:hAnsi="Segoe UI Symbol" w:cs="Segoe UI Symbol"/>
          <w:color w:val="000000" w:themeColor="text1"/>
          <w:lang w:val="en"/>
        </w:rPr>
        <w:t>⁠⁠</w:t>
      </w:r>
      <w:r w:rsidRPr="00BD595A">
        <w:rPr>
          <w:rFonts w:asciiTheme="majorHAnsi" w:hAnsiTheme="majorHAnsi" w:cstheme="majorHAnsi"/>
          <w:color w:val="000000" w:themeColor="text1"/>
          <w:lang w:val="en"/>
        </w:rPr>
        <w:t>Nerve sublimes onto ME with tension during elbow flexion; consider ME or transposition.</w:t>
      </w:r>
    </w:p>
    <w:p w:rsidR="00D35B9D" w:rsidRPr="00BD595A" w:rsidRDefault="00D35B9D" w:rsidP="00D35B9D">
      <w:pPr>
        <w:pStyle w:val="ListParagraph"/>
        <w:numPr>
          <w:ilvl w:val="0"/>
          <w:numId w:val="8"/>
        </w:numPr>
        <w:spacing w:line="480" w:lineRule="auto"/>
        <w:jc w:val="both"/>
        <w:rPr>
          <w:rFonts w:asciiTheme="majorHAnsi" w:hAnsiTheme="majorHAnsi" w:cstheme="majorHAnsi"/>
          <w:color w:val="000000" w:themeColor="text1"/>
          <w:lang w:val="en"/>
        </w:rPr>
      </w:pPr>
      <w:r w:rsidRPr="00BD595A">
        <w:rPr>
          <w:rFonts w:ascii="Segoe UI Symbol" w:hAnsi="Segoe UI Symbol" w:cs="Segoe UI Symbol"/>
          <w:color w:val="000000" w:themeColor="text1"/>
          <w:lang w:val="en"/>
        </w:rPr>
        <w:t>⁠⁠</w:t>
      </w:r>
      <w:r w:rsidRPr="00BD595A">
        <w:rPr>
          <w:rFonts w:asciiTheme="majorHAnsi" w:hAnsiTheme="majorHAnsi" w:cstheme="majorHAnsi"/>
          <w:color w:val="000000" w:themeColor="text1"/>
          <w:lang w:val="en"/>
        </w:rPr>
        <w:t>Nerve completely displaces over ME during elbow flexion pre decompression or post decompression; perform ME or transposition.</w:t>
      </w:r>
    </w:p>
    <w:p w:rsidR="00D35B9D" w:rsidRPr="00BD595A" w:rsidRDefault="00D35B9D" w:rsidP="00D35B9D">
      <w:pPr>
        <w:spacing w:line="480" w:lineRule="auto"/>
        <w:jc w:val="both"/>
        <w:rPr>
          <w:rFonts w:asciiTheme="majorHAnsi" w:hAnsiTheme="majorHAnsi" w:cstheme="majorHAnsi"/>
          <w:color w:val="000000" w:themeColor="text1"/>
          <w:lang w:val="en"/>
        </w:rPr>
      </w:pPr>
    </w:p>
    <w:p w:rsidR="00D35B9D" w:rsidRPr="00BD595A" w:rsidRDefault="00D35B9D" w:rsidP="00D35B9D">
      <w:pPr>
        <w:spacing w:line="480" w:lineRule="auto"/>
        <w:jc w:val="both"/>
        <w:rPr>
          <w:rFonts w:asciiTheme="majorHAnsi" w:hAnsiTheme="majorHAnsi" w:cstheme="majorHAnsi"/>
          <w:color w:val="000000" w:themeColor="text1"/>
          <w:lang w:val="en"/>
        </w:rPr>
      </w:pPr>
      <w:r w:rsidRPr="00BD595A">
        <w:rPr>
          <w:rFonts w:asciiTheme="majorHAnsi" w:hAnsiTheme="majorHAnsi" w:cstheme="majorHAnsi"/>
          <w:color w:val="000000" w:themeColor="text1"/>
          <w:lang w:val="en"/>
        </w:rPr>
        <w:t>We have retained the described flexibility above to reflect standard UK practice where choice between simple decompression and transposition depends on intraoperative findings. All adjunct procedures will be recorded for analysis.</w:t>
      </w:r>
    </w:p>
    <w:p w:rsidR="00D35B9D" w:rsidRPr="00BD595A" w:rsidRDefault="00D35B9D" w:rsidP="00D35B9D">
      <w:pPr>
        <w:pStyle w:val="ListParagraph"/>
        <w:spacing w:line="480" w:lineRule="auto"/>
        <w:jc w:val="both"/>
        <w:rPr>
          <w:rFonts w:asciiTheme="majorHAnsi" w:hAnsiTheme="majorHAnsi" w:cstheme="majorHAnsi"/>
          <w:color w:val="000000" w:themeColor="text1"/>
          <w:lang w:val="en"/>
        </w:rPr>
      </w:pPr>
    </w:p>
    <w:p w:rsidR="00D35B9D" w:rsidRPr="00BD595A" w:rsidRDefault="00D35B9D" w:rsidP="00D35B9D">
      <w:pPr>
        <w:pStyle w:val="Heading5"/>
        <w:spacing w:line="480" w:lineRule="auto"/>
        <w:jc w:val="both"/>
        <w:rPr>
          <w:rFonts w:cstheme="majorHAnsi"/>
          <w:b/>
          <w:color w:val="000000" w:themeColor="text1"/>
        </w:rPr>
      </w:pPr>
      <w:r w:rsidRPr="00BD595A">
        <w:rPr>
          <w:rFonts w:cstheme="majorHAnsi"/>
          <w:b/>
          <w:color w:val="000000" w:themeColor="text1"/>
        </w:rPr>
        <w:t xml:space="preserve">Step 3: The ulnar nerve at </w:t>
      </w:r>
      <w:proofErr w:type="spellStart"/>
      <w:r w:rsidRPr="00BD595A">
        <w:rPr>
          <w:rFonts w:cstheme="majorHAnsi"/>
          <w:b/>
          <w:color w:val="000000" w:themeColor="text1"/>
        </w:rPr>
        <w:t>Guyon’s</w:t>
      </w:r>
      <w:proofErr w:type="spellEnd"/>
      <w:r w:rsidRPr="00BD595A">
        <w:rPr>
          <w:rFonts w:cstheme="majorHAnsi"/>
          <w:b/>
          <w:color w:val="000000" w:themeColor="text1"/>
        </w:rPr>
        <w:t xml:space="preserve"> canal</w:t>
      </w: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lang w:val="en"/>
        </w:rPr>
        <w:t xml:space="preserve">Full </w:t>
      </w:r>
      <w:proofErr w:type="spellStart"/>
      <w:r w:rsidRPr="00BD595A">
        <w:rPr>
          <w:rFonts w:asciiTheme="majorHAnsi" w:hAnsiTheme="majorHAnsi" w:cstheme="majorHAnsi"/>
          <w:color w:val="000000" w:themeColor="text1"/>
          <w:lang w:val="en"/>
        </w:rPr>
        <w:t>Guyon</w:t>
      </w:r>
      <w:proofErr w:type="spellEnd"/>
      <w:r w:rsidRPr="00BD595A">
        <w:rPr>
          <w:rFonts w:asciiTheme="majorHAnsi" w:hAnsiTheme="majorHAnsi" w:cstheme="majorHAnsi"/>
          <w:color w:val="000000" w:themeColor="text1"/>
          <w:lang w:val="en"/>
        </w:rPr>
        <w:t xml:space="preserve"> canal release will be performed in the intervention group to facilitate access and fascicle identification. In the control group, a partial exposure will be performed for </w:t>
      </w:r>
      <w:r w:rsidRPr="00BD595A">
        <w:rPr>
          <w:rFonts w:asciiTheme="majorHAnsi" w:hAnsiTheme="majorHAnsi" w:cstheme="majorHAnsi"/>
          <w:color w:val="000000" w:themeColor="text1"/>
          <w:lang w:val="en"/>
        </w:rPr>
        <w:lastRenderedPageBreak/>
        <w:t xml:space="preserve">motor stimulation but not full decompression unless clinically indicated, where </w:t>
      </w:r>
      <w:r w:rsidRPr="00BD595A">
        <w:rPr>
          <w:rFonts w:asciiTheme="majorHAnsi" w:hAnsiTheme="majorHAnsi" w:cstheme="majorHAnsi"/>
          <w:color w:val="000000" w:themeColor="text1"/>
          <w:sz w:val="22"/>
          <w:szCs w:val="22"/>
        </w:rPr>
        <w:t>evidence of distal compression exists.</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pStyle w:val="Heading5"/>
        <w:spacing w:line="480" w:lineRule="auto"/>
        <w:jc w:val="both"/>
        <w:rPr>
          <w:rFonts w:cstheme="majorHAnsi"/>
          <w:b/>
          <w:color w:val="000000" w:themeColor="text1"/>
        </w:rPr>
      </w:pPr>
      <w:bookmarkStart w:id="7" w:name="_Toc116304238"/>
      <w:r w:rsidRPr="00BD595A">
        <w:rPr>
          <w:rFonts w:cstheme="majorHAnsi"/>
          <w:b/>
          <w:color w:val="000000" w:themeColor="text1"/>
        </w:rPr>
        <w:t>Step 4: AIN Transfer</w:t>
      </w:r>
      <w:bookmarkEnd w:id="7"/>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Retract the FCU in an ulnar direction and the digital flexors radially, to expose the PQ muscle. Identify the neurovascular bundle of the AIN as it dives underneath PQ to innervate it. Divide the proximal third of PQ to expose the AIN nerve entering the mid-portion of the PQ with multiple branches.</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Isolate the terminal AIN in a </w:t>
      </w:r>
      <w:proofErr w:type="spellStart"/>
      <w:r w:rsidRPr="00BD595A">
        <w:rPr>
          <w:rFonts w:asciiTheme="majorHAnsi" w:hAnsiTheme="majorHAnsi" w:cstheme="majorHAnsi"/>
          <w:color w:val="000000" w:themeColor="text1"/>
        </w:rPr>
        <w:t>silastic</w:t>
      </w:r>
      <w:proofErr w:type="spellEnd"/>
      <w:r w:rsidRPr="00BD595A">
        <w:rPr>
          <w:rFonts w:asciiTheme="majorHAnsi" w:hAnsiTheme="majorHAnsi" w:cstheme="majorHAnsi"/>
          <w:color w:val="000000" w:themeColor="text1"/>
        </w:rPr>
        <w:t xml:space="preserve"> loop and complete a </w:t>
      </w:r>
      <w:proofErr w:type="spellStart"/>
      <w:r w:rsidRPr="00BD595A">
        <w:rPr>
          <w:rFonts w:asciiTheme="majorHAnsi" w:hAnsiTheme="majorHAnsi" w:cstheme="majorHAnsi"/>
          <w:color w:val="000000" w:themeColor="text1"/>
        </w:rPr>
        <w:t>neurolysis</w:t>
      </w:r>
      <w:proofErr w:type="spellEnd"/>
      <w:r w:rsidRPr="00BD595A">
        <w:rPr>
          <w:rFonts w:asciiTheme="majorHAnsi" w:hAnsiTheme="majorHAnsi" w:cstheme="majorHAnsi"/>
          <w:color w:val="000000" w:themeColor="text1"/>
        </w:rPr>
        <w:t xml:space="preserve"> proximally for 6cm including bipolar cautery of any crossing vessels without injuring the AIN. Divide the AIN distally using microsurgical serrated nerve scissors as it is about to branch. Transpose the sectioned AIN towards the UN at the junction of the DCN to identify the point of </w:t>
      </w:r>
      <w:proofErr w:type="spellStart"/>
      <w:r w:rsidRPr="00BD595A">
        <w:rPr>
          <w:rFonts w:asciiTheme="majorHAnsi" w:hAnsiTheme="majorHAnsi" w:cstheme="majorHAnsi"/>
          <w:color w:val="000000" w:themeColor="text1"/>
        </w:rPr>
        <w:t>neurorrhaphy</w:t>
      </w:r>
      <w:proofErr w:type="spellEnd"/>
      <w:r w:rsidRPr="00BD595A">
        <w:rPr>
          <w:rFonts w:asciiTheme="majorHAnsi" w:hAnsiTheme="majorHAnsi" w:cstheme="majorHAnsi"/>
          <w:color w:val="000000" w:themeColor="text1"/>
        </w:rPr>
        <w:t xml:space="preserve"> for the SETS </w:t>
      </w:r>
      <w:proofErr w:type="spellStart"/>
      <w:r w:rsidRPr="00BD595A">
        <w:rPr>
          <w:rFonts w:asciiTheme="majorHAnsi" w:hAnsiTheme="majorHAnsi" w:cstheme="majorHAnsi"/>
          <w:color w:val="000000" w:themeColor="text1"/>
        </w:rPr>
        <w:t>coaptation</w:t>
      </w:r>
      <w:proofErr w:type="spellEnd"/>
      <w:r w:rsidRPr="00BD595A">
        <w:rPr>
          <w:rFonts w:asciiTheme="majorHAnsi" w:hAnsiTheme="majorHAnsi" w:cstheme="majorHAnsi"/>
          <w:color w:val="000000" w:themeColor="text1"/>
        </w:rPr>
        <w:t>. Do not handle the cut end of the AIN. Ensure there is no tension in the AIN nerve at the planned co-</w:t>
      </w:r>
      <w:proofErr w:type="spellStart"/>
      <w:r w:rsidRPr="00BD595A">
        <w:rPr>
          <w:rFonts w:asciiTheme="majorHAnsi" w:hAnsiTheme="majorHAnsi" w:cstheme="majorHAnsi"/>
          <w:color w:val="000000" w:themeColor="text1"/>
        </w:rPr>
        <w:t>aptation</w:t>
      </w:r>
      <w:proofErr w:type="spellEnd"/>
      <w:r w:rsidRPr="00BD595A">
        <w:rPr>
          <w:rFonts w:asciiTheme="majorHAnsi" w:hAnsiTheme="majorHAnsi" w:cstheme="majorHAnsi"/>
          <w:color w:val="000000" w:themeColor="text1"/>
        </w:rPr>
        <w:t xml:space="preserve"> site. Place the donor nerve on a microsurgical background. </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Using micro-</w:t>
      </w:r>
      <w:proofErr w:type="gramStart"/>
      <w:r w:rsidRPr="00BD595A">
        <w:rPr>
          <w:rFonts w:asciiTheme="majorHAnsi" w:hAnsiTheme="majorHAnsi" w:cstheme="majorHAnsi"/>
          <w:color w:val="000000" w:themeColor="text1"/>
        </w:rPr>
        <w:t>forceps,</w:t>
      </w:r>
      <w:proofErr w:type="gramEnd"/>
      <w:r w:rsidRPr="00BD595A">
        <w:rPr>
          <w:rFonts w:asciiTheme="majorHAnsi" w:hAnsiTheme="majorHAnsi" w:cstheme="majorHAnsi"/>
          <w:color w:val="000000" w:themeColor="text1"/>
        </w:rPr>
        <w:t xml:space="preserve"> identify the cleavage plane between the sensory and motor components of the main UN.  The motor component typically lies between the DCU and the more radially placed sensory fascicle groups. The motor fascicle group is smaller than the sensory fascicle group, aiding identification.</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rPr>
      </w:pPr>
      <w:proofErr w:type="spellStart"/>
      <w:r w:rsidRPr="00BD595A">
        <w:rPr>
          <w:rFonts w:asciiTheme="majorHAnsi" w:hAnsiTheme="majorHAnsi" w:cstheme="majorHAnsi"/>
          <w:color w:val="000000" w:themeColor="text1"/>
        </w:rPr>
        <w:t>Neurolyse</w:t>
      </w:r>
      <w:proofErr w:type="spellEnd"/>
      <w:r w:rsidRPr="00BD595A">
        <w:rPr>
          <w:rFonts w:asciiTheme="majorHAnsi" w:hAnsiTheme="majorHAnsi" w:cstheme="majorHAnsi"/>
          <w:color w:val="000000" w:themeColor="text1"/>
        </w:rPr>
        <w:t xml:space="preserve"> the motor fascicle group proximally over 2cm to ensure the correct fascicle has been identified. Open the epineurium of the motor fascicle group of the UN identified using an operating microscope, fine jeweller’s microsurgical forceps and the </w:t>
      </w:r>
      <w:r w:rsidRPr="00BD595A">
        <w:rPr>
          <w:rFonts w:asciiTheme="majorHAnsi" w:hAnsiTheme="majorHAnsi" w:cstheme="majorHAnsi"/>
          <w:color w:val="000000" w:themeColor="text1"/>
        </w:rPr>
        <w:lastRenderedPageBreak/>
        <w:t xml:space="preserve">curved microsurgery serrated nerve scissors. A small window with a diameter matching that of the distal cut AIN should be removed. Dissect longitudinally within the </w:t>
      </w:r>
      <w:proofErr w:type="spellStart"/>
      <w:r w:rsidRPr="00BD595A">
        <w:rPr>
          <w:rFonts w:asciiTheme="majorHAnsi" w:hAnsiTheme="majorHAnsi" w:cstheme="majorHAnsi"/>
          <w:color w:val="000000" w:themeColor="text1"/>
        </w:rPr>
        <w:t>interfascicular</w:t>
      </w:r>
      <w:proofErr w:type="spellEnd"/>
      <w:r w:rsidRPr="00BD595A">
        <w:rPr>
          <w:rFonts w:asciiTheme="majorHAnsi" w:hAnsiTheme="majorHAnsi" w:cstheme="majorHAnsi"/>
          <w:color w:val="000000" w:themeColor="text1"/>
        </w:rPr>
        <w:t xml:space="preserve"> epineurium of the motor fascicle group exposing the </w:t>
      </w:r>
      <w:proofErr w:type="spellStart"/>
      <w:r w:rsidRPr="00BD595A">
        <w:rPr>
          <w:rFonts w:asciiTheme="majorHAnsi" w:hAnsiTheme="majorHAnsi" w:cstheme="majorHAnsi"/>
          <w:color w:val="000000" w:themeColor="text1"/>
        </w:rPr>
        <w:t>perineurium</w:t>
      </w:r>
      <w:proofErr w:type="spellEnd"/>
      <w:r w:rsidRPr="00BD595A">
        <w:rPr>
          <w:rFonts w:asciiTheme="majorHAnsi" w:hAnsiTheme="majorHAnsi" w:cstheme="majorHAnsi"/>
          <w:color w:val="000000" w:themeColor="text1"/>
        </w:rPr>
        <w:t xml:space="preserve">. Do not cut the fascicles. </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Using 9-0 Nylon, against a micro background, suture the donor AIN epineurium to the edges of the epineurium window made on the surface of the motor fascicle group of the UN.  Ensure a tension free repair by performing the SETS transfer with the wrist and fingers in extension. </w:t>
      </w: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Coat the nerve </w:t>
      </w:r>
      <w:proofErr w:type="spellStart"/>
      <w:r w:rsidRPr="00BD595A">
        <w:rPr>
          <w:rFonts w:asciiTheme="majorHAnsi" w:hAnsiTheme="majorHAnsi" w:cstheme="majorHAnsi"/>
          <w:color w:val="000000" w:themeColor="text1"/>
        </w:rPr>
        <w:t>coaptation</w:t>
      </w:r>
      <w:proofErr w:type="spellEnd"/>
      <w:r w:rsidRPr="00BD595A">
        <w:rPr>
          <w:rFonts w:asciiTheme="majorHAnsi" w:hAnsiTheme="majorHAnsi" w:cstheme="majorHAnsi"/>
          <w:color w:val="000000" w:themeColor="text1"/>
        </w:rPr>
        <w:t xml:space="preserve"> site with </w:t>
      </w:r>
      <w:proofErr w:type="spellStart"/>
      <w:r w:rsidRPr="00BD595A">
        <w:rPr>
          <w:rFonts w:asciiTheme="majorHAnsi" w:hAnsiTheme="majorHAnsi" w:cstheme="majorHAnsi"/>
          <w:color w:val="000000" w:themeColor="text1"/>
        </w:rPr>
        <w:t>Tisseal</w:t>
      </w:r>
      <w:proofErr w:type="spellEnd"/>
      <w:r w:rsidRPr="00BD595A">
        <w:rPr>
          <w:rFonts w:asciiTheme="majorHAnsi" w:hAnsiTheme="majorHAnsi" w:cstheme="majorHAnsi"/>
          <w:color w:val="000000" w:themeColor="text1"/>
        </w:rPr>
        <w:t xml:space="preserve">© fibrin glue and ensure a 360-degree distribution Wait for the glue to set for before proceeding to remove the microsurgical background material.  </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pStyle w:val="Heading5"/>
        <w:spacing w:line="480" w:lineRule="auto"/>
        <w:jc w:val="both"/>
        <w:rPr>
          <w:rFonts w:cstheme="majorHAnsi"/>
          <w:b/>
          <w:color w:val="000000" w:themeColor="text1"/>
        </w:rPr>
      </w:pPr>
      <w:bookmarkStart w:id="8" w:name="_Toc116304239"/>
      <w:r w:rsidRPr="00BD595A">
        <w:rPr>
          <w:rFonts w:cstheme="majorHAnsi"/>
          <w:b/>
          <w:color w:val="000000" w:themeColor="text1"/>
        </w:rPr>
        <w:t>Step 5: Skin closure</w:t>
      </w:r>
      <w:bookmarkEnd w:id="8"/>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Wound closures to be performed using 4-0 </w:t>
      </w:r>
      <w:proofErr w:type="spellStart"/>
      <w:r w:rsidRPr="00BD595A">
        <w:rPr>
          <w:rFonts w:asciiTheme="majorHAnsi" w:hAnsiTheme="majorHAnsi" w:cstheme="majorHAnsi"/>
          <w:color w:val="000000" w:themeColor="text1"/>
        </w:rPr>
        <w:t>Monocryl</w:t>
      </w:r>
      <w:proofErr w:type="spellEnd"/>
      <w:r w:rsidRPr="00BD595A">
        <w:rPr>
          <w:rFonts w:asciiTheme="majorHAnsi" w:hAnsiTheme="majorHAnsi" w:cstheme="majorHAnsi"/>
          <w:color w:val="000000" w:themeColor="text1"/>
        </w:rPr>
        <w:t xml:space="preserve"> as a </w:t>
      </w:r>
      <w:proofErr w:type="spellStart"/>
      <w:r w:rsidRPr="00BD595A">
        <w:rPr>
          <w:rFonts w:asciiTheme="majorHAnsi" w:hAnsiTheme="majorHAnsi" w:cstheme="majorHAnsi"/>
          <w:color w:val="000000" w:themeColor="text1"/>
        </w:rPr>
        <w:t>subcuticular</w:t>
      </w:r>
      <w:proofErr w:type="spellEnd"/>
      <w:r w:rsidRPr="00BD595A">
        <w:rPr>
          <w:rFonts w:asciiTheme="majorHAnsi" w:hAnsiTheme="majorHAnsi" w:cstheme="majorHAnsi"/>
          <w:color w:val="000000" w:themeColor="text1"/>
        </w:rPr>
        <w:t xml:space="preserve"> running suture to both wounds. Cover all wounds with an occlusive adhesive dressing. Apply a simple volar slab to the hand and forearm leaving the digits free at the MCPJs. The cast should remain until the first dressings change between 10 and 14 days post operatively. Apply a bulky wool and bandage across the elbow. Release the tourniquet. </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pStyle w:val="Heading5"/>
        <w:spacing w:line="480" w:lineRule="auto"/>
        <w:jc w:val="both"/>
        <w:rPr>
          <w:rFonts w:cstheme="majorHAnsi"/>
          <w:b/>
          <w:color w:val="000000" w:themeColor="text1"/>
        </w:rPr>
      </w:pPr>
      <w:bookmarkStart w:id="9" w:name="_Toc116304240"/>
      <w:r w:rsidRPr="00BD595A">
        <w:rPr>
          <w:rFonts w:cstheme="majorHAnsi"/>
          <w:b/>
          <w:color w:val="000000" w:themeColor="text1"/>
        </w:rPr>
        <w:t>Step 6: Documentation</w:t>
      </w:r>
      <w:bookmarkEnd w:id="9"/>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Document the MST (in </w:t>
      </w:r>
      <w:proofErr w:type="spellStart"/>
      <w:r w:rsidRPr="00BD595A">
        <w:rPr>
          <w:rFonts w:asciiTheme="majorHAnsi" w:hAnsiTheme="majorHAnsi" w:cstheme="majorHAnsi"/>
          <w:color w:val="000000" w:themeColor="text1"/>
        </w:rPr>
        <w:t>mAmps</w:t>
      </w:r>
      <w:proofErr w:type="spellEnd"/>
      <w:r w:rsidRPr="00BD595A">
        <w:rPr>
          <w:rFonts w:asciiTheme="majorHAnsi" w:hAnsiTheme="majorHAnsi" w:cstheme="majorHAnsi"/>
          <w:color w:val="000000" w:themeColor="text1"/>
        </w:rPr>
        <w:t>).</w:t>
      </w: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Document the MSC (in </w:t>
      </w:r>
      <w:proofErr w:type="spellStart"/>
      <w:r w:rsidRPr="00BD595A">
        <w:rPr>
          <w:rFonts w:asciiTheme="majorHAnsi" w:hAnsiTheme="majorHAnsi" w:cstheme="majorHAnsi"/>
          <w:color w:val="000000" w:themeColor="text1"/>
        </w:rPr>
        <w:t>mAmps</w:t>
      </w:r>
      <w:proofErr w:type="spellEnd"/>
      <w:r w:rsidRPr="00BD595A">
        <w:rPr>
          <w:rFonts w:asciiTheme="majorHAnsi" w:hAnsiTheme="majorHAnsi" w:cstheme="majorHAnsi"/>
          <w:color w:val="000000" w:themeColor="text1"/>
        </w:rPr>
        <w:t>).</w:t>
      </w: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lastRenderedPageBreak/>
        <w:t xml:space="preserve">Document the method of UN decompression at the elbow and any adjunct procedure used such as medial </w:t>
      </w:r>
      <w:proofErr w:type="spellStart"/>
      <w:r w:rsidRPr="00BD595A">
        <w:rPr>
          <w:rFonts w:asciiTheme="majorHAnsi" w:hAnsiTheme="majorHAnsi" w:cstheme="majorHAnsi"/>
          <w:color w:val="000000" w:themeColor="text1"/>
        </w:rPr>
        <w:t>epicondylectomy</w:t>
      </w:r>
      <w:proofErr w:type="spellEnd"/>
      <w:r w:rsidRPr="00BD595A">
        <w:rPr>
          <w:rFonts w:asciiTheme="majorHAnsi" w:hAnsiTheme="majorHAnsi" w:cstheme="majorHAnsi"/>
          <w:color w:val="000000" w:themeColor="text1"/>
        </w:rPr>
        <w:t xml:space="preserve"> (ME), UN transposition (subcutaneous or </w:t>
      </w:r>
      <w:proofErr w:type="spellStart"/>
      <w:r w:rsidRPr="00BD595A">
        <w:rPr>
          <w:rFonts w:asciiTheme="majorHAnsi" w:hAnsiTheme="majorHAnsi" w:cstheme="majorHAnsi"/>
          <w:color w:val="000000" w:themeColor="text1"/>
        </w:rPr>
        <w:t>submuscular</w:t>
      </w:r>
      <w:proofErr w:type="spellEnd"/>
      <w:r w:rsidRPr="00BD595A">
        <w:rPr>
          <w:rFonts w:asciiTheme="majorHAnsi" w:hAnsiTheme="majorHAnsi" w:cstheme="majorHAnsi"/>
          <w:color w:val="000000" w:themeColor="text1"/>
        </w:rPr>
        <w:t>) or the use of any anti-adhesion barrier material.</w:t>
      </w: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Document the findings at the elbow, including whether the UN was compressed, scarred or </w:t>
      </w:r>
      <w:proofErr w:type="spellStart"/>
      <w:r w:rsidRPr="00BD595A">
        <w:rPr>
          <w:rFonts w:asciiTheme="majorHAnsi" w:hAnsiTheme="majorHAnsi" w:cstheme="majorHAnsi"/>
          <w:color w:val="000000" w:themeColor="text1"/>
        </w:rPr>
        <w:t>subluxing</w:t>
      </w:r>
      <w:proofErr w:type="spellEnd"/>
      <w:r w:rsidRPr="00BD595A">
        <w:rPr>
          <w:rFonts w:asciiTheme="majorHAnsi" w:hAnsiTheme="majorHAnsi" w:cstheme="majorHAnsi"/>
          <w:color w:val="000000" w:themeColor="text1"/>
        </w:rPr>
        <w:t xml:space="preserve"> over the medial epicondyle (grades 1-4). </w:t>
      </w:r>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Document the site of SETS nerve transfer for the intervention arm measured in mm from </w:t>
      </w:r>
      <w:proofErr w:type="gramStart"/>
      <w:r w:rsidRPr="00BD595A">
        <w:rPr>
          <w:rFonts w:asciiTheme="majorHAnsi" w:hAnsiTheme="majorHAnsi" w:cstheme="majorHAnsi"/>
          <w:color w:val="000000" w:themeColor="text1"/>
        </w:rPr>
        <w:t>the  proximal</w:t>
      </w:r>
      <w:proofErr w:type="gramEnd"/>
      <w:r w:rsidRPr="00BD595A">
        <w:rPr>
          <w:rFonts w:asciiTheme="majorHAnsi" w:hAnsiTheme="majorHAnsi" w:cstheme="majorHAnsi"/>
          <w:color w:val="000000" w:themeColor="text1"/>
        </w:rPr>
        <w:t xml:space="preserve"> edge of the pisiform bone.</w:t>
      </w:r>
    </w:p>
    <w:p w:rsidR="00D35B9D" w:rsidRPr="00BD595A" w:rsidRDefault="00D35B9D" w:rsidP="00D35B9D">
      <w:pPr>
        <w:spacing w:line="480" w:lineRule="auto"/>
        <w:jc w:val="both"/>
        <w:rPr>
          <w:rFonts w:asciiTheme="majorHAnsi" w:hAnsiTheme="majorHAnsi" w:cstheme="majorHAnsi"/>
          <w:color w:val="000000" w:themeColor="text1"/>
        </w:rPr>
      </w:pPr>
      <w:proofErr w:type="gramStart"/>
      <w:r w:rsidRPr="00BD595A">
        <w:rPr>
          <w:rFonts w:asciiTheme="majorHAnsi" w:hAnsiTheme="majorHAnsi" w:cstheme="majorHAnsi"/>
          <w:color w:val="000000" w:themeColor="text1"/>
        </w:rPr>
        <w:t>Document the tourniquet time and pressure.</w:t>
      </w:r>
      <w:proofErr w:type="gramEnd"/>
      <w:r w:rsidRPr="00BD595A">
        <w:rPr>
          <w:rFonts w:asciiTheme="majorHAnsi" w:hAnsiTheme="majorHAnsi" w:cstheme="majorHAnsi"/>
          <w:color w:val="000000" w:themeColor="text1"/>
        </w:rPr>
        <w:t xml:space="preserve"> </w:t>
      </w:r>
    </w:p>
    <w:p w:rsidR="00D35B9D" w:rsidRPr="00BD595A" w:rsidRDefault="00D35B9D" w:rsidP="00D35B9D">
      <w:pPr>
        <w:spacing w:line="480" w:lineRule="auto"/>
        <w:jc w:val="both"/>
        <w:rPr>
          <w:rFonts w:asciiTheme="majorHAnsi" w:hAnsiTheme="majorHAnsi" w:cstheme="majorHAnsi"/>
          <w:color w:val="000000" w:themeColor="text1"/>
        </w:rPr>
      </w:pPr>
    </w:p>
    <w:p w:rsidR="00D35B9D" w:rsidRPr="00BD595A" w:rsidRDefault="00D35B9D" w:rsidP="00D35B9D">
      <w:pPr>
        <w:pStyle w:val="Heading5"/>
        <w:spacing w:line="480" w:lineRule="auto"/>
        <w:jc w:val="both"/>
        <w:rPr>
          <w:rFonts w:cstheme="majorHAnsi"/>
          <w:b/>
          <w:color w:val="000000" w:themeColor="text1"/>
        </w:rPr>
      </w:pPr>
      <w:bookmarkStart w:id="10" w:name="_Toc116304241"/>
      <w:r w:rsidRPr="00BD595A">
        <w:rPr>
          <w:rFonts w:cstheme="majorHAnsi"/>
          <w:b/>
          <w:color w:val="000000" w:themeColor="text1"/>
        </w:rPr>
        <w:t>Post-op instructions</w:t>
      </w:r>
      <w:bookmarkEnd w:id="10"/>
    </w:p>
    <w:p w:rsidR="00D35B9D" w:rsidRPr="00BD595A" w:rsidRDefault="00D35B9D" w:rsidP="00D35B9D">
      <w:pPr>
        <w:spacing w:line="48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Encourage the patient to move their fingers actively. Hand elevation is recommended for the first 48 hours to help reduce swelling. The elbow may be mobilised within the bulky dressings as pain permits. No strenuous lifting should be performed until after first outpatient review at 10-14 days. Simple analgesia should be prescribed for post-operative pain relief. </w:t>
      </w:r>
    </w:p>
    <w:p w:rsidR="00D35B9D" w:rsidRPr="00BD595A" w:rsidRDefault="00D35B9D" w:rsidP="00D35B9D">
      <w:pPr>
        <w:rPr>
          <w:rFonts w:asciiTheme="majorHAnsi" w:eastAsiaTheme="majorEastAsia" w:hAnsiTheme="majorHAnsi" w:cstheme="majorBidi"/>
          <w:color w:val="000000" w:themeColor="text1"/>
          <w:sz w:val="26"/>
          <w:szCs w:val="26"/>
        </w:rPr>
      </w:pPr>
      <w:r w:rsidRPr="00BD595A">
        <w:rPr>
          <w:color w:val="000000" w:themeColor="text1"/>
        </w:rPr>
        <w:br w:type="page"/>
      </w:r>
    </w:p>
    <w:p w:rsidR="00D35B9D" w:rsidRPr="00BD595A" w:rsidRDefault="00D35B9D" w:rsidP="00D35B9D">
      <w:pPr>
        <w:pStyle w:val="Heading2"/>
        <w:spacing w:line="480" w:lineRule="auto"/>
        <w:rPr>
          <w:color w:val="000000" w:themeColor="text1"/>
        </w:rPr>
      </w:pPr>
      <w:bookmarkStart w:id="11" w:name="_Toc197883157"/>
      <w:r w:rsidRPr="00BD595A">
        <w:rPr>
          <w:color w:val="000000" w:themeColor="text1"/>
        </w:rPr>
        <w:lastRenderedPageBreak/>
        <w:t>Appendix 5 - Schedule of Events</w:t>
      </w:r>
      <w:bookmarkEnd w:id="11"/>
    </w:p>
    <w:tbl>
      <w:tblPr>
        <w:tblStyle w:val="GridTableLight"/>
        <w:tblW w:w="5003" w:type="pct"/>
        <w:tblLook w:val="04A0" w:firstRow="1" w:lastRow="0" w:firstColumn="1" w:lastColumn="0" w:noHBand="0" w:noVBand="1"/>
      </w:tblPr>
      <w:tblGrid>
        <w:gridCol w:w="1944"/>
        <w:gridCol w:w="1124"/>
        <w:gridCol w:w="1275"/>
        <w:gridCol w:w="965"/>
        <w:gridCol w:w="965"/>
        <w:gridCol w:w="966"/>
        <w:gridCol w:w="995"/>
        <w:gridCol w:w="1014"/>
      </w:tblGrid>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Screening</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Visit</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 xml:space="preserve">Pre-op assessment / Day of surgery </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Follow Up</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2 Weeks</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(+/- 7 days)</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Follow Up</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Month 3</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(+/- 2 weeks)</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Remote Follow Up</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Month 6</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(+/- 1 month)</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Follow Up</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Month 12</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(+/- 3 months)</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Optional Follow Up Month 24</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b/>
                <w:bCs/>
                <w:color w:val="000000" w:themeColor="text1"/>
              </w:rPr>
            </w:pPr>
            <w:r w:rsidRPr="00BD595A">
              <w:rPr>
                <w:rFonts w:asciiTheme="majorHAnsi" w:hAnsiTheme="majorHAnsi" w:cstheme="majorHAnsi"/>
                <w:b/>
                <w:bCs/>
                <w:color w:val="000000" w:themeColor="text1"/>
              </w:rPr>
              <w:t>(+/- 3 months)</w:t>
            </w: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Inclusion and Exclusion criteria </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Medical History</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Concomitant Medication</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Patient formation leaflet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Consent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Confirmation of Consent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Randomisation</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vertAlign w:val="superscript"/>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5000" w:type="pct"/>
            <w:gridSpan w:val="8"/>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b/>
                <w:bCs/>
                <w:color w:val="000000" w:themeColor="text1"/>
              </w:rPr>
              <w:t>Laboratory Tests</w:t>
            </w: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Pregnancy Test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5000" w:type="pct"/>
            <w:gridSpan w:val="8"/>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b/>
                <w:bCs/>
                <w:color w:val="000000" w:themeColor="text1"/>
              </w:rPr>
              <w:t>Clinical Assessment &amp; Evaluations</w:t>
            </w: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Motor function assessment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Electrophysiological donor </w:t>
            </w:r>
            <w:proofErr w:type="spellStart"/>
            <w:r w:rsidRPr="00BD595A">
              <w:rPr>
                <w:rFonts w:asciiTheme="majorHAnsi" w:hAnsiTheme="majorHAnsi" w:cstheme="majorHAnsi"/>
                <w:color w:val="000000" w:themeColor="text1"/>
              </w:rPr>
              <w:t>vs</w:t>
            </w:r>
            <w:proofErr w:type="spellEnd"/>
            <w:r w:rsidRPr="00BD595A">
              <w:rPr>
                <w:rFonts w:asciiTheme="majorHAnsi" w:hAnsiTheme="majorHAnsi" w:cstheme="majorHAnsi"/>
                <w:color w:val="000000" w:themeColor="text1"/>
              </w:rPr>
              <w:t xml:space="preserve"> recipient axon contribution (FDI &amp; ADM CMAPs)</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Sensory function assessment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Disease severity </w:t>
            </w:r>
            <w:r w:rsidRPr="00BD595A">
              <w:rPr>
                <w:rFonts w:asciiTheme="majorHAnsi" w:hAnsiTheme="majorHAnsi" w:cstheme="majorHAnsi"/>
                <w:color w:val="000000" w:themeColor="text1"/>
              </w:rPr>
              <w:lastRenderedPageBreak/>
              <w:t>classification</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lastRenderedPageBreak/>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lastRenderedPageBreak/>
              <w:t xml:space="preserve">Outcome grading (Wilson </w:t>
            </w:r>
            <w:proofErr w:type="spellStart"/>
            <w:r w:rsidRPr="00BD595A">
              <w:rPr>
                <w:rFonts w:asciiTheme="majorHAnsi" w:hAnsiTheme="majorHAnsi" w:cstheme="majorHAnsi"/>
                <w:color w:val="000000" w:themeColor="text1"/>
              </w:rPr>
              <w:t>Krout</w:t>
            </w:r>
            <w:proofErr w:type="spellEnd"/>
            <w:r w:rsidRPr="00BD595A">
              <w:rPr>
                <w:rFonts w:asciiTheme="majorHAnsi" w:hAnsiTheme="majorHAnsi" w:cstheme="majorHAnsi"/>
                <w:color w:val="000000" w:themeColor="text1"/>
              </w:rPr>
              <w: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Presence of Complications</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vertAlign w:val="superscript"/>
              </w:rPr>
            </w:pPr>
            <w:r w:rsidRPr="00BD595A">
              <w:rPr>
                <w:rFonts w:asciiTheme="majorHAnsi" w:hAnsiTheme="majorHAnsi" w:cstheme="majorHAnsi"/>
                <w:color w:val="000000" w:themeColor="text1"/>
                <w:sz w:val="26"/>
                <w:szCs w:val="26"/>
              </w:rPr>
              <w:t>X</w:t>
            </w:r>
            <w:r w:rsidRPr="00BD595A">
              <w:rPr>
                <w:rFonts w:asciiTheme="majorHAnsi" w:hAnsiTheme="majorHAnsi" w:cstheme="majorHAnsi"/>
                <w:color w:val="000000" w:themeColor="text1"/>
                <w:sz w:val="26"/>
                <w:szCs w:val="26"/>
                <w:vertAlign w:val="superscript"/>
              </w:rPr>
              <w:t>+</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r>
      <w:tr w:rsidR="00D35B9D" w:rsidRPr="00BD595A" w:rsidTr="00CB686F">
        <w:trPr>
          <w:trHeight w:val="567"/>
        </w:trPr>
        <w:tc>
          <w:tcPr>
            <w:tcW w:w="5000" w:type="pct"/>
            <w:gridSpan w:val="8"/>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b/>
                <w:bCs/>
                <w:color w:val="000000" w:themeColor="text1"/>
              </w:rPr>
              <w:t>Questionnaires</w:t>
            </w: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NRS</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PRUNE</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r>
      <w:tr w:rsidR="00D35B9D" w:rsidRPr="00BD595A" w:rsidTr="00CB686F">
        <w:trPr>
          <w:trHeight w:val="567"/>
        </w:trPr>
        <w:tc>
          <w:tcPr>
            <w:tcW w:w="82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EQ-5D-5L</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65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p>
        </w:tc>
        <w:tc>
          <w:tcPr>
            <w:tcW w:w="586"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c>
          <w:tcPr>
            <w:tcW w:w="587" w:type="pct"/>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sz w:val="26"/>
                <w:szCs w:val="26"/>
              </w:rPr>
            </w:pPr>
            <w:r w:rsidRPr="00BD595A">
              <w:rPr>
                <w:rFonts w:asciiTheme="majorHAnsi" w:hAnsiTheme="majorHAnsi" w:cstheme="majorHAnsi"/>
                <w:color w:val="000000" w:themeColor="text1"/>
                <w:sz w:val="26"/>
                <w:szCs w:val="26"/>
              </w:rPr>
              <w:t>X</w:t>
            </w:r>
          </w:p>
        </w:tc>
      </w:tr>
      <w:tr w:rsidR="00D35B9D" w:rsidRPr="00BD595A" w:rsidTr="00CB686F">
        <w:trPr>
          <w:trHeight w:val="567"/>
        </w:trPr>
        <w:tc>
          <w:tcPr>
            <w:tcW w:w="5000" w:type="pct"/>
            <w:gridSpan w:val="8"/>
          </w:tcPr>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*May occur either at Screening or Day of Surgery Visit</w:t>
            </w:r>
          </w:p>
          <w:p w:rsidR="00D35B9D" w:rsidRPr="00BD595A" w:rsidRDefault="00D35B9D" w:rsidP="00CB686F">
            <w:pPr>
              <w:pStyle w:val="trt0xe"/>
              <w:spacing w:before="0" w:beforeAutospacing="0" w:after="60" w:afterAutospacing="0" w:line="360" w:lineRule="auto"/>
              <w:jc w:val="both"/>
              <w:rPr>
                <w:rFonts w:asciiTheme="majorHAnsi" w:hAnsiTheme="majorHAnsi" w:cstheme="majorHAnsi"/>
                <w:color w:val="000000" w:themeColor="text1"/>
              </w:rPr>
            </w:pPr>
            <w:r w:rsidRPr="00BD595A">
              <w:rPr>
                <w:rFonts w:asciiTheme="majorHAnsi" w:hAnsiTheme="majorHAnsi" w:cstheme="majorHAnsi"/>
                <w:color w:val="000000" w:themeColor="text1"/>
              </w:rPr>
              <w:t xml:space="preserve">+Performed alongside routine clinical care, will not be a scheduled research follow up. </w:t>
            </w:r>
          </w:p>
        </w:tc>
      </w:tr>
    </w:tbl>
    <w:p w:rsidR="00D35B9D" w:rsidRPr="00BD595A" w:rsidRDefault="00D35B9D" w:rsidP="00D35B9D">
      <w:pPr>
        <w:rPr>
          <w:rFonts w:asciiTheme="majorHAnsi" w:hAnsiTheme="majorHAnsi" w:cstheme="majorHAnsi"/>
          <w:color w:val="000000" w:themeColor="text1"/>
        </w:rPr>
      </w:pPr>
      <w:r w:rsidRPr="00BD595A">
        <w:rPr>
          <w:rFonts w:asciiTheme="majorHAnsi" w:hAnsiTheme="majorHAnsi" w:cstheme="majorHAnsi"/>
          <w:color w:val="000000" w:themeColor="text1"/>
        </w:rPr>
        <w:br w:type="page"/>
      </w:r>
    </w:p>
    <w:p w:rsidR="00D35B9D" w:rsidRPr="00BD595A" w:rsidRDefault="00D35B9D" w:rsidP="00D35B9D">
      <w:pPr>
        <w:pStyle w:val="Heading2"/>
        <w:spacing w:line="480" w:lineRule="auto"/>
        <w:rPr>
          <w:color w:val="000000" w:themeColor="text1"/>
        </w:rPr>
      </w:pPr>
      <w:bookmarkStart w:id="12" w:name="_Toc197883158"/>
      <w:r w:rsidRPr="00BD595A">
        <w:rPr>
          <w:color w:val="000000" w:themeColor="text1"/>
        </w:rPr>
        <w:lastRenderedPageBreak/>
        <w:t xml:space="preserve">Appendix 6 – Modified </w:t>
      </w:r>
      <w:proofErr w:type="spellStart"/>
      <w:r w:rsidRPr="00BD595A">
        <w:rPr>
          <w:color w:val="000000" w:themeColor="text1"/>
        </w:rPr>
        <w:t>Clavien-Dindo</w:t>
      </w:r>
      <w:proofErr w:type="spellEnd"/>
      <w:r w:rsidRPr="00BD595A">
        <w:rPr>
          <w:color w:val="000000" w:themeColor="text1"/>
        </w:rPr>
        <w:t xml:space="preserve"> Classification</w:t>
      </w:r>
      <w:bookmarkEnd w:id="12"/>
    </w:p>
    <w:p w:rsidR="00D35B9D" w:rsidRPr="00BD595A" w:rsidRDefault="00D35B9D" w:rsidP="00D35B9D">
      <w:pPr>
        <w:rPr>
          <w:color w:val="000000" w:themeColor="text1"/>
        </w:rPr>
      </w:pPr>
    </w:p>
    <w:tbl>
      <w:tblPr>
        <w:tblStyle w:val="GridTableLight"/>
        <w:tblW w:w="5000" w:type="pct"/>
        <w:tblLook w:val="04A0" w:firstRow="1" w:lastRow="0" w:firstColumn="1" w:lastColumn="0" w:noHBand="0" w:noVBand="1"/>
      </w:tblPr>
      <w:tblGrid>
        <w:gridCol w:w="853"/>
        <w:gridCol w:w="1911"/>
        <w:gridCol w:w="1970"/>
        <w:gridCol w:w="4508"/>
      </w:tblGrid>
      <w:tr w:rsidR="00D35B9D" w:rsidRPr="00BD595A" w:rsidTr="00CB686F">
        <w:trPr>
          <w:trHeight w:val="246"/>
        </w:trPr>
        <w:tc>
          <w:tcPr>
            <w:tcW w:w="461" w:type="pct"/>
          </w:tcPr>
          <w:p w:rsidR="00D35B9D" w:rsidRPr="00BD595A" w:rsidRDefault="00D35B9D" w:rsidP="00CB686F">
            <w:pPr>
              <w:pStyle w:val="TableStyle1"/>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Grade</w:t>
            </w:r>
          </w:p>
        </w:tc>
        <w:tc>
          <w:tcPr>
            <w:tcW w:w="1034" w:type="pct"/>
          </w:tcPr>
          <w:p w:rsidR="00D35B9D" w:rsidRPr="00BD595A" w:rsidRDefault="00D35B9D" w:rsidP="00CB686F">
            <w:pPr>
              <w:pStyle w:val="TableStyle1"/>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Definition</w:t>
            </w:r>
          </w:p>
        </w:tc>
        <w:tc>
          <w:tcPr>
            <w:tcW w:w="1066" w:type="pct"/>
          </w:tcPr>
          <w:p w:rsidR="00D35B9D" w:rsidRPr="00BD595A" w:rsidRDefault="00D35B9D" w:rsidP="00CB686F">
            <w:pPr>
              <w:pStyle w:val="TableStyle1"/>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Hand surgery modification</w:t>
            </w:r>
          </w:p>
        </w:tc>
        <w:tc>
          <w:tcPr>
            <w:tcW w:w="2439" w:type="pct"/>
          </w:tcPr>
          <w:p w:rsidR="00D35B9D" w:rsidRPr="00BD595A" w:rsidRDefault="00D35B9D" w:rsidP="00CB686F">
            <w:pPr>
              <w:pStyle w:val="TableStyle1"/>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Hand surgery examples</w:t>
            </w:r>
          </w:p>
        </w:tc>
      </w:tr>
      <w:tr w:rsidR="00D35B9D" w:rsidRPr="00BD595A" w:rsidTr="00CB686F">
        <w:trPr>
          <w:trHeight w:val="2944"/>
        </w:trPr>
        <w:tc>
          <w:tcPr>
            <w:tcW w:w="461"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I</w:t>
            </w:r>
          </w:p>
        </w:tc>
        <w:tc>
          <w:tcPr>
            <w:tcW w:w="1034"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Any deviation from the normal post-operative course without the need for pharmacologic treatment or surgical, endoscopic and radiological intervention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Allowed therapeutic regimens are: drugs as </w:t>
            </w:r>
            <w:proofErr w:type="spellStart"/>
            <w:r w:rsidRPr="00BD595A">
              <w:rPr>
                <w:rFonts w:asciiTheme="majorHAnsi" w:hAnsiTheme="majorHAnsi" w:cstheme="majorHAnsi"/>
                <w:color w:val="000000" w:themeColor="text1"/>
                <w:sz w:val="22"/>
                <w:szCs w:val="22"/>
              </w:rPr>
              <w:t>antiemetics</w:t>
            </w:r>
            <w:proofErr w:type="spellEnd"/>
            <w:r w:rsidRPr="00BD595A">
              <w:rPr>
                <w:rFonts w:asciiTheme="majorHAnsi" w:hAnsiTheme="majorHAnsi" w:cstheme="majorHAnsi"/>
                <w:color w:val="000000" w:themeColor="text1"/>
                <w:sz w:val="22"/>
                <w:szCs w:val="22"/>
              </w:rPr>
              <w:t>, antipyretics, analgesics, diuretics, electrolytes and physiotherapy. This grade also includes wound infections opened at the bedside</w:t>
            </w:r>
          </w:p>
        </w:tc>
        <w:tc>
          <w:tcPr>
            <w:tcW w:w="1066"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Unanticipated prolonged stay</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Deviation from a normal uncomplicated post-operative patient pathway. Additional outpatient management is required. Patient does not require admission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 </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tc>
        <w:tc>
          <w:tcPr>
            <w:tcW w:w="2439"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Failed discharge of a day case due to </w:t>
            </w:r>
            <w:proofErr w:type="spellStart"/>
            <w:r w:rsidRPr="00BD595A">
              <w:rPr>
                <w:rFonts w:asciiTheme="majorHAnsi" w:hAnsiTheme="majorHAnsi" w:cstheme="majorHAnsi"/>
                <w:color w:val="000000" w:themeColor="text1"/>
                <w:sz w:val="22"/>
                <w:szCs w:val="22"/>
              </w:rPr>
              <w:t>peri</w:t>
            </w:r>
            <w:proofErr w:type="spellEnd"/>
            <w:r w:rsidRPr="00BD595A">
              <w:rPr>
                <w:rFonts w:asciiTheme="majorHAnsi" w:hAnsiTheme="majorHAnsi" w:cstheme="majorHAnsi"/>
                <w:color w:val="000000" w:themeColor="text1"/>
                <w:sz w:val="22"/>
                <w:szCs w:val="22"/>
              </w:rPr>
              <w:t xml:space="preserve">-operative complications: </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Nausea and vomiting, pain, anaphylaxis, sedation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For inpatient care, length of stay greater than 24 hours beyond predicted</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Return with tight cast</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Wound dehiscence managed with dressings</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Skin flap necrosis: Dressings or clinic debridement</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Over granulation of wound: Silver nitrate, silver dressings or steroid cream</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Superficial infection to wound: Oral antibiotics</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Pin site infection: Antibiotics (pin left in situ)</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Pin site infection: Pin removed early in outpatient department </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Pain requiring escalation of analgesic prescription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Neuropathic pain: Neuromodulator prescription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Excessive swelling +/or stiffness: Unanticipated hand therapy,</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Regional block related numbness, paraesthesia +/or weakness lasting &lt; 1 week</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Scar sensitivity: Hand therapy management, silicone gel +/or gel pads</w:t>
            </w:r>
          </w:p>
        </w:tc>
      </w:tr>
      <w:tr w:rsidR="00D35B9D" w:rsidRPr="00BD595A" w:rsidTr="00CB686F">
        <w:trPr>
          <w:trHeight w:val="702"/>
        </w:trPr>
        <w:tc>
          <w:tcPr>
            <w:tcW w:w="461"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II</w:t>
            </w:r>
          </w:p>
        </w:tc>
        <w:tc>
          <w:tcPr>
            <w:tcW w:w="1034"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Requiring pharmacological </w:t>
            </w:r>
            <w:r w:rsidRPr="00BD595A">
              <w:rPr>
                <w:rFonts w:asciiTheme="majorHAnsi" w:hAnsiTheme="majorHAnsi" w:cstheme="majorHAnsi"/>
                <w:color w:val="000000" w:themeColor="text1"/>
                <w:sz w:val="22"/>
                <w:szCs w:val="22"/>
              </w:rPr>
              <w:lastRenderedPageBreak/>
              <w:t>treatment with drugs other than allowed for Grade I complications</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Blood transfusions and total parenteral nutrition are included</w:t>
            </w:r>
          </w:p>
        </w:tc>
        <w:tc>
          <w:tcPr>
            <w:tcW w:w="1066"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lastRenderedPageBreak/>
              <w:t xml:space="preserve">Moderately severe complication </w:t>
            </w:r>
            <w:r w:rsidRPr="00BD595A">
              <w:rPr>
                <w:rFonts w:asciiTheme="majorHAnsi" w:hAnsiTheme="majorHAnsi" w:cstheme="majorHAnsi"/>
                <w:color w:val="000000" w:themeColor="text1"/>
                <w:sz w:val="22"/>
                <w:szCs w:val="22"/>
              </w:rPr>
              <w:lastRenderedPageBreak/>
              <w:t>necessitating re-admission for further management.</w:t>
            </w:r>
          </w:p>
        </w:tc>
        <w:tc>
          <w:tcPr>
            <w:tcW w:w="2439"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lastRenderedPageBreak/>
              <w:t>Post-operative haemorrhage requiring blood products</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lastRenderedPageBreak/>
              <w:t>Wound infection requiring intravenous antibiotics</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Severe nerve pain requiring inpatient management including peripheral nerve blocks</w:t>
            </w:r>
          </w:p>
        </w:tc>
      </w:tr>
      <w:tr w:rsidR="00D35B9D" w:rsidRPr="00BD595A" w:rsidTr="00CB686F">
        <w:trPr>
          <w:trHeight w:val="477"/>
        </w:trPr>
        <w:tc>
          <w:tcPr>
            <w:tcW w:w="461"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lastRenderedPageBreak/>
              <w:t>IIIa</w:t>
            </w:r>
            <w:proofErr w:type="spellEnd"/>
          </w:p>
        </w:tc>
        <w:tc>
          <w:tcPr>
            <w:tcW w:w="1034"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Requiring surgical, endoscopic or radiological intervention not under general anaesthetic</w:t>
            </w:r>
          </w:p>
        </w:tc>
        <w:tc>
          <w:tcPr>
            <w:tcW w:w="1066"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Additional surgical intervention is required as day case under local anaesthetic or WALANT</w:t>
            </w:r>
          </w:p>
        </w:tc>
        <w:tc>
          <w:tcPr>
            <w:tcW w:w="2439"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Wound debridement </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Terminalisation / amputation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Metalwork removal</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t>Tenolysis</w:t>
            </w:r>
            <w:proofErr w:type="spellEnd"/>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t>Neurolysis</w:t>
            </w:r>
            <w:proofErr w:type="spellEnd"/>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Neuroma surgery</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Manipulation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Scar release or revision</w:t>
            </w:r>
          </w:p>
        </w:tc>
      </w:tr>
      <w:tr w:rsidR="00D35B9D" w:rsidRPr="00BD595A" w:rsidTr="00CB686F">
        <w:trPr>
          <w:trHeight w:val="1542"/>
        </w:trPr>
        <w:tc>
          <w:tcPr>
            <w:tcW w:w="461"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t>IIIb</w:t>
            </w:r>
            <w:proofErr w:type="spellEnd"/>
          </w:p>
        </w:tc>
        <w:tc>
          <w:tcPr>
            <w:tcW w:w="1034"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Requiring surgical, endoscopic or radiological intervention under general anaesthetic</w:t>
            </w:r>
          </w:p>
        </w:tc>
        <w:tc>
          <w:tcPr>
            <w:tcW w:w="1066"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Additional surgical intervention under regional anaesthesia or general anaesthesia</w:t>
            </w:r>
          </w:p>
        </w:tc>
        <w:tc>
          <w:tcPr>
            <w:tcW w:w="2439"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t>Fasciotomy</w:t>
            </w:r>
            <w:proofErr w:type="spellEnd"/>
            <w:r w:rsidRPr="00BD595A">
              <w:rPr>
                <w:rFonts w:asciiTheme="majorHAnsi" w:hAnsiTheme="majorHAnsi" w:cstheme="majorHAnsi"/>
                <w:color w:val="000000" w:themeColor="text1"/>
                <w:sz w:val="22"/>
                <w:szCs w:val="22"/>
              </w:rPr>
              <w:t xml:space="preserve"> of hand +/or forearm for compartment syndrome</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Revision of vascular anastomosis</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Repair of tendon re-rupture</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Wound debridement complex</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Terminalisation or amputation multiple digits / metacarpal level amputation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Metalwork removal</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t>Tenolysis</w:t>
            </w:r>
            <w:proofErr w:type="spellEnd"/>
            <w:r w:rsidRPr="00BD595A">
              <w:rPr>
                <w:rFonts w:asciiTheme="majorHAnsi" w:hAnsiTheme="majorHAnsi" w:cstheme="majorHAnsi"/>
                <w:color w:val="000000" w:themeColor="text1"/>
                <w:sz w:val="22"/>
                <w:szCs w:val="22"/>
              </w:rPr>
              <w:t xml:space="preserve"> </w:t>
            </w:r>
            <w:proofErr w:type="spellStart"/>
            <w:r w:rsidRPr="00BD595A">
              <w:rPr>
                <w:rFonts w:asciiTheme="majorHAnsi" w:hAnsiTheme="majorHAnsi" w:cstheme="majorHAnsi"/>
                <w:color w:val="000000" w:themeColor="text1"/>
                <w:sz w:val="22"/>
                <w:szCs w:val="22"/>
              </w:rPr>
              <w:t>Neurolysis</w:t>
            </w:r>
            <w:proofErr w:type="spellEnd"/>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Neuroma surgery</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Manipulation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Scar release or revision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Joint release for contracture</w:t>
            </w:r>
          </w:p>
        </w:tc>
      </w:tr>
      <w:tr w:rsidR="00D35B9D" w:rsidRPr="00BD595A" w:rsidTr="00CB686F">
        <w:trPr>
          <w:trHeight w:val="982"/>
        </w:trPr>
        <w:tc>
          <w:tcPr>
            <w:tcW w:w="461"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t>IVa</w:t>
            </w:r>
            <w:proofErr w:type="spellEnd"/>
          </w:p>
        </w:tc>
        <w:tc>
          <w:tcPr>
            <w:tcW w:w="1034"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Life threatening complication (including central nervous system) requiring critical </w:t>
            </w:r>
            <w:r w:rsidRPr="00BD595A">
              <w:rPr>
                <w:rFonts w:asciiTheme="majorHAnsi" w:hAnsiTheme="majorHAnsi" w:cstheme="majorHAnsi"/>
                <w:color w:val="000000" w:themeColor="text1"/>
                <w:sz w:val="22"/>
                <w:szCs w:val="22"/>
              </w:rPr>
              <w:lastRenderedPageBreak/>
              <w:t>care management affecting a single organ (including dialysis)</w:t>
            </w:r>
          </w:p>
        </w:tc>
        <w:tc>
          <w:tcPr>
            <w:tcW w:w="1066"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lastRenderedPageBreak/>
              <w:t>Potentially life threatening complication affecting a single organ</w:t>
            </w:r>
          </w:p>
        </w:tc>
        <w:tc>
          <w:tcPr>
            <w:tcW w:w="2439"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Pulmonary embolus</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Pneumonia</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Renal failure</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 xml:space="preserve">Critical limb </w:t>
            </w:r>
            <w:proofErr w:type="spellStart"/>
            <w:r w:rsidRPr="00BD595A">
              <w:rPr>
                <w:rFonts w:asciiTheme="majorHAnsi" w:hAnsiTheme="majorHAnsi" w:cstheme="majorHAnsi"/>
                <w:color w:val="000000" w:themeColor="text1"/>
                <w:sz w:val="22"/>
                <w:szCs w:val="22"/>
              </w:rPr>
              <w:t>ischaemia</w:t>
            </w:r>
            <w:proofErr w:type="spellEnd"/>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Myocardial infarction</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lastRenderedPageBreak/>
              <w:t>Cardiac failure</w:t>
            </w:r>
          </w:p>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Stroke</w:t>
            </w:r>
          </w:p>
        </w:tc>
      </w:tr>
      <w:tr w:rsidR="00D35B9D" w:rsidRPr="00BD595A" w:rsidTr="00CB686F">
        <w:trPr>
          <w:trHeight w:val="562"/>
        </w:trPr>
        <w:tc>
          <w:tcPr>
            <w:tcW w:w="461"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proofErr w:type="spellStart"/>
            <w:r w:rsidRPr="00BD595A">
              <w:rPr>
                <w:rFonts w:asciiTheme="majorHAnsi" w:hAnsiTheme="majorHAnsi" w:cstheme="majorHAnsi"/>
                <w:color w:val="000000" w:themeColor="text1"/>
                <w:sz w:val="22"/>
                <w:szCs w:val="22"/>
              </w:rPr>
              <w:lastRenderedPageBreak/>
              <w:t>IVb</w:t>
            </w:r>
            <w:proofErr w:type="spellEnd"/>
          </w:p>
        </w:tc>
        <w:tc>
          <w:tcPr>
            <w:tcW w:w="1034"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Life threatening complication (including central nervous system) requiring critical care management affecting multiple organs</w:t>
            </w:r>
          </w:p>
        </w:tc>
        <w:tc>
          <w:tcPr>
            <w:tcW w:w="1066"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Potentially life threatening complication affecting multiple organs</w:t>
            </w:r>
          </w:p>
        </w:tc>
        <w:tc>
          <w:tcPr>
            <w:tcW w:w="2439"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Sepsis</w:t>
            </w:r>
          </w:p>
        </w:tc>
      </w:tr>
      <w:tr w:rsidR="00D35B9D" w:rsidRPr="00BD595A" w:rsidTr="00CB686F">
        <w:trPr>
          <w:trHeight w:val="279"/>
        </w:trPr>
        <w:tc>
          <w:tcPr>
            <w:tcW w:w="461"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V</w:t>
            </w:r>
          </w:p>
        </w:tc>
        <w:tc>
          <w:tcPr>
            <w:tcW w:w="1034"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Death of a patient</w:t>
            </w:r>
          </w:p>
        </w:tc>
        <w:tc>
          <w:tcPr>
            <w:tcW w:w="1066"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Death</w:t>
            </w:r>
          </w:p>
        </w:tc>
        <w:tc>
          <w:tcPr>
            <w:tcW w:w="2439" w:type="pct"/>
          </w:tcPr>
          <w:p w:rsidR="00D35B9D" w:rsidRPr="00BD595A" w:rsidRDefault="00D35B9D" w:rsidP="00CB686F">
            <w:pPr>
              <w:pStyle w:val="TableStyle2"/>
              <w:spacing w:line="360" w:lineRule="auto"/>
              <w:jc w:val="both"/>
              <w:rPr>
                <w:rFonts w:asciiTheme="majorHAnsi" w:hAnsiTheme="majorHAnsi" w:cstheme="majorHAnsi"/>
                <w:color w:val="000000" w:themeColor="text1"/>
                <w:sz w:val="22"/>
                <w:szCs w:val="22"/>
              </w:rPr>
            </w:pPr>
            <w:r w:rsidRPr="00BD595A">
              <w:rPr>
                <w:rFonts w:asciiTheme="majorHAnsi" w:hAnsiTheme="majorHAnsi" w:cstheme="majorHAnsi"/>
                <w:color w:val="000000" w:themeColor="text1"/>
                <w:sz w:val="22"/>
                <w:szCs w:val="22"/>
              </w:rPr>
              <w:t>Death</w:t>
            </w:r>
          </w:p>
        </w:tc>
      </w:tr>
    </w:tbl>
    <w:p w:rsidR="00D35B9D" w:rsidRPr="00BD595A" w:rsidRDefault="00D35B9D" w:rsidP="00D35B9D">
      <w:pPr>
        <w:spacing w:line="480" w:lineRule="auto"/>
        <w:jc w:val="both"/>
        <w:rPr>
          <w:rFonts w:asciiTheme="majorHAnsi" w:hAnsiTheme="majorHAnsi" w:cstheme="majorHAnsi"/>
          <w:color w:val="000000" w:themeColor="text1"/>
        </w:rPr>
        <w:sectPr w:rsidR="00D35B9D" w:rsidRPr="00BD595A" w:rsidSect="00D35B9D">
          <w:pgSz w:w="11906" w:h="16838"/>
          <w:pgMar w:top="1440" w:right="1440" w:bottom="1440" w:left="1440" w:header="708" w:footer="708" w:gutter="0"/>
          <w:cols w:space="708"/>
          <w:docGrid w:linePitch="360"/>
        </w:sectPr>
      </w:pPr>
    </w:p>
    <w:p w:rsidR="00D35B9D" w:rsidRPr="00BD595A" w:rsidRDefault="00D35B9D" w:rsidP="00D35B9D">
      <w:pPr>
        <w:tabs>
          <w:tab w:val="left" w:pos="952"/>
        </w:tabs>
        <w:rPr>
          <w:rFonts w:asciiTheme="majorHAnsi" w:hAnsiTheme="majorHAnsi" w:cstheme="majorHAnsi"/>
          <w:b/>
          <w:color w:val="000000" w:themeColor="text1"/>
        </w:rPr>
      </w:pPr>
    </w:p>
    <w:p w:rsidR="006F1BDE" w:rsidRDefault="006F1BDE">
      <w:bookmarkStart w:id="13" w:name="_GoBack"/>
      <w:bookmarkEnd w:id="13"/>
    </w:p>
    <w:sectPr w:rsidR="006F1BDE" w:rsidSect="005F6DFA">
      <w:headerReference w:type="even" r:id="rId6"/>
      <w:headerReference w:type="default" r:id="rId7"/>
      <w:footerReference w:type="default" r:id="rId8"/>
      <w:headerReference w:type="first" r:id="rId9"/>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41024358"/>
      <w:docPartObj>
        <w:docPartGallery w:val="Page Numbers (Bottom of Page)"/>
        <w:docPartUnique/>
      </w:docPartObj>
    </w:sdtPr>
    <w:sdtEndPr>
      <w:rPr>
        <w:rStyle w:val="PageNumber"/>
      </w:rPr>
    </w:sdtEndPr>
    <w:sdtContent>
      <w:p w:rsidR="009C5EE6" w:rsidRDefault="00D35B9D" w:rsidP="002C42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rsidR="009C5EE6" w:rsidRDefault="00D35B9D" w:rsidP="001B5C5E">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EE6" w:rsidRDefault="00D35B9D">
    <w:pPr>
      <w:pStyle w:val="Header"/>
    </w:pPr>
    <w:r>
      <w:rPr>
        <w:noProof/>
        <w:lang w:val="en-US" w:eastAsia="en-US"/>
        <w14:ligatures w14:val="standardContextual"/>
      </w:rPr>
      <mc:AlternateContent>
        <mc:Choice Requires="wps">
          <w:drawing>
            <wp:anchor distT="0" distB="0" distL="0" distR="0" simplePos="0" relativeHeight="251660288" behindDoc="0" locked="0" layoutInCell="1" allowOverlap="1" wp14:anchorId="7E13CEC1" wp14:editId="58EFACE3">
              <wp:simplePos x="635" y="635"/>
              <wp:positionH relativeFrom="page">
                <wp:align>center</wp:align>
              </wp:positionH>
              <wp:positionV relativeFrom="page">
                <wp:align>top</wp:align>
              </wp:positionV>
              <wp:extent cx="443865" cy="443865"/>
              <wp:effectExtent l="0" t="0" r="9525" b="9525"/>
              <wp:wrapNone/>
              <wp:docPr id="499483806" name="Text Box 499483806" descr="*** General – Recipients Have Full Control ***">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9C5EE6" w:rsidRPr="00972D14" w:rsidRDefault="00D35B9D">
                          <w:pPr>
                            <w:rPr>
                              <w:rFonts w:ascii="Calibri" w:eastAsia="Calibri" w:hAnsi="Calibri" w:cs="Calibri"/>
                              <w:noProof/>
                              <w:color w:val="000000"/>
                            </w:rPr>
                          </w:pPr>
                          <w:r w:rsidRPr="00972D14">
                            <w:rPr>
                              <w:rFonts w:ascii="Calibri" w:eastAsia="Calibri" w:hAnsi="Calibri" w:cs="Calibri"/>
                              <w:noProof/>
                              <w:color w:val="000000"/>
                            </w:rPr>
                            <w:t xml:space="preserve">*** </w:t>
                          </w:r>
                          <w:r w:rsidRPr="00972D14">
                            <w:rPr>
                              <w:rFonts w:ascii="Calibri" w:eastAsia="Calibri" w:hAnsi="Calibri" w:cs="Calibri"/>
                              <w:noProof/>
                              <w:color w:val="000000"/>
                            </w:rPr>
                            <w:t>General – Recipients Have Full Control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99483806" o:spid="_x0000_s1026" type="#_x0000_t202" alt="Description: *** General – Recipients Have Full Control ***"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" filled="f" stroked="f">
              <v:textbox style="mso-fit-shape-to-text:t" inset="0,15pt,0,0">
                <w:txbxContent>
                  <w:p w:rsidR="009C5EE6" w:rsidRPr="00972D14" w:rsidRDefault="00D35B9D">
                    <w:pPr>
                      <w:rPr>
                        <w:rFonts w:ascii="Calibri" w:eastAsia="Calibri" w:hAnsi="Calibri" w:cs="Calibri"/>
                        <w:noProof/>
                        <w:color w:val="000000"/>
                      </w:rPr>
                    </w:pPr>
                    <w:r w:rsidRPr="00972D14">
                      <w:rPr>
                        <w:rFonts w:ascii="Calibri" w:eastAsia="Calibri" w:hAnsi="Calibri" w:cs="Calibri"/>
                        <w:noProof/>
                        <w:color w:val="000000"/>
                      </w:rPr>
                      <w:t xml:space="preserve">*** </w:t>
                    </w:r>
                    <w:r w:rsidRPr="00972D14">
                      <w:rPr>
                        <w:rFonts w:ascii="Calibri" w:eastAsia="Calibri" w:hAnsi="Calibri" w:cs="Calibri"/>
                        <w:noProof/>
                        <w:color w:val="000000"/>
                      </w:rPr>
                      <w:t>General – Recipients Have Full Control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EE6" w:rsidRDefault="00D35B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EE6" w:rsidRDefault="00D35B9D">
    <w:pPr>
      <w:pStyle w:val="Header"/>
    </w:pPr>
    <w:r>
      <w:rPr>
        <w:noProof/>
        <w:lang w:val="en-US" w:eastAsia="en-US"/>
        <w14:ligatures w14:val="standardContextual"/>
      </w:rPr>
      <mc:AlternateContent>
        <mc:Choice Requires="wps">
          <w:drawing>
            <wp:anchor distT="0" distB="0" distL="0" distR="0" simplePos="0" relativeHeight="251659264" behindDoc="0" locked="0" layoutInCell="1" allowOverlap="1" wp14:anchorId="3B3BEABD" wp14:editId="04A938B2">
              <wp:simplePos x="635" y="635"/>
              <wp:positionH relativeFrom="page">
                <wp:align>center</wp:align>
              </wp:positionH>
              <wp:positionV relativeFrom="page">
                <wp:align>top</wp:align>
              </wp:positionV>
              <wp:extent cx="443865" cy="443865"/>
              <wp:effectExtent l="0" t="0" r="9525" b="9525"/>
              <wp:wrapNone/>
              <wp:docPr id="1598349987" name="Text Box 1598349987" descr="*** General – Recipients Have Full Control ***">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9C5EE6" w:rsidRPr="00972D14" w:rsidRDefault="00D35B9D">
                          <w:pPr>
                            <w:rPr>
                              <w:rFonts w:ascii="Calibri" w:eastAsia="Calibri" w:hAnsi="Calibri" w:cs="Calibri"/>
                              <w:noProof/>
                              <w:color w:val="000000"/>
                            </w:rPr>
                          </w:pPr>
                          <w:r w:rsidRPr="00972D14">
                            <w:rPr>
                              <w:rFonts w:ascii="Calibri" w:eastAsia="Calibri" w:hAnsi="Calibri" w:cs="Calibri"/>
                              <w:noProof/>
                              <w:color w:val="000000"/>
                            </w:rPr>
                            <w:t>*** General – Recipients Have Full Control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598349987" o:spid="_x0000_s1027" type="#_x0000_t202" alt="Description: *** General – Recipients Have Full Control ***"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" filled="f" stroked="f">
              <v:textbox style="mso-fit-shape-to-text:t" inset="0,15pt,0,0">
                <w:txbxContent>
                  <w:p w:rsidR="009C5EE6" w:rsidRPr="00972D14" w:rsidRDefault="00D35B9D">
                    <w:pPr>
                      <w:rPr>
                        <w:rFonts w:ascii="Calibri" w:eastAsia="Calibri" w:hAnsi="Calibri" w:cs="Calibri"/>
                        <w:noProof/>
                        <w:color w:val="000000"/>
                      </w:rPr>
                    </w:pPr>
                    <w:r w:rsidRPr="00972D14">
                      <w:rPr>
                        <w:rFonts w:ascii="Calibri" w:eastAsia="Calibri" w:hAnsi="Calibri" w:cs="Calibri"/>
                        <w:noProof/>
                        <w:color w:val="000000"/>
                      </w:rPr>
                      <w:t>*** General – Recipients Have Full Control ***</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7177F"/>
    <w:multiLevelType w:val="hybridMultilevel"/>
    <w:tmpl w:val="A6EE9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D14CE3"/>
    <w:multiLevelType w:val="hybridMultilevel"/>
    <w:tmpl w:val="26920E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19306C3"/>
    <w:multiLevelType w:val="hybridMultilevel"/>
    <w:tmpl w:val="1DC46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F97353"/>
    <w:multiLevelType w:val="hybridMultilevel"/>
    <w:tmpl w:val="9BEA073A"/>
    <w:lvl w:ilvl="0" w:tplc="ADD656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54D4ED4"/>
    <w:multiLevelType w:val="hybridMultilevel"/>
    <w:tmpl w:val="E760F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BEC25CD"/>
    <w:multiLevelType w:val="hybridMultilevel"/>
    <w:tmpl w:val="E4CE7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3D9368B"/>
    <w:multiLevelType w:val="hybridMultilevel"/>
    <w:tmpl w:val="66567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5CB3E37"/>
    <w:multiLevelType w:val="multilevel"/>
    <w:tmpl w:val="EE802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6"/>
  </w:num>
  <w:num w:numId="4">
    <w:abstractNumId w:val="5"/>
  </w:num>
  <w:num w:numId="5">
    <w:abstractNumId w:val="7"/>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9D"/>
    <w:rsid w:val="006F1BDE"/>
    <w:rsid w:val="00D35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B9D"/>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D35B9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5B9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unhideWhenUsed/>
    <w:qFormat/>
    <w:rsid w:val="00D35B9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B9D"/>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rsid w:val="00D35B9D"/>
    <w:rPr>
      <w:rFonts w:asciiTheme="majorHAnsi" w:eastAsiaTheme="majorEastAsia" w:hAnsiTheme="majorHAnsi" w:cstheme="majorBidi"/>
      <w:color w:val="365F91" w:themeColor="accent1" w:themeShade="BF"/>
      <w:sz w:val="26"/>
      <w:szCs w:val="26"/>
      <w:lang w:val="en-GB" w:eastAsia="en-GB"/>
    </w:rPr>
  </w:style>
  <w:style w:type="character" w:customStyle="1" w:styleId="Heading5Char">
    <w:name w:val="Heading 5 Char"/>
    <w:basedOn w:val="DefaultParagraphFont"/>
    <w:link w:val="Heading5"/>
    <w:uiPriority w:val="9"/>
    <w:rsid w:val="00D35B9D"/>
    <w:rPr>
      <w:rFonts w:asciiTheme="majorHAnsi" w:eastAsiaTheme="majorEastAsia" w:hAnsiTheme="majorHAnsi" w:cstheme="majorBidi"/>
      <w:color w:val="365F91" w:themeColor="accent1" w:themeShade="BF"/>
      <w:sz w:val="24"/>
      <w:szCs w:val="24"/>
      <w:lang w:val="en-GB" w:eastAsia="en-GB"/>
    </w:rPr>
  </w:style>
  <w:style w:type="paragraph" w:styleId="ListParagraph">
    <w:name w:val="List Paragraph"/>
    <w:basedOn w:val="Normal"/>
    <w:uiPriority w:val="34"/>
    <w:qFormat/>
    <w:rsid w:val="00D35B9D"/>
    <w:pPr>
      <w:ind w:left="720"/>
      <w:contextualSpacing/>
    </w:pPr>
  </w:style>
  <w:style w:type="paragraph" w:styleId="Header">
    <w:name w:val="header"/>
    <w:basedOn w:val="Normal"/>
    <w:link w:val="HeaderChar"/>
    <w:uiPriority w:val="99"/>
    <w:unhideWhenUsed/>
    <w:rsid w:val="00D35B9D"/>
    <w:pPr>
      <w:tabs>
        <w:tab w:val="center" w:pos="4513"/>
        <w:tab w:val="right" w:pos="9026"/>
      </w:tabs>
    </w:pPr>
  </w:style>
  <w:style w:type="character" w:customStyle="1" w:styleId="HeaderChar">
    <w:name w:val="Header Char"/>
    <w:basedOn w:val="DefaultParagraphFont"/>
    <w:link w:val="Header"/>
    <w:uiPriority w:val="99"/>
    <w:rsid w:val="00D35B9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35B9D"/>
    <w:pPr>
      <w:tabs>
        <w:tab w:val="center" w:pos="4513"/>
        <w:tab w:val="right" w:pos="9026"/>
      </w:tabs>
    </w:pPr>
  </w:style>
  <w:style w:type="character" w:customStyle="1" w:styleId="FooterChar">
    <w:name w:val="Footer Char"/>
    <w:basedOn w:val="DefaultParagraphFont"/>
    <w:link w:val="Footer"/>
    <w:uiPriority w:val="99"/>
    <w:rsid w:val="00D35B9D"/>
    <w:rPr>
      <w:rFonts w:ascii="Times New Roman" w:eastAsia="Times New Roman" w:hAnsi="Times New Roman" w:cs="Times New Roman"/>
      <w:sz w:val="24"/>
      <w:szCs w:val="24"/>
      <w:lang w:val="en-GB" w:eastAsia="en-GB"/>
    </w:rPr>
  </w:style>
  <w:style w:type="character" w:styleId="PageNumber">
    <w:name w:val="page number"/>
    <w:basedOn w:val="DefaultParagraphFont"/>
    <w:uiPriority w:val="99"/>
    <w:semiHidden/>
    <w:unhideWhenUsed/>
    <w:rsid w:val="00D35B9D"/>
  </w:style>
  <w:style w:type="paragraph" w:customStyle="1" w:styleId="trt0xe">
    <w:name w:val="trt0xe"/>
    <w:basedOn w:val="Normal"/>
    <w:rsid w:val="00D35B9D"/>
    <w:pPr>
      <w:spacing w:before="100" w:beforeAutospacing="1" w:after="100" w:afterAutospacing="1" w:line="276" w:lineRule="auto"/>
    </w:pPr>
    <w:rPr>
      <w:sz w:val="20"/>
      <w:szCs w:val="20"/>
    </w:rPr>
  </w:style>
  <w:style w:type="paragraph" w:customStyle="1" w:styleId="TableStyle2">
    <w:name w:val="Table Style 2"/>
    <w:rsid w:val="00D35B9D"/>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GB"/>
    </w:rPr>
  </w:style>
  <w:style w:type="paragraph" w:customStyle="1" w:styleId="TableStyle1">
    <w:name w:val="Table Style 1"/>
    <w:rsid w:val="00D35B9D"/>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val="en-GB"/>
    </w:rPr>
  </w:style>
  <w:style w:type="table" w:customStyle="1" w:styleId="GridTableLight">
    <w:name w:val="Grid Table Light"/>
    <w:basedOn w:val="TableNormal"/>
    <w:uiPriority w:val="40"/>
    <w:rsid w:val="00D35B9D"/>
    <w:pPr>
      <w:spacing w:after="0" w:line="240" w:lineRule="auto"/>
    </w:pPr>
    <w:rPr>
      <w:kern w:val="2"/>
      <w:sz w:val="24"/>
      <w:szCs w:val="24"/>
      <w:lang w:val="en-GB"/>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B9D"/>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D35B9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5B9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unhideWhenUsed/>
    <w:qFormat/>
    <w:rsid w:val="00D35B9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B9D"/>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rsid w:val="00D35B9D"/>
    <w:rPr>
      <w:rFonts w:asciiTheme="majorHAnsi" w:eastAsiaTheme="majorEastAsia" w:hAnsiTheme="majorHAnsi" w:cstheme="majorBidi"/>
      <w:color w:val="365F91" w:themeColor="accent1" w:themeShade="BF"/>
      <w:sz w:val="26"/>
      <w:szCs w:val="26"/>
      <w:lang w:val="en-GB" w:eastAsia="en-GB"/>
    </w:rPr>
  </w:style>
  <w:style w:type="character" w:customStyle="1" w:styleId="Heading5Char">
    <w:name w:val="Heading 5 Char"/>
    <w:basedOn w:val="DefaultParagraphFont"/>
    <w:link w:val="Heading5"/>
    <w:uiPriority w:val="9"/>
    <w:rsid w:val="00D35B9D"/>
    <w:rPr>
      <w:rFonts w:asciiTheme="majorHAnsi" w:eastAsiaTheme="majorEastAsia" w:hAnsiTheme="majorHAnsi" w:cstheme="majorBidi"/>
      <w:color w:val="365F91" w:themeColor="accent1" w:themeShade="BF"/>
      <w:sz w:val="24"/>
      <w:szCs w:val="24"/>
      <w:lang w:val="en-GB" w:eastAsia="en-GB"/>
    </w:rPr>
  </w:style>
  <w:style w:type="paragraph" w:styleId="ListParagraph">
    <w:name w:val="List Paragraph"/>
    <w:basedOn w:val="Normal"/>
    <w:uiPriority w:val="34"/>
    <w:qFormat/>
    <w:rsid w:val="00D35B9D"/>
    <w:pPr>
      <w:ind w:left="720"/>
      <w:contextualSpacing/>
    </w:pPr>
  </w:style>
  <w:style w:type="paragraph" w:styleId="Header">
    <w:name w:val="header"/>
    <w:basedOn w:val="Normal"/>
    <w:link w:val="HeaderChar"/>
    <w:uiPriority w:val="99"/>
    <w:unhideWhenUsed/>
    <w:rsid w:val="00D35B9D"/>
    <w:pPr>
      <w:tabs>
        <w:tab w:val="center" w:pos="4513"/>
        <w:tab w:val="right" w:pos="9026"/>
      </w:tabs>
    </w:pPr>
  </w:style>
  <w:style w:type="character" w:customStyle="1" w:styleId="HeaderChar">
    <w:name w:val="Header Char"/>
    <w:basedOn w:val="DefaultParagraphFont"/>
    <w:link w:val="Header"/>
    <w:uiPriority w:val="99"/>
    <w:rsid w:val="00D35B9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35B9D"/>
    <w:pPr>
      <w:tabs>
        <w:tab w:val="center" w:pos="4513"/>
        <w:tab w:val="right" w:pos="9026"/>
      </w:tabs>
    </w:pPr>
  </w:style>
  <w:style w:type="character" w:customStyle="1" w:styleId="FooterChar">
    <w:name w:val="Footer Char"/>
    <w:basedOn w:val="DefaultParagraphFont"/>
    <w:link w:val="Footer"/>
    <w:uiPriority w:val="99"/>
    <w:rsid w:val="00D35B9D"/>
    <w:rPr>
      <w:rFonts w:ascii="Times New Roman" w:eastAsia="Times New Roman" w:hAnsi="Times New Roman" w:cs="Times New Roman"/>
      <w:sz w:val="24"/>
      <w:szCs w:val="24"/>
      <w:lang w:val="en-GB" w:eastAsia="en-GB"/>
    </w:rPr>
  </w:style>
  <w:style w:type="character" w:styleId="PageNumber">
    <w:name w:val="page number"/>
    <w:basedOn w:val="DefaultParagraphFont"/>
    <w:uiPriority w:val="99"/>
    <w:semiHidden/>
    <w:unhideWhenUsed/>
    <w:rsid w:val="00D35B9D"/>
  </w:style>
  <w:style w:type="paragraph" w:customStyle="1" w:styleId="trt0xe">
    <w:name w:val="trt0xe"/>
    <w:basedOn w:val="Normal"/>
    <w:rsid w:val="00D35B9D"/>
    <w:pPr>
      <w:spacing w:before="100" w:beforeAutospacing="1" w:after="100" w:afterAutospacing="1" w:line="276" w:lineRule="auto"/>
    </w:pPr>
    <w:rPr>
      <w:sz w:val="20"/>
      <w:szCs w:val="20"/>
    </w:rPr>
  </w:style>
  <w:style w:type="paragraph" w:customStyle="1" w:styleId="TableStyle2">
    <w:name w:val="Table Style 2"/>
    <w:rsid w:val="00D35B9D"/>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GB"/>
    </w:rPr>
  </w:style>
  <w:style w:type="paragraph" w:customStyle="1" w:styleId="TableStyle1">
    <w:name w:val="Table Style 1"/>
    <w:rsid w:val="00D35B9D"/>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val="en-GB"/>
    </w:rPr>
  </w:style>
  <w:style w:type="table" w:customStyle="1" w:styleId="GridTableLight">
    <w:name w:val="Grid Table Light"/>
    <w:basedOn w:val="TableNormal"/>
    <w:uiPriority w:val="40"/>
    <w:rsid w:val="00D35B9D"/>
    <w:pPr>
      <w:spacing w:after="0" w:line="240" w:lineRule="auto"/>
    </w:pPr>
    <w:rPr>
      <w:kern w:val="2"/>
      <w:sz w:val="24"/>
      <w:szCs w:val="24"/>
      <w:lang w:val="en-GB"/>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2123</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Euraoba</dc:creator>
  <cp:lastModifiedBy>Claire Euraoba</cp:lastModifiedBy>
  <cp:revision>1</cp:revision>
  <dcterms:created xsi:type="dcterms:W3CDTF">2025-12-12T11:08:00Z</dcterms:created>
  <dcterms:modified xsi:type="dcterms:W3CDTF">2025-12-12T11:09:00Z</dcterms:modified>
</cp:coreProperties>
</file>