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tblpY="600"/>
        <w:tblW w:w="0" w:type="auto"/>
        <w:tblLook w:val="04A0" w:firstRow="1" w:lastRow="0" w:firstColumn="1" w:lastColumn="0" w:noHBand="0" w:noVBand="1"/>
      </w:tblPr>
      <w:tblGrid>
        <w:gridCol w:w="2783"/>
        <w:gridCol w:w="966"/>
        <w:gridCol w:w="2038"/>
        <w:gridCol w:w="1799"/>
      </w:tblGrid>
      <w:tr w:rsidR="000049CE" w:rsidRPr="000049CE" w14:paraId="7CD6CC51" w14:textId="77777777" w:rsidTr="008C169F">
        <w:tc>
          <w:tcPr>
            <w:tcW w:w="0" w:type="auto"/>
            <w:hideMark/>
          </w:tcPr>
          <w:p w14:paraId="4E5ABA57" w14:textId="77777777" w:rsidR="000049CE" w:rsidRPr="000049CE" w:rsidRDefault="000049CE" w:rsidP="008C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Cyst-to-joint distance quartile</w:t>
            </w:r>
          </w:p>
        </w:tc>
        <w:tc>
          <w:tcPr>
            <w:tcW w:w="0" w:type="auto"/>
            <w:hideMark/>
          </w:tcPr>
          <w:p w14:paraId="09AB7D64" w14:textId="77777777" w:rsidR="000049CE" w:rsidRPr="000049CE" w:rsidRDefault="000049CE" w:rsidP="008C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Total (n)</w:t>
            </w:r>
          </w:p>
        </w:tc>
        <w:tc>
          <w:tcPr>
            <w:tcW w:w="0" w:type="auto"/>
            <w:hideMark/>
          </w:tcPr>
          <w:p w14:paraId="12F61A61" w14:textId="77777777" w:rsidR="000049CE" w:rsidRPr="000049CE" w:rsidRDefault="000049CE" w:rsidP="008C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No recurrence, n (%)</w:t>
            </w:r>
          </w:p>
        </w:tc>
        <w:tc>
          <w:tcPr>
            <w:tcW w:w="0" w:type="auto"/>
            <w:hideMark/>
          </w:tcPr>
          <w:p w14:paraId="065EC5CC" w14:textId="77777777" w:rsidR="000049CE" w:rsidRPr="000049CE" w:rsidRDefault="000049CE" w:rsidP="008C16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Recurrence, n (%)</w:t>
            </w:r>
          </w:p>
        </w:tc>
      </w:tr>
      <w:tr w:rsidR="000049CE" w:rsidRPr="000049CE" w14:paraId="6A5D47E4" w14:textId="77777777" w:rsidTr="008C169F">
        <w:tc>
          <w:tcPr>
            <w:tcW w:w="0" w:type="auto"/>
            <w:hideMark/>
          </w:tcPr>
          <w:p w14:paraId="57693BE1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Q1 (shortest distance)</w:t>
            </w:r>
          </w:p>
        </w:tc>
        <w:tc>
          <w:tcPr>
            <w:tcW w:w="0" w:type="auto"/>
            <w:hideMark/>
          </w:tcPr>
          <w:p w14:paraId="7B2B1BB3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90</w:t>
            </w:r>
          </w:p>
        </w:tc>
        <w:tc>
          <w:tcPr>
            <w:tcW w:w="0" w:type="auto"/>
            <w:hideMark/>
          </w:tcPr>
          <w:p w14:paraId="3FD2909F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79 (87.8)</w:t>
            </w:r>
          </w:p>
        </w:tc>
        <w:tc>
          <w:tcPr>
            <w:tcW w:w="0" w:type="auto"/>
            <w:hideMark/>
          </w:tcPr>
          <w:p w14:paraId="0C030180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 (12.2)</w:t>
            </w:r>
          </w:p>
        </w:tc>
      </w:tr>
      <w:tr w:rsidR="000049CE" w:rsidRPr="000049CE" w14:paraId="3F63F477" w14:textId="77777777" w:rsidTr="008C169F">
        <w:tc>
          <w:tcPr>
            <w:tcW w:w="0" w:type="auto"/>
            <w:hideMark/>
          </w:tcPr>
          <w:p w14:paraId="179BDF1B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Q2</w:t>
            </w:r>
          </w:p>
        </w:tc>
        <w:tc>
          <w:tcPr>
            <w:tcW w:w="0" w:type="auto"/>
            <w:hideMark/>
          </w:tcPr>
          <w:p w14:paraId="51CACA27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84</w:t>
            </w:r>
          </w:p>
        </w:tc>
        <w:tc>
          <w:tcPr>
            <w:tcW w:w="0" w:type="auto"/>
            <w:hideMark/>
          </w:tcPr>
          <w:p w14:paraId="6BBA0E9C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75 (89.3)</w:t>
            </w:r>
          </w:p>
        </w:tc>
        <w:tc>
          <w:tcPr>
            <w:tcW w:w="0" w:type="auto"/>
            <w:hideMark/>
          </w:tcPr>
          <w:p w14:paraId="5BCF6BB5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 (10.7)</w:t>
            </w:r>
          </w:p>
        </w:tc>
      </w:tr>
      <w:tr w:rsidR="000049CE" w:rsidRPr="000049CE" w14:paraId="520ABCCF" w14:textId="77777777" w:rsidTr="008C169F">
        <w:tc>
          <w:tcPr>
            <w:tcW w:w="0" w:type="auto"/>
            <w:hideMark/>
          </w:tcPr>
          <w:p w14:paraId="78A660C7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Q3</w:t>
            </w:r>
          </w:p>
        </w:tc>
        <w:tc>
          <w:tcPr>
            <w:tcW w:w="0" w:type="auto"/>
            <w:hideMark/>
          </w:tcPr>
          <w:p w14:paraId="21DBB38C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86</w:t>
            </w:r>
          </w:p>
        </w:tc>
        <w:tc>
          <w:tcPr>
            <w:tcW w:w="0" w:type="auto"/>
            <w:hideMark/>
          </w:tcPr>
          <w:p w14:paraId="0483C214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77 (89.5)</w:t>
            </w:r>
          </w:p>
        </w:tc>
        <w:tc>
          <w:tcPr>
            <w:tcW w:w="0" w:type="auto"/>
            <w:hideMark/>
          </w:tcPr>
          <w:p w14:paraId="4DB91FEE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 (10.5)</w:t>
            </w:r>
          </w:p>
        </w:tc>
      </w:tr>
      <w:tr w:rsidR="000049CE" w:rsidRPr="000049CE" w14:paraId="28D5A8A7" w14:textId="77777777" w:rsidTr="008C169F">
        <w:tc>
          <w:tcPr>
            <w:tcW w:w="0" w:type="auto"/>
            <w:hideMark/>
          </w:tcPr>
          <w:p w14:paraId="00FA38C1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Q4 (longest distance)</w:t>
            </w:r>
          </w:p>
        </w:tc>
        <w:tc>
          <w:tcPr>
            <w:tcW w:w="0" w:type="auto"/>
            <w:hideMark/>
          </w:tcPr>
          <w:p w14:paraId="1A5FF8A4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87</w:t>
            </w:r>
          </w:p>
        </w:tc>
        <w:tc>
          <w:tcPr>
            <w:tcW w:w="0" w:type="auto"/>
            <w:hideMark/>
          </w:tcPr>
          <w:p w14:paraId="6ED26BB7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86 (98.9)</w:t>
            </w:r>
          </w:p>
        </w:tc>
        <w:tc>
          <w:tcPr>
            <w:tcW w:w="0" w:type="auto"/>
            <w:hideMark/>
          </w:tcPr>
          <w:p w14:paraId="197B4368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 (1.1)</w:t>
            </w:r>
          </w:p>
        </w:tc>
      </w:tr>
      <w:tr w:rsidR="000049CE" w:rsidRPr="000049CE" w14:paraId="686B0FA0" w14:textId="77777777" w:rsidTr="008C169F">
        <w:trPr>
          <w:trHeight w:val="58"/>
        </w:trPr>
        <w:tc>
          <w:tcPr>
            <w:tcW w:w="0" w:type="auto"/>
            <w:hideMark/>
          </w:tcPr>
          <w:p w14:paraId="27B3C72A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Overall</w:t>
            </w:r>
          </w:p>
        </w:tc>
        <w:tc>
          <w:tcPr>
            <w:tcW w:w="0" w:type="auto"/>
            <w:hideMark/>
          </w:tcPr>
          <w:p w14:paraId="36EC6E73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347</w:t>
            </w:r>
          </w:p>
        </w:tc>
        <w:tc>
          <w:tcPr>
            <w:tcW w:w="0" w:type="auto"/>
            <w:hideMark/>
          </w:tcPr>
          <w:p w14:paraId="2756039A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317 (91.4)</w:t>
            </w:r>
          </w:p>
        </w:tc>
        <w:tc>
          <w:tcPr>
            <w:tcW w:w="0" w:type="auto"/>
            <w:hideMark/>
          </w:tcPr>
          <w:p w14:paraId="29D4EBE9" w14:textId="77777777" w:rsidR="000049CE" w:rsidRPr="000049CE" w:rsidRDefault="000049CE" w:rsidP="008C169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049CE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30 (8.6)</w:t>
            </w:r>
          </w:p>
        </w:tc>
      </w:tr>
    </w:tbl>
    <w:p w14:paraId="5225522C" w14:textId="11126888" w:rsidR="008C169F" w:rsidRPr="00AC7EEF" w:rsidRDefault="00F11569">
      <w:pPr>
        <w:rPr>
          <w:rFonts w:ascii="Times New Roman" w:hAnsi="Times New Roman" w:cs="Times New Roman"/>
          <w:sz w:val="20"/>
          <w:szCs w:val="20"/>
        </w:rPr>
      </w:pPr>
      <w:r w:rsidRPr="00AC7EEF">
        <w:rPr>
          <w:rFonts w:ascii="Times New Roman" w:hAnsi="Times New Roman" w:cs="Times New Roman"/>
          <w:sz w:val="20"/>
          <w:szCs w:val="20"/>
        </w:rPr>
        <w:t>Panel A. Recurrence according to cyst-to-joint distance quartiles</w:t>
      </w:r>
    </w:p>
    <w:p w14:paraId="2C4737B8" w14:textId="77777777" w:rsidR="008C169F" w:rsidRDefault="008C169F">
      <w:pPr>
        <w:rPr>
          <w:rFonts w:ascii="Times New Roman" w:hAnsi="Times New Roman" w:cs="Times New Roman"/>
          <w:sz w:val="20"/>
          <w:szCs w:val="20"/>
        </w:rPr>
      </w:pPr>
    </w:p>
    <w:p w14:paraId="55E85E56" w14:textId="77777777" w:rsidR="008C169F" w:rsidRDefault="008C169F">
      <w:pPr>
        <w:rPr>
          <w:rFonts w:ascii="Times New Roman" w:hAnsi="Times New Roman" w:cs="Times New Roman"/>
          <w:sz w:val="20"/>
          <w:szCs w:val="20"/>
        </w:rPr>
      </w:pPr>
    </w:p>
    <w:p w14:paraId="69F8DB29" w14:textId="77777777" w:rsidR="008C169F" w:rsidRDefault="008C169F">
      <w:pPr>
        <w:rPr>
          <w:rFonts w:ascii="Times New Roman" w:hAnsi="Times New Roman" w:cs="Times New Roman"/>
          <w:sz w:val="20"/>
          <w:szCs w:val="20"/>
        </w:rPr>
      </w:pPr>
    </w:p>
    <w:p w14:paraId="165A7106" w14:textId="77777777" w:rsidR="008C169F" w:rsidRDefault="008C169F">
      <w:pPr>
        <w:rPr>
          <w:rFonts w:ascii="Times New Roman" w:hAnsi="Times New Roman" w:cs="Times New Roman"/>
          <w:sz w:val="20"/>
          <w:szCs w:val="20"/>
        </w:rPr>
      </w:pPr>
    </w:p>
    <w:p w14:paraId="7E57B9B1" w14:textId="77777777" w:rsidR="00F11569" w:rsidRDefault="00F11569">
      <w:pPr>
        <w:rPr>
          <w:rFonts w:ascii="Times New Roman" w:hAnsi="Times New Roman" w:cs="Times New Roman"/>
          <w:sz w:val="20"/>
          <w:szCs w:val="20"/>
        </w:rPr>
      </w:pPr>
    </w:p>
    <w:p w14:paraId="6F80012E" w14:textId="52861EC8" w:rsidR="00750F95" w:rsidRDefault="00750F95">
      <w:pPr>
        <w:rPr>
          <w:rFonts w:ascii="Times New Roman" w:hAnsi="Times New Roman" w:cs="Times New Roman"/>
          <w:sz w:val="20"/>
          <w:szCs w:val="20"/>
        </w:rPr>
      </w:pPr>
      <w:r w:rsidRPr="00E05C94">
        <w:rPr>
          <w:rFonts w:ascii="Times New Roman" w:hAnsi="Times New Roman" w:cs="Times New Roman"/>
          <w:sz w:val="20"/>
          <w:szCs w:val="20"/>
        </w:rPr>
        <w:t>Statistical test: Chi-square test for trend (or Pearson χ²)</w:t>
      </w:r>
      <w:r w:rsidRPr="00E05C94">
        <w:rPr>
          <w:rFonts w:ascii="Times New Roman" w:hAnsi="Times New Roman" w:cs="Times New Roman"/>
          <w:sz w:val="20"/>
          <w:szCs w:val="20"/>
        </w:rPr>
        <w:t xml:space="preserve"> </w:t>
      </w:r>
      <w:r w:rsidRPr="00E05C94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E05C94">
        <w:rPr>
          <w:rFonts w:ascii="Times New Roman" w:hAnsi="Times New Roman" w:cs="Times New Roman"/>
          <w:sz w:val="20"/>
          <w:szCs w:val="20"/>
        </w:rPr>
        <w:t xml:space="preserve"> = 0.037</w:t>
      </w:r>
      <w:r w:rsidR="00130B96" w:rsidRPr="00E05C94">
        <w:rPr>
          <w:rFonts w:ascii="Times New Roman" w:hAnsi="Times New Roman" w:cs="Times New Roman"/>
          <w:sz w:val="20"/>
          <w:szCs w:val="20"/>
        </w:rPr>
        <w:t xml:space="preserve">. </w:t>
      </w:r>
      <w:r w:rsidR="00130B96" w:rsidRPr="00E05C94">
        <w:rPr>
          <w:rFonts w:ascii="Times New Roman" w:hAnsi="Times New Roman" w:cs="Times New Roman"/>
          <w:sz w:val="20"/>
          <w:szCs w:val="20"/>
        </w:rPr>
        <w:t>Percentages represent recurrence rates within each quartile.</w:t>
      </w:r>
    </w:p>
    <w:p w14:paraId="14D3EDDC" w14:textId="33DFC219" w:rsidR="007E0F27" w:rsidRDefault="007E0F27">
      <w:pPr>
        <w:rPr>
          <w:rFonts w:ascii="Times New Roman" w:hAnsi="Times New Roman" w:cs="Times New Roman"/>
          <w:sz w:val="20"/>
          <w:szCs w:val="20"/>
        </w:rPr>
      </w:pPr>
      <w:r w:rsidRPr="007E0F27">
        <w:rPr>
          <w:rFonts w:ascii="Times New Roman" w:hAnsi="Times New Roman" w:cs="Times New Roman"/>
          <w:sz w:val="20"/>
          <w:szCs w:val="20"/>
        </w:rPr>
        <w:t>Panel B. Sensitivity analyses (multivariable logistic regression)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9"/>
        <w:gridCol w:w="2033"/>
        <w:gridCol w:w="566"/>
        <w:gridCol w:w="1116"/>
        <w:gridCol w:w="766"/>
      </w:tblGrid>
      <w:tr w:rsidR="007E0F27" w:rsidRPr="007E0F27" w14:paraId="50CB8328" w14:textId="77777777" w:rsidTr="007E0F27">
        <w:tc>
          <w:tcPr>
            <w:tcW w:w="0" w:type="auto"/>
            <w:hideMark/>
          </w:tcPr>
          <w:p w14:paraId="3CA7E8AA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0" w:type="auto"/>
            <w:hideMark/>
          </w:tcPr>
          <w:p w14:paraId="109589D8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0" w:type="auto"/>
            <w:hideMark/>
          </w:tcPr>
          <w:p w14:paraId="53D5CCE7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0" w:type="auto"/>
            <w:hideMark/>
          </w:tcPr>
          <w:p w14:paraId="4C22A4EA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0" w:type="auto"/>
            <w:hideMark/>
          </w:tcPr>
          <w:p w14:paraId="681D8D88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7E0F27" w:rsidRPr="007E0F27" w14:paraId="2400F123" w14:textId="77777777" w:rsidTr="007E0F27">
        <w:tc>
          <w:tcPr>
            <w:tcW w:w="0" w:type="auto"/>
            <w:hideMark/>
          </w:tcPr>
          <w:p w14:paraId="2A736CD3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Unadjusted</w:t>
            </w:r>
          </w:p>
        </w:tc>
        <w:tc>
          <w:tcPr>
            <w:tcW w:w="0" w:type="auto"/>
            <w:hideMark/>
          </w:tcPr>
          <w:p w14:paraId="2922A595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Dominant hand</w:t>
            </w:r>
          </w:p>
        </w:tc>
        <w:tc>
          <w:tcPr>
            <w:tcW w:w="0" w:type="auto"/>
            <w:hideMark/>
          </w:tcPr>
          <w:p w14:paraId="3137112F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6.43</w:t>
            </w:r>
          </w:p>
        </w:tc>
        <w:tc>
          <w:tcPr>
            <w:tcW w:w="0" w:type="auto"/>
            <w:hideMark/>
          </w:tcPr>
          <w:p w14:paraId="289AF990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1.86–22.25</w:t>
            </w:r>
          </w:p>
        </w:tc>
        <w:tc>
          <w:tcPr>
            <w:tcW w:w="0" w:type="auto"/>
            <w:hideMark/>
          </w:tcPr>
          <w:p w14:paraId="5C64D9B6" w14:textId="5F0CED64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  <w:r w:rsidR="000573E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E0F27" w:rsidRPr="007E0F27" w14:paraId="7118D34B" w14:textId="77777777" w:rsidTr="007E0F27">
        <w:tc>
          <w:tcPr>
            <w:tcW w:w="0" w:type="auto"/>
            <w:hideMark/>
          </w:tcPr>
          <w:p w14:paraId="532F9345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331A9D0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Distance to joint (mm)</w:t>
            </w:r>
          </w:p>
        </w:tc>
        <w:tc>
          <w:tcPr>
            <w:tcW w:w="0" w:type="auto"/>
            <w:hideMark/>
          </w:tcPr>
          <w:p w14:paraId="034C720C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  <w:hideMark/>
          </w:tcPr>
          <w:p w14:paraId="26BFF5E7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0.38–0.88</w:t>
            </w:r>
          </w:p>
        </w:tc>
        <w:tc>
          <w:tcPr>
            <w:tcW w:w="0" w:type="auto"/>
            <w:hideMark/>
          </w:tcPr>
          <w:p w14:paraId="2D495399" w14:textId="0DFC0965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  <w:r w:rsidR="000573E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E0F27" w:rsidRPr="007E0F27" w14:paraId="5BC138C0" w14:textId="77777777" w:rsidTr="007E0F27">
        <w:tc>
          <w:tcPr>
            <w:tcW w:w="0" w:type="auto"/>
            <w:hideMark/>
          </w:tcPr>
          <w:p w14:paraId="606EE5B8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Age-adjusted (primary)</w:t>
            </w:r>
          </w:p>
        </w:tc>
        <w:tc>
          <w:tcPr>
            <w:tcW w:w="0" w:type="auto"/>
            <w:hideMark/>
          </w:tcPr>
          <w:p w14:paraId="196FBF41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Dominant hand</w:t>
            </w:r>
          </w:p>
        </w:tc>
        <w:tc>
          <w:tcPr>
            <w:tcW w:w="0" w:type="auto"/>
            <w:hideMark/>
          </w:tcPr>
          <w:p w14:paraId="6F08DA4E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6.51</w:t>
            </w:r>
          </w:p>
        </w:tc>
        <w:tc>
          <w:tcPr>
            <w:tcW w:w="0" w:type="auto"/>
            <w:hideMark/>
          </w:tcPr>
          <w:p w14:paraId="41ABDD4B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1.87–22.63</w:t>
            </w:r>
          </w:p>
        </w:tc>
        <w:tc>
          <w:tcPr>
            <w:tcW w:w="0" w:type="auto"/>
            <w:hideMark/>
          </w:tcPr>
          <w:p w14:paraId="795562EE" w14:textId="19012908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  <w:r w:rsidR="000573E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E0F27" w:rsidRPr="007E0F27" w14:paraId="5BEB8449" w14:textId="77777777" w:rsidTr="007E0F27">
        <w:tc>
          <w:tcPr>
            <w:tcW w:w="0" w:type="auto"/>
            <w:hideMark/>
          </w:tcPr>
          <w:p w14:paraId="1EAAF3FF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F5F33BD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Distance to joint (mm)</w:t>
            </w:r>
          </w:p>
        </w:tc>
        <w:tc>
          <w:tcPr>
            <w:tcW w:w="0" w:type="auto"/>
            <w:hideMark/>
          </w:tcPr>
          <w:p w14:paraId="225092AF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0" w:type="auto"/>
            <w:hideMark/>
          </w:tcPr>
          <w:p w14:paraId="0817FFD2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0.39–0.90</w:t>
            </w:r>
          </w:p>
        </w:tc>
        <w:tc>
          <w:tcPr>
            <w:tcW w:w="0" w:type="auto"/>
            <w:hideMark/>
          </w:tcPr>
          <w:p w14:paraId="1BBDD044" w14:textId="5C8FDA5E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  <w:r w:rsidR="000573E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E0F27" w:rsidRPr="007E0F27" w14:paraId="568A21F2" w14:textId="77777777" w:rsidTr="007E0F27">
        <w:tc>
          <w:tcPr>
            <w:tcW w:w="0" w:type="auto"/>
            <w:hideMark/>
          </w:tcPr>
          <w:p w14:paraId="753EDE93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7EDA97D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0" w:type="auto"/>
            <w:hideMark/>
          </w:tcPr>
          <w:p w14:paraId="438BCC18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0" w:type="auto"/>
            <w:hideMark/>
          </w:tcPr>
          <w:p w14:paraId="65218A96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0.99–1.04</w:t>
            </w:r>
          </w:p>
        </w:tc>
        <w:tc>
          <w:tcPr>
            <w:tcW w:w="0" w:type="auto"/>
            <w:hideMark/>
          </w:tcPr>
          <w:p w14:paraId="52CE7C79" w14:textId="49456D11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  <w:r w:rsidR="000573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0F27" w:rsidRPr="007E0F27" w14:paraId="2DE98113" w14:textId="77777777" w:rsidTr="007E0F27">
        <w:tc>
          <w:tcPr>
            <w:tcW w:w="0" w:type="auto"/>
            <w:hideMark/>
          </w:tcPr>
          <w:p w14:paraId="0C4521A6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Sex-adjusted</w:t>
            </w:r>
          </w:p>
        </w:tc>
        <w:tc>
          <w:tcPr>
            <w:tcW w:w="0" w:type="auto"/>
            <w:hideMark/>
          </w:tcPr>
          <w:p w14:paraId="5328A3E3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Dominant hand</w:t>
            </w:r>
          </w:p>
        </w:tc>
        <w:tc>
          <w:tcPr>
            <w:tcW w:w="0" w:type="auto"/>
            <w:hideMark/>
          </w:tcPr>
          <w:p w14:paraId="59241959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6.39</w:t>
            </w:r>
          </w:p>
        </w:tc>
        <w:tc>
          <w:tcPr>
            <w:tcW w:w="0" w:type="auto"/>
            <w:hideMark/>
          </w:tcPr>
          <w:p w14:paraId="58ED5C06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1.85–22.13</w:t>
            </w:r>
          </w:p>
        </w:tc>
        <w:tc>
          <w:tcPr>
            <w:tcW w:w="0" w:type="auto"/>
            <w:hideMark/>
          </w:tcPr>
          <w:p w14:paraId="24F03337" w14:textId="07760982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  <w:r w:rsidR="000573E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E0F27" w:rsidRPr="007E0F27" w14:paraId="62E09753" w14:textId="77777777" w:rsidTr="007E0F27">
        <w:tc>
          <w:tcPr>
            <w:tcW w:w="0" w:type="auto"/>
            <w:hideMark/>
          </w:tcPr>
          <w:p w14:paraId="7209834D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1FF1329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Distance to joint (mm)</w:t>
            </w:r>
          </w:p>
        </w:tc>
        <w:tc>
          <w:tcPr>
            <w:tcW w:w="0" w:type="auto"/>
            <w:hideMark/>
          </w:tcPr>
          <w:p w14:paraId="618F0534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0" w:type="auto"/>
            <w:hideMark/>
          </w:tcPr>
          <w:p w14:paraId="46C778BA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0.39–0.88</w:t>
            </w:r>
          </w:p>
        </w:tc>
        <w:tc>
          <w:tcPr>
            <w:tcW w:w="0" w:type="auto"/>
            <w:hideMark/>
          </w:tcPr>
          <w:p w14:paraId="6D6F536E" w14:textId="56577C05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  <w:r w:rsidR="000573E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E0F27" w:rsidRPr="007E0F27" w14:paraId="66BEC1D9" w14:textId="77777777" w:rsidTr="007E0F27">
        <w:tc>
          <w:tcPr>
            <w:tcW w:w="0" w:type="auto"/>
            <w:hideMark/>
          </w:tcPr>
          <w:p w14:paraId="5D1A2870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F8E2FFF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0" w:type="auto"/>
            <w:hideMark/>
          </w:tcPr>
          <w:p w14:paraId="1CD42547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0" w:type="auto"/>
            <w:hideMark/>
          </w:tcPr>
          <w:p w14:paraId="11A6CDE4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0.36–2.05</w:t>
            </w:r>
          </w:p>
        </w:tc>
        <w:tc>
          <w:tcPr>
            <w:tcW w:w="0" w:type="auto"/>
            <w:hideMark/>
          </w:tcPr>
          <w:p w14:paraId="4735670A" w14:textId="753DA3B4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  <w:r w:rsidR="000573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0F27" w:rsidRPr="007E0F27" w14:paraId="5F1D42BB" w14:textId="77777777" w:rsidTr="007E0F27">
        <w:tc>
          <w:tcPr>
            <w:tcW w:w="0" w:type="auto"/>
            <w:hideMark/>
          </w:tcPr>
          <w:p w14:paraId="3F1F8C28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Location-adjusted</w:t>
            </w:r>
          </w:p>
        </w:tc>
        <w:tc>
          <w:tcPr>
            <w:tcW w:w="0" w:type="auto"/>
            <w:hideMark/>
          </w:tcPr>
          <w:p w14:paraId="3850AAB5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Dominant hand</w:t>
            </w:r>
          </w:p>
        </w:tc>
        <w:tc>
          <w:tcPr>
            <w:tcW w:w="0" w:type="auto"/>
            <w:hideMark/>
          </w:tcPr>
          <w:p w14:paraId="09B1A2DF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6.19</w:t>
            </w:r>
          </w:p>
        </w:tc>
        <w:tc>
          <w:tcPr>
            <w:tcW w:w="0" w:type="auto"/>
            <w:hideMark/>
          </w:tcPr>
          <w:p w14:paraId="7EC1F291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1.79–21.43</w:t>
            </w:r>
          </w:p>
        </w:tc>
        <w:tc>
          <w:tcPr>
            <w:tcW w:w="0" w:type="auto"/>
            <w:hideMark/>
          </w:tcPr>
          <w:p w14:paraId="71838F4C" w14:textId="58BE3310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  <w:r w:rsidR="000573E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E0F27" w:rsidRPr="007E0F27" w14:paraId="342DAA5A" w14:textId="77777777" w:rsidTr="007E0F27">
        <w:tc>
          <w:tcPr>
            <w:tcW w:w="0" w:type="auto"/>
            <w:hideMark/>
          </w:tcPr>
          <w:p w14:paraId="0095DDF9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0714B5D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Distance to joint (mm)</w:t>
            </w:r>
          </w:p>
        </w:tc>
        <w:tc>
          <w:tcPr>
            <w:tcW w:w="0" w:type="auto"/>
            <w:hideMark/>
          </w:tcPr>
          <w:p w14:paraId="6564E136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0" w:type="auto"/>
            <w:hideMark/>
          </w:tcPr>
          <w:p w14:paraId="6A20C352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0.40–0.92</w:t>
            </w:r>
          </w:p>
        </w:tc>
        <w:tc>
          <w:tcPr>
            <w:tcW w:w="0" w:type="auto"/>
            <w:hideMark/>
          </w:tcPr>
          <w:p w14:paraId="05F21C20" w14:textId="13B9E4A0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  <w:r w:rsidR="000573E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7E0F27" w:rsidRPr="007E0F27" w14:paraId="2D005C3E" w14:textId="77777777" w:rsidTr="007E0F27">
        <w:tc>
          <w:tcPr>
            <w:tcW w:w="0" w:type="auto"/>
            <w:hideMark/>
          </w:tcPr>
          <w:p w14:paraId="56ED1769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A7F361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Dorsal location</w:t>
            </w:r>
          </w:p>
        </w:tc>
        <w:tc>
          <w:tcPr>
            <w:tcW w:w="0" w:type="auto"/>
            <w:hideMark/>
          </w:tcPr>
          <w:p w14:paraId="2630C115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0" w:type="auto"/>
            <w:hideMark/>
          </w:tcPr>
          <w:p w14:paraId="376C0B3C" w14:textId="77777777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0.28–1.36</w:t>
            </w:r>
          </w:p>
        </w:tc>
        <w:tc>
          <w:tcPr>
            <w:tcW w:w="0" w:type="auto"/>
            <w:hideMark/>
          </w:tcPr>
          <w:p w14:paraId="46F7D703" w14:textId="5D84929C" w:rsidR="007E0F27" w:rsidRPr="007E0F27" w:rsidRDefault="007E0F27" w:rsidP="007E0F27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0F27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  <w:r w:rsidR="000573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3C0EB615" w14:textId="77777777" w:rsidR="007E0F27" w:rsidRDefault="007E0F27">
      <w:pPr>
        <w:rPr>
          <w:rFonts w:ascii="Times New Roman" w:hAnsi="Times New Roman" w:cs="Times New Roman"/>
          <w:sz w:val="20"/>
          <w:szCs w:val="20"/>
        </w:rPr>
      </w:pPr>
    </w:p>
    <w:p w14:paraId="6AE22DCB" w14:textId="3963417B" w:rsidR="00A0445E" w:rsidRPr="00A2432C" w:rsidRDefault="00A0445E" w:rsidP="00A0445E">
      <w:pPr>
        <w:rPr>
          <w:rFonts w:ascii="Times New Roman" w:hAnsi="Times New Roman" w:cs="Times New Roman"/>
          <w:sz w:val="20"/>
          <w:szCs w:val="20"/>
        </w:rPr>
      </w:pPr>
      <w:r w:rsidRPr="00C86A75">
        <w:rPr>
          <w:rFonts w:ascii="Times New Roman" w:hAnsi="Times New Roman" w:cs="Times New Roman"/>
          <w:sz w:val="20"/>
          <w:szCs w:val="20"/>
        </w:rPr>
        <w:t>OR, odds ratio; CI, confidence interval; * indicates statistical significance (</w:t>
      </w:r>
      <w:r w:rsidRPr="00C86A7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C86A75">
        <w:rPr>
          <w:rFonts w:ascii="Times New Roman" w:hAnsi="Times New Roman" w:cs="Times New Roman"/>
          <w:sz w:val="20"/>
          <w:szCs w:val="20"/>
        </w:rPr>
        <w:t xml:space="preserve"> &lt; 0.05).</w:t>
      </w:r>
    </w:p>
    <w:p w14:paraId="4B53DA15" w14:textId="77777777" w:rsidR="00A0445E" w:rsidRPr="00E05C94" w:rsidRDefault="00A0445E">
      <w:pPr>
        <w:rPr>
          <w:rFonts w:ascii="Times New Roman" w:hAnsi="Times New Roman" w:cs="Times New Roman"/>
          <w:sz w:val="20"/>
          <w:szCs w:val="20"/>
        </w:rPr>
      </w:pPr>
    </w:p>
    <w:sectPr w:rsidR="00A0445E" w:rsidRPr="00E05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FFA"/>
    <w:rsid w:val="000049CE"/>
    <w:rsid w:val="000573E8"/>
    <w:rsid w:val="00130B96"/>
    <w:rsid w:val="00353FFA"/>
    <w:rsid w:val="00750F95"/>
    <w:rsid w:val="007E0F27"/>
    <w:rsid w:val="008C169F"/>
    <w:rsid w:val="00A0445E"/>
    <w:rsid w:val="00AC7EEF"/>
    <w:rsid w:val="00D65631"/>
    <w:rsid w:val="00E05C94"/>
    <w:rsid w:val="00F1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B77A"/>
  <w15:chartTrackingRefBased/>
  <w15:docId w15:val="{B71F8F45-00AD-4681-B09D-5256396A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049CE"/>
    <w:rPr>
      <w:b/>
      <w:bCs/>
    </w:rPr>
  </w:style>
  <w:style w:type="table" w:styleId="TabloKlavuzu">
    <w:name w:val="Table Grid"/>
    <w:basedOn w:val="NormalTablo"/>
    <w:uiPriority w:val="39"/>
    <w:rsid w:val="00004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Kaya</dc:creator>
  <cp:keywords/>
  <dc:description/>
  <cp:lastModifiedBy>Salih Kaya</cp:lastModifiedBy>
  <cp:revision>13</cp:revision>
  <dcterms:created xsi:type="dcterms:W3CDTF">2026-01-24T09:22:00Z</dcterms:created>
  <dcterms:modified xsi:type="dcterms:W3CDTF">2026-01-24T09:58:00Z</dcterms:modified>
</cp:coreProperties>
</file>