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651F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kern w:val="0"/>
          <w:sz w:val="24"/>
          <w:szCs w:val="24"/>
          <w:highlight w:val="none"/>
          <w:lang w:val="en-US" w:eastAsia="zh-CN" w:bidi="ar"/>
        </w:rPr>
        <w:t>TRIPOD-AI Compliance Summary for Our Manuscript</w:t>
      </w:r>
    </w:p>
    <w:tbl>
      <w:tblPr>
        <w:tblStyle w:val="3"/>
        <w:tblW w:w="84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9"/>
        <w:gridCol w:w="1743"/>
        <w:gridCol w:w="5185"/>
      </w:tblGrid>
      <w:tr w14:paraId="7CF61D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886224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Section</w:t>
            </w:r>
          </w:p>
        </w:tc>
        <w:tc>
          <w:tcPr>
            <w:tcW w:w="1743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3A9AE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TRIPOD-AI Item</w:t>
            </w:r>
          </w:p>
        </w:tc>
        <w:tc>
          <w:tcPr>
            <w:tcW w:w="5185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1DB98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 in Our Manuscript &amp; Key Details</w:t>
            </w:r>
          </w:p>
        </w:tc>
      </w:tr>
      <w:tr w14:paraId="479601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B5859E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Title &amp; Abstract</w:t>
            </w:r>
          </w:p>
        </w:tc>
        <w:tc>
          <w:tcPr>
            <w:tcW w:w="1743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4C5F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1a, 1b</w:t>
            </w:r>
          </w:p>
        </w:tc>
        <w:tc>
          <w:tcPr>
            <w:tcW w:w="5185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FFF725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Title/Abstract: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Clearly state the study as developing/validating a prediction model for CPSP after VATS, using a nomogram.</w:t>
            </w:r>
          </w:p>
        </w:tc>
      </w:tr>
      <w:tr w14:paraId="71AF8F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3B74A4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Introduction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A7858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2, 3a, 3b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92B639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Background &amp; Objectives: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Describe CPSP burden, knowledge gap, and explicitly state the aim to develop &amp; internally validate a clinical prediction nomogram.</w:t>
            </w:r>
          </w:p>
        </w:tc>
      </w:tr>
      <w:tr w14:paraId="1209D3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69D06F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Methods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60BD28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0E6B643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F90D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CEE746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Source of Data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5D903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4a, 4b, 5a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1B4B62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2.2, 2.3: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Single-center, retrospective cohort. Clear inclusion/exclusion criteria.</w:t>
            </w:r>
          </w:p>
        </w:tc>
      </w:tr>
      <w:tr w14:paraId="2DBFE8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0C3106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Participants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B1E95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5b, 6a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94AE48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3.1, Fig 1: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Description of participants, flow diagram showing eligibility and group allocation.</w:t>
            </w:r>
          </w:p>
        </w:tc>
      </w:tr>
      <w:tr w14:paraId="5C9F4F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EB773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Outcome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5D017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7a, 7b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683EB9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2.5.2 (4):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CPSP defined per ICD-11, assessed at 3 months, dichotomized (VAS≥4).</w:t>
            </w:r>
          </w:p>
        </w:tc>
      </w:tr>
      <w:tr w14:paraId="00CD8C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E29CD7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Predictors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B5BF3D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8a, 8b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FB943E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2.5.2: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Detailed definition and method of measurement for all candidate predictors (e.g., anxiety screener, scar measurement, </w:t>
            </w: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mean shoulder abduction pain POD1-6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).</w:t>
            </w:r>
          </w:p>
        </w:tc>
      </w:tr>
      <w:tr w14:paraId="792F0D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CDFBDD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Sample Size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A6FCC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CA7896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Not formally calculated; all eligible patients in the timeframe were included. This is acknowledged as a limitation.</w:t>
            </w:r>
          </w:p>
        </w:tc>
      </w:tr>
      <w:tr w14:paraId="3345B7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DB8FF9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Missing Data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FE275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9885A4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2.3, 3.1: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Patients with missing critical data were excluded; no loss to follow-up.</w:t>
            </w:r>
          </w:p>
        </w:tc>
      </w:tr>
      <w:tr w14:paraId="713134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1D4789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 Development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14277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11a, 11b, 12a, 12b, 13a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C9C69A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Describes data splitting (70/30), use of LASSO regression for feature selection (glmnet), followed by multivariable logistic regression for final model. Software (R, SPSS) and packages specified.</w:t>
            </w:r>
          </w:p>
        </w:tc>
      </w:tr>
      <w:tr w14:paraId="51A46F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26551C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 Performance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44C5B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14a, 14b, 15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DD62BB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2.6, 3.8: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Protocol for evaluating discrimination (AUC), calibration (plots, H-L test), and clinical utility (Decision Curve Analysis) pre-specified.</w:t>
            </w:r>
          </w:p>
        </w:tc>
      </w:tr>
      <w:tr w14:paraId="3B416F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3AAA1F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Results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4A0800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366E09B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F0C7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B6EB27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Participants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148EC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16a, 16b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0D5A2C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3.1, Table 1: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Flow of participants, baseline characteristics for total cohort and by outcome group.</w:t>
            </w:r>
          </w:p>
        </w:tc>
      </w:tr>
      <w:tr w14:paraId="3CA339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A60DB8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 Development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4E2F6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17a, 17b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E62D20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3.4, 3.5, Table 2: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Results of LASSO selection and final logistic regression model, including coefficients, ORs, CIs.</w:t>
            </w:r>
          </w:p>
        </w:tc>
      </w:tr>
      <w:tr w14:paraId="6677AE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5A2AC2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 Performance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8AA628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810657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3.6, 3.8, Table 3, Fig 4: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Reports discrimination (AUC training/validation), calibration (curves, H-L p-value), and DCA results.</w:t>
            </w:r>
          </w:p>
        </w:tc>
      </w:tr>
      <w:tr w14:paraId="2494B1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ABCD3F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Model Updating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83A7F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688937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Not applicable (model development study).</w:t>
            </w:r>
          </w:p>
        </w:tc>
      </w:tr>
      <w:tr w14:paraId="40F4F8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E094C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Discussion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15F287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27E3DED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0A4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C1ACD9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Limitations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FDBF0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7A4A3F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Discusses limitations: single-center retrospective design, unmeasured confounders, sample size, measurement of scar length.</w:t>
            </w:r>
          </w:p>
        </w:tc>
      </w:tr>
      <w:tr w14:paraId="4DCF73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9CABED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Interpretation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6E989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21a, 21b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ED4F40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4.1-4.5: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Interpretation of predictors in clinical context, comparison with existing evidence, and implications of the nomogram.</w:t>
            </w:r>
          </w:p>
        </w:tc>
      </w:tr>
      <w:tr w14:paraId="2B3A2B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66CDE1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Generalizability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D104B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584015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Discusses need for external validation.</w:t>
            </w:r>
          </w:p>
        </w:tc>
      </w:tr>
      <w:tr w14:paraId="4A5BCB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A1DF6C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Other Information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FD373E">
            <w:pPr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727970E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8E44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D906AA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Protocol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6068C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5E33DE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Not registered; retrospective design.</w:t>
            </w:r>
          </w:p>
        </w:tc>
      </w:tr>
      <w:tr w14:paraId="1EEF57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4D1C62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Funding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613A7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CDFB85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Declared no funding.</w:t>
            </w:r>
          </w:p>
        </w:tc>
      </w:tr>
      <w:tr w14:paraId="4ED8CE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C1AD2F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AI Use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989B4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425520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The model development involved LASSO, a machine learning method for feature selection. This is clearly stated.</w:t>
            </w:r>
          </w:p>
        </w:tc>
      </w:tr>
      <w:tr w14:paraId="22B25B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2D9FA9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Accessibility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EE011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26a, 26b</w:t>
            </w:r>
          </w:p>
        </w:tc>
        <w:tc>
          <w:tcPr>
            <w:tcW w:w="518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4C5946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Data Availability Statement: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Data available on reasonable request. Code available on request (implied by detailed method description).</w:t>
            </w:r>
          </w:p>
        </w:tc>
      </w:tr>
    </w:tbl>
    <w:p w14:paraId="21D9A8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0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2026-02-05T14:59:24Z</dcterms:created>
  <dc:creator>Future</dc:creator>
  <cp:lastModifiedBy>灰太狼</cp:lastModifiedBy>
  <dcterms:modified xsi:type="dcterms:W3CDTF">2026-02-05T14:59:37Z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eyJoZGlkIjoiYmRjYzAyYjY0NjI0YzVkYWEyYTE3Y2U4NGY5Nzc4MmIiLCJ1c2VySWQiOiIxMzkzOTE1NTQ2In0=</vt:lpwstr>
  </property>
  <property fmtid="{D5CDD505-2E9C-101B-9397-08002B2CF9AE}" pid="4" name="ICV">
    <vt:lpwstr>356A9123AC11446F8CE0327AF370E8E7_12</vt:lpwstr>
  </property>
</Properties>
</file>