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CBDEF" w14:textId="09FDA9CA" w:rsidR="00075B3E" w:rsidRPr="00911C30" w:rsidRDefault="00075B3E" w:rsidP="00075B3E">
      <w:pPr>
        <w:jc w:val="center"/>
        <w:rPr>
          <w:b/>
          <w:bCs/>
          <w:sz w:val="28"/>
          <w:szCs w:val="28"/>
        </w:rPr>
      </w:pPr>
      <w:r w:rsidRPr="00911C30">
        <w:rPr>
          <w:b/>
          <w:bCs/>
          <w:sz w:val="28"/>
          <w:szCs w:val="28"/>
        </w:rPr>
        <w:t>SUPPLEMENTARY ANALYSIS</w:t>
      </w:r>
    </w:p>
    <w:p w14:paraId="753F5EAD" w14:textId="77777777" w:rsidR="00075B3E" w:rsidRPr="00E923CE" w:rsidRDefault="00075B3E" w:rsidP="00075B3E">
      <w:pPr>
        <w:rPr>
          <w:sz w:val="28"/>
          <w:szCs w:val="28"/>
        </w:rPr>
      </w:pPr>
      <w:r w:rsidRPr="00E923CE">
        <w:rPr>
          <w:sz w:val="28"/>
          <w:szCs w:val="28"/>
        </w:rPr>
        <w:t>Statistical Methods and Additional Analyses</w:t>
      </w:r>
    </w:p>
    <w:p w14:paraId="1B1FFF6C" w14:textId="77777777" w:rsidR="00075B3E" w:rsidRPr="00E923CE" w:rsidRDefault="00075B3E" w:rsidP="00075B3E">
      <w:pPr>
        <w:rPr>
          <w:sz w:val="28"/>
          <w:szCs w:val="28"/>
        </w:rPr>
      </w:pPr>
    </w:p>
    <w:p w14:paraId="35968D5B" w14:textId="77777777" w:rsidR="00075B3E" w:rsidRPr="00E923CE" w:rsidRDefault="00075B3E" w:rsidP="00075B3E">
      <w:pPr>
        <w:rPr>
          <w:sz w:val="28"/>
          <w:szCs w:val="28"/>
        </w:rPr>
      </w:pPr>
      <w:r w:rsidRPr="00E923CE">
        <w:rPr>
          <w:sz w:val="28"/>
          <w:szCs w:val="28"/>
        </w:rPr>
        <w:t>Table S1. IPTW covariate balance assessment</w:t>
      </w:r>
    </w:p>
    <w:p w14:paraId="6BB99B98" w14:textId="77777777" w:rsidR="00075B3E" w:rsidRPr="00E923CE" w:rsidRDefault="00075B3E" w:rsidP="00075B3E">
      <w:pPr>
        <w:rPr>
          <w:sz w:val="28"/>
          <w:szCs w:val="28"/>
        </w:rPr>
      </w:pPr>
      <w:r w:rsidRPr="00E923CE">
        <w:rPr>
          <w:sz w:val="28"/>
          <w:szCs w:val="28"/>
        </w:rPr>
        <w:t>Table S2. Linear mixed-effects models (group × time interaction)</w:t>
      </w:r>
    </w:p>
    <w:p w14:paraId="4A93179F" w14:textId="77777777" w:rsidR="00075B3E" w:rsidRPr="00E923CE" w:rsidRDefault="00075B3E" w:rsidP="00075B3E">
      <w:pPr>
        <w:rPr>
          <w:sz w:val="28"/>
          <w:szCs w:val="28"/>
        </w:rPr>
      </w:pPr>
      <w:r w:rsidRPr="00E923CE">
        <w:rPr>
          <w:sz w:val="28"/>
          <w:szCs w:val="28"/>
        </w:rPr>
        <w:t>Table S3. ANCOVA treatment effects at 12 months</w:t>
      </w:r>
    </w:p>
    <w:p w14:paraId="07FDFCEA" w14:textId="77777777" w:rsidR="00075B3E" w:rsidRPr="00E923CE" w:rsidRDefault="00075B3E" w:rsidP="00075B3E">
      <w:pPr>
        <w:rPr>
          <w:sz w:val="28"/>
          <w:szCs w:val="28"/>
        </w:rPr>
      </w:pPr>
      <w:r w:rsidRPr="00E923CE">
        <w:rPr>
          <w:sz w:val="28"/>
          <w:szCs w:val="28"/>
        </w:rPr>
        <w:t>Table S4. IPTW-weighted primary endpoint analysis</w:t>
      </w:r>
    </w:p>
    <w:p w14:paraId="5DE23071" w14:textId="209A20B5" w:rsidR="00075B3E" w:rsidRPr="00E923CE" w:rsidRDefault="00075B3E" w:rsidP="00075B3E">
      <w:pPr>
        <w:rPr>
          <w:sz w:val="28"/>
          <w:szCs w:val="28"/>
        </w:rPr>
      </w:pPr>
      <w:r w:rsidRPr="00E923CE">
        <w:rPr>
          <w:sz w:val="28"/>
          <w:szCs w:val="28"/>
        </w:rPr>
        <w:t>Table S5. Multivariable-Adjusted Treatment Effects</w:t>
      </w:r>
    </w:p>
    <w:p w14:paraId="4FE098FE" w14:textId="2347FB94" w:rsidR="00075B3E" w:rsidRDefault="00075B3E" w:rsidP="00075B3E">
      <w:r w:rsidRPr="00E923CE">
        <w:rPr>
          <w:sz w:val="28"/>
          <w:szCs w:val="28"/>
        </w:rPr>
        <w:t xml:space="preserve">Table S6. IPTW-Weighted Analysis of Binary Clinical Outcomes </w:t>
      </w:r>
      <w:r>
        <w:br w:type="page"/>
      </w:r>
    </w:p>
    <w:p w14:paraId="039810EA" w14:textId="2BE717AB" w:rsidR="00171FEA" w:rsidRDefault="00171FEA" w:rsidP="00171FEA">
      <w:pPr>
        <w:jc w:val="both"/>
      </w:pPr>
      <w:r w:rsidRPr="001A1A6B">
        <w:lastRenderedPageBreak/>
        <w:t>Methods: To</w:t>
      </w:r>
      <w:r w:rsidRPr="00171FEA">
        <w:t xml:space="preserve"> address potential confounding arising from the non-randomized, preference-based allocation, propensity scores were estimated using logistic regression modeling the probability of undergoing laparoscopic sleeve gastrectomy as a function of baseline covariates, including age, sex, baseline body mass index (BMI), baseline weight and height, presence of type 2 diabetes mellitus, hypertension, osteoarthritis, obstructive sleep apnea, smoking status, and alcohol use. Inverse Probability of Treatment Weighting (IPTW) was then applied using the estimated propensity scores to generate a weighted pseudo-population in which baseline covariates were balanced between treatment groups. Covariate balance before and after weighting was assessed using standardized mean differences (SMD), with values &lt;</w:t>
      </w:r>
      <w:r w:rsidR="00B656E2">
        <w:t xml:space="preserve"> </w:t>
      </w:r>
      <w:r w:rsidRPr="00171FEA">
        <w:t xml:space="preserve">0.10 considered indicative of excellent balance. Primary binary outcomes were analyzed using IPTW-weighted risk differences with bootstrap-derived 95% confidence intervals. Repeated continuous outcomes (weight and BMI across baseline, 3, 6, and 12 months) were analyzed using linear mixed-effects models including fixed effects for treatment group, time, and group-by-time interaction, with a random intercept for each participant to account for within-subject correlation. Additionally, 12-month continuous outcomes were evaluated using multivariable analysis of covariance (ANCOVA) adjusting for baseline values and relevant covariates to assess robustness of treatment effects. </w:t>
      </w:r>
      <w:r w:rsidR="00111AB6" w:rsidRPr="00111AB6">
        <w:t xml:space="preserve">The resulting propensity score was used for covariate adjustment to estimate the adjusted treatment effect. IPTW-weighted risk differences with bootstrap-derived 95% confidence intervals were calculated for binary outcomes. </w:t>
      </w:r>
      <w:r w:rsidRPr="00171FEA">
        <w:t>All analyses were conducted using two-sided tests with statistical significance defined as p &lt; 0.05.</w:t>
      </w:r>
    </w:p>
    <w:p w14:paraId="5DCF8DF4" w14:textId="3CDEA83B" w:rsidR="00111AB6" w:rsidRDefault="00111AB6" w:rsidP="00171FEA">
      <w:pPr>
        <w:jc w:val="both"/>
      </w:pPr>
      <w:r w:rsidRPr="00111AB6">
        <w:t>All analyses performed using IBM SPSS Statistics version 26. IPTW implemented via the SPSS Complex Samples module with logistic regression propensity modeling. Linear mixed-effects models used the MIXED procedure. Bootstrap confidence intervals generated via SPSS bootstrapping (2000 resamples).</w:t>
      </w:r>
    </w:p>
    <w:p w14:paraId="18087342" w14:textId="77777777" w:rsidR="00171FEA" w:rsidRDefault="00171FEA" w:rsidP="00171FEA"/>
    <w:p w14:paraId="15FA9FB5" w14:textId="478FA058" w:rsidR="00B62F8E" w:rsidRDefault="00171FEA" w:rsidP="005133CB">
      <w:pPr>
        <w:jc w:val="both"/>
      </w:pPr>
      <w:r w:rsidRPr="001A1A6B">
        <w:t>Analysis</w:t>
      </w:r>
      <w:r>
        <w:br/>
      </w:r>
      <w:r w:rsidRPr="00171FEA">
        <w:t xml:space="preserve">Supplementary Table S1 presents the assessment of baseline comparability between the laparoscopic sleeve gastrectomy (LSG) group and the conservative management group using standardized mean differences (SMDs), both before and after inverse probability of treatment weighting (IPTW). Unlike traditional p-values, which are influenced by sample size, SMDs quantify the magnitude of imbalance independent of statistical significance and are recommended in non-randomized studies. Prior to weighing, all baseline variables demonstrated acceptable balance, with SMD values below 0.25 and a maximum value of approximately 0.21, indicating no substantial baseline imbalance. Following IPTW adjustment, all SMDs were reduced to below 0.10, reflecting excellent covariate balance across demographic variables (age, sex), anthropometric measures (weight, height, body mass index [BMI]), and comorbidity profiles (type 2 diabetes mellitus [T2D], </w:t>
      </w:r>
      <w:r w:rsidRPr="00171FEA">
        <w:lastRenderedPageBreak/>
        <w:t>hypertension [HTN], osteoarthritis [OA], obstructive sleep apnea [OSA], smoking, and alcohol use).</w:t>
      </w:r>
      <w:r w:rsidR="005133CB" w:rsidRPr="005133CB">
        <w:t xml:space="preserve"> Ideal body weight was derived from height (calculated as BMI 25 kg/m² × height² in meters). Because ideal weight is a deterministic linear transformation of height, its standardized mean difference (SMD) mirrors that of height. Accordingly, baseline imbalance was modest before weighting (SMD = 0.068) and improved after IPTW adjustment (SMD = 0.045), remaining well below the conventional threshold of 0.10, indicating adequate covariate balance.</w:t>
      </w:r>
      <w:r w:rsidRPr="00171FEA">
        <w:t xml:space="preserve"> These findings confirm that IPTW successfully minimized observable confounding related to treatment allocation and strengthened the internal validity of subsequent outcome comparisons.</w:t>
      </w:r>
    </w:p>
    <w:p w14:paraId="456E9A69" w14:textId="77777777" w:rsidR="00BB7527" w:rsidRDefault="00BB7527" w:rsidP="00B62F8E">
      <w:pPr>
        <w:spacing w:after="0" w:line="240" w:lineRule="auto"/>
        <w:rPr>
          <w:rFonts w:ascii="Times New Roman" w:eastAsia="Times New Roman" w:hAnsi="Times New Roman" w:cs="Times New Roman"/>
          <w:kern w:val="0"/>
          <w14:ligatures w14:val="none"/>
        </w:rPr>
      </w:pPr>
    </w:p>
    <w:p w14:paraId="442A60FF" w14:textId="77777777" w:rsidR="00BB7527" w:rsidRDefault="00BB7527" w:rsidP="00B62F8E">
      <w:pPr>
        <w:spacing w:after="0" w:line="240" w:lineRule="auto"/>
        <w:rPr>
          <w:rFonts w:ascii="Times New Roman" w:eastAsia="Times New Roman" w:hAnsi="Times New Roman" w:cs="Times New Roman"/>
          <w:kern w:val="0"/>
          <w14:ligatures w14:val="none"/>
        </w:rPr>
      </w:pPr>
    </w:p>
    <w:p w14:paraId="7D14E24D" w14:textId="77777777" w:rsidR="00BB7527" w:rsidRDefault="00BB7527" w:rsidP="00B62F8E">
      <w:pPr>
        <w:spacing w:after="0" w:line="240" w:lineRule="auto"/>
        <w:rPr>
          <w:rFonts w:ascii="Times New Roman" w:eastAsia="Times New Roman" w:hAnsi="Times New Roman" w:cs="Times New Roman"/>
          <w:kern w:val="0"/>
          <w14:ligatures w14:val="none"/>
        </w:rPr>
      </w:pPr>
    </w:p>
    <w:p w14:paraId="56C757F0" w14:textId="77777777" w:rsidR="00BB7527" w:rsidRDefault="00BB7527" w:rsidP="00B62F8E">
      <w:pPr>
        <w:spacing w:after="0" w:line="240" w:lineRule="auto"/>
        <w:rPr>
          <w:rFonts w:ascii="Times New Roman" w:eastAsia="Times New Roman" w:hAnsi="Times New Roman" w:cs="Times New Roman"/>
          <w:kern w:val="0"/>
          <w14:ligatures w14:val="none"/>
        </w:rPr>
      </w:pPr>
    </w:p>
    <w:p w14:paraId="71F8756D" w14:textId="77777777" w:rsidR="00BB7527" w:rsidRDefault="00BB7527" w:rsidP="00B62F8E">
      <w:pPr>
        <w:spacing w:after="0" w:line="240" w:lineRule="auto"/>
        <w:rPr>
          <w:rFonts w:ascii="Times New Roman" w:eastAsia="Times New Roman" w:hAnsi="Times New Roman" w:cs="Times New Roman"/>
          <w:kern w:val="0"/>
          <w14:ligatures w14:val="none"/>
        </w:rPr>
      </w:pPr>
    </w:p>
    <w:p w14:paraId="1A334BC5" w14:textId="38856ECD" w:rsidR="00B62F8E" w:rsidRPr="00B62F8E" w:rsidRDefault="00B62F8E" w:rsidP="00B62F8E">
      <w:pPr>
        <w:spacing w:after="0" w:line="240" w:lineRule="auto"/>
        <w:rPr>
          <w:rFonts w:ascii="Times New Roman" w:eastAsia="Times New Roman" w:hAnsi="Times New Roman" w:cs="Times New Roman"/>
          <w:kern w:val="0"/>
          <w14:ligatures w14:val="none"/>
        </w:rPr>
      </w:pPr>
      <w:r w:rsidRPr="00B62F8E">
        <w:rPr>
          <w:rFonts w:ascii="Times New Roman" w:eastAsia="Times New Roman" w:hAnsi="Times New Roman" w:cs="Times New Roman"/>
          <w:kern w:val="0"/>
          <w14:ligatures w14:val="none"/>
        </w:rPr>
        <w:t>Table S1. Baseline balance (unweighted vs IPTW SMD)</w:t>
      </w:r>
    </w:p>
    <w:tbl>
      <w:tblPr>
        <w:tblStyle w:val="GridTable1Light"/>
        <w:tblW w:w="8069" w:type="dxa"/>
        <w:tblLook w:val="04A0" w:firstRow="1" w:lastRow="0" w:firstColumn="1" w:lastColumn="0" w:noHBand="0" w:noVBand="1"/>
      </w:tblPr>
      <w:tblGrid>
        <w:gridCol w:w="1425"/>
        <w:gridCol w:w="1786"/>
        <w:gridCol w:w="1188"/>
        <w:gridCol w:w="2215"/>
        <w:gridCol w:w="1616"/>
      </w:tblGrid>
      <w:tr w:rsidR="00B62F8E" w:rsidRPr="00B62F8E" w14:paraId="6D32B6F6" w14:textId="77777777" w:rsidTr="00BF32B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425" w:type="dxa"/>
            <w:noWrap/>
            <w:vAlign w:val="center"/>
            <w:hideMark/>
          </w:tcPr>
          <w:p w14:paraId="5C188904" w14:textId="77777777" w:rsidR="00B62F8E" w:rsidRPr="00B62F8E" w:rsidRDefault="00B62F8E" w:rsidP="00BF32B9">
            <w:pPr>
              <w:jc w:val="center"/>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Variable</w:t>
            </w:r>
          </w:p>
        </w:tc>
        <w:tc>
          <w:tcPr>
            <w:tcW w:w="1739" w:type="dxa"/>
            <w:noWrap/>
            <w:vAlign w:val="center"/>
            <w:hideMark/>
          </w:tcPr>
          <w:p w14:paraId="344D4A93" w14:textId="77777777" w:rsidR="00B62F8E" w:rsidRPr="00B62F8E" w:rsidRDefault="00B62F8E" w:rsidP="00BF32B9">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proofErr w:type="spellStart"/>
            <w:r w:rsidRPr="00B62F8E">
              <w:rPr>
                <w:rFonts w:ascii="Aptos Narrow" w:eastAsia="Times New Roman" w:hAnsi="Aptos Narrow" w:cs="Times New Roman"/>
                <w:color w:val="000000"/>
                <w:kern w:val="0"/>
                <w:sz w:val="22"/>
                <w:szCs w:val="22"/>
                <w14:ligatures w14:val="none"/>
              </w:rPr>
              <w:t>SMD_unweighted</w:t>
            </w:r>
            <w:proofErr w:type="spellEnd"/>
          </w:p>
        </w:tc>
        <w:tc>
          <w:tcPr>
            <w:tcW w:w="1164" w:type="dxa"/>
            <w:noWrap/>
            <w:vAlign w:val="center"/>
            <w:hideMark/>
          </w:tcPr>
          <w:p w14:paraId="1432C75E" w14:textId="77777777" w:rsidR="00B62F8E" w:rsidRPr="00B62F8E" w:rsidRDefault="00B62F8E" w:rsidP="00BF32B9">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SMD_IPTW</w:t>
            </w:r>
          </w:p>
        </w:tc>
        <w:tc>
          <w:tcPr>
            <w:tcW w:w="2158" w:type="dxa"/>
            <w:noWrap/>
            <w:vAlign w:val="center"/>
            <w:hideMark/>
          </w:tcPr>
          <w:p w14:paraId="7B170C14" w14:textId="77777777" w:rsidR="00B62F8E" w:rsidRPr="00B62F8E" w:rsidRDefault="00B62F8E" w:rsidP="00BF32B9">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proofErr w:type="spellStart"/>
            <w:r w:rsidRPr="00B62F8E">
              <w:rPr>
                <w:rFonts w:ascii="Aptos Narrow" w:eastAsia="Times New Roman" w:hAnsi="Aptos Narrow" w:cs="Times New Roman"/>
                <w:color w:val="000000"/>
                <w:kern w:val="0"/>
                <w:sz w:val="22"/>
                <w:szCs w:val="22"/>
                <w14:ligatures w14:val="none"/>
              </w:rPr>
              <w:t>Abs_SMD_unweighted</w:t>
            </w:r>
            <w:proofErr w:type="spellEnd"/>
          </w:p>
        </w:tc>
        <w:tc>
          <w:tcPr>
            <w:tcW w:w="1583" w:type="dxa"/>
            <w:noWrap/>
            <w:vAlign w:val="center"/>
            <w:hideMark/>
          </w:tcPr>
          <w:p w14:paraId="3E375E8A" w14:textId="77777777" w:rsidR="00B62F8E" w:rsidRPr="00B62F8E" w:rsidRDefault="00B62F8E" w:rsidP="00BF32B9">
            <w:pPr>
              <w:jc w:val="center"/>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proofErr w:type="spellStart"/>
            <w:r w:rsidRPr="00B62F8E">
              <w:rPr>
                <w:rFonts w:ascii="Aptos Narrow" w:eastAsia="Times New Roman" w:hAnsi="Aptos Narrow" w:cs="Times New Roman"/>
                <w:color w:val="000000"/>
                <w:kern w:val="0"/>
                <w:sz w:val="22"/>
                <w:szCs w:val="22"/>
                <w14:ligatures w14:val="none"/>
              </w:rPr>
              <w:t>Abs_SMD_IPTW</w:t>
            </w:r>
            <w:proofErr w:type="spellEnd"/>
          </w:p>
        </w:tc>
      </w:tr>
      <w:tr w:rsidR="00B62F8E" w:rsidRPr="00B62F8E" w14:paraId="107916D7" w14:textId="77777777" w:rsidTr="00BF32B9">
        <w:trPr>
          <w:trHeight w:val="300"/>
        </w:trPr>
        <w:tc>
          <w:tcPr>
            <w:cnfStyle w:val="001000000000" w:firstRow="0" w:lastRow="0" w:firstColumn="1" w:lastColumn="0" w:oddVBand="0" w:evenVBand="0" w:oddHBand="0" w:evenHBand="0" w:firstRowFirstColumn="0" w:firstRowLastColumn="0" w:lastRowFirstColumn="0" w:lastRowLastColumn="0"/>
            <w:tcW w:w="1425" w:type="dxa"/>
            <w:noWrap/>
            <w:vAlign w:val="center"/>
            <w:hideMark/>
          </w:tcPr>
          <w:p w14:paraId="4DA1EB9C" w14:textId="400BDC77" w:rsidR="00B62F8E" w:rsidRPr="00B62F8E" w:rsidRDefault="00BF32B9" w:rsidP="00BF32B9">
            <w:pPr>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A</w:t>
            </w:r>
            <w:r w:rsidR="00B62F8E" w:rsidRPr="00B62F8E">
              <w:rPr>
                <w:rFonts w:ascii="Aptos Narrow" w:eastAsia="Times New Roman" w:hAnsi="Aptos Narrow" w:cs="Times New Roman"/>
                <w:color w:val="000000"/>
                <w:kern w:val="0"/>
                <w:sz w:val="22"/>
                <w:szCs w:val="22"/>
                <w14:ligatures w14:val="none"/>
              </w:rPr>
              <w:t>ge</w:t>
            </w:r>
          </w:p>
        </w:tc>
        <w:tc>
          <w:tcPr>
            <w:tcW w:w="1739" w:type="dxa"/>
            <w:noWrap/>
            <w:vAlign w:val="center"/>
            <w:hideMark/>
          </w:tcPr>
          <w:p w14:paraId="57D89D68"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0.1899</w:t>
            </w:r>
          </w:p>
        </w:tc>
        <w:tc>
          <w:tcPr>
            <w:tcW w:w="1164" w:type="dxa"/>
            <w:noWrap/>
            <w:vAlign w:val="center"/>
            <w:hideMark/>
          </w:tcPr>
          <w:p w14:paraId="2C1B818A"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0.0119</w:t>
            </w:r>
          </w:p>
        </w:tc>
        <w:tc>
          <w:tcPr>
            <w:tcW w:w="2158" w:type="dxa"/>
            <w:noWrap/>
            <w:vAlign w:val="center"/>
            <w:hideMark/>
          </w:tcPr>
          <w:p w14:paraId="36454E0B"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0.1899</w:t>
            </w:r>
          </w:p>
        </w:tc>
        <w:tc>
          <w:tcPr>
            <w:tcW w:w="1583" w:type="dxa"/>
            <w:noWrap/>
            <w:vAlign w:val="center"/>
            <w:hideMark/>
          </w:tcPr>
          <w:p w14:paraId="1BCFDDB5"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0.0119</w:t>
            </w:r>
          </w:p>
        </w:tc>
      </w:tr>
      <w:tr w:rsidR="00B62F8E" w:rsidRPr="00B62F8E" w14:paraId="3F67AEE3" w14:textId="77777777" w:rsidTr="00BF32B9">
        <w:trPr>
          <w:trHeight w:val="300"/>
        </w:trPr>
        <w:tc>
          <w:tcPr>
            <w:cnfStyle w:val="001000000000" w:firstRow="0" w:lastRow="0" w:firstColumn="1" w:lastColumn="0" w:oddVBand="0" w:evenVBand="0" w:oddHBand="0" w:evenHBand="0" w:firstRowFirstColumn="0" w:firstRowLastColumn="0" w:lastRowFirstColumn="0" w:lastRowLastColumn="0"/>
            <w:tcW w:w="1425" w:type="dxa"/>
            <w:noWrap/>
            <w:vAlign w:val="center"/>
            <w:hideMark/>
          </w:tcPr>
          <w:p w14:paraId="106DDE6C" w14:textId="31D3D43F" w:rsidR="00B62F8E" w:rsidRPr="00B62F8E" w:rsidRDefault="00BF32B9" w:rsidP="00BF32B9">
            <w:pPr>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F</w:t>
            </w:r>
            <w:r w:rsidR="00B62F8E" w:rsidRPr="00B62F8E">
              <w:rPr>
                <w:rFonts w:ascii="Aptos Narrow" w:eastAsia="Times New Roman" w:hAnsi="Aptos Narrow" w:cs="Times New Roman"/>
                <w:color w:val="000000"/>
                <w:kern w:val="0"/>
                <w:sz w:val="22"/>
                <w:szCs w:val="22"/>
                <w14:ligatures w14:val="none"/>
              </w:rPr>
              <w:t>emale</w:t>
            </w:r>
          </w:p>
        </w:tc>
        <w:tc>
          <w:tcPr>
            <w:tcW w:w="1739" w:type="dxa"/>
            <w:noWrap/>
            <w:vAlign w:val="center"/>
            <w:hideMark/>
          </w:tcPr>
          <w:p w14:paraId="61FA7E12"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0.1313</w:t>
            </w:r>
          </w:p>
        </w:tc>
        <w:tc>
          <w:tcPr>
            <w:tcW w:w="1164" w:type="dxa"/>
            <w:noWrap/>
            <w:vAlign w:val="center"/>
            <w:hideMark/>
          </w:tcPr>
          <w:p w14:paraId="61C35227"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0.0489</w:t>
            </w:r>
          </w:p>
        </w:tc>
        <w:tc>
          <w:tcPr>
            <w:tcW w:w="2158" w:type="dxa"/>
            <w:noWrap/>
            <w:vAlign w:val="center"/>
            <w:hideMark/>
          </w:tcPr>
          <w:p w14:paraId="1D33854D"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0.1314</w:t>
            </w:r>
          </w:p>
        </w:tc>
        <w:tc>
          <w:tcPr>
            <w:tcW w:w="1583" w:type="dxa"/>
            <w:noWrap/>
            <w:vAlign w:val="center"/>
            <w:hideMark/>
          </w:tcPr>
          <w:p w14:paraId="5C8D9A5C"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0.0489</w:t>
            </w:r>
          </w:p>
        </w:tc>
      </w:tr>
      <w:tr w:rsidR="00B62F8E" w:rsidRPr="00B62F8E" w14:paraId="63BEC09C" w14:textId="77777777" w:rsidTr="00BF32B9">
        <w:trPr>
          <w:trHeight w:val="300"/>
        </w:trPr>
        <w:tc>
          <w:tcPr>
            <w:cnfStyle w:val="001000000000" w:firstRow="0" w:lastRow="0" w:firstColumn="1" w:lastColumn="0" w:oddVBand="0" w:evenVBand="0" w:oddHBand="0" w:evenHBand="0" w:firstRowFirstColumn="0" w:firstRowLastColumn="0" w:lastRowFirstColumn="0" w:lastRowLastColumn="0"/>
            <w:tcW w:w="1425" w:type="dxa"/>
            <w:noWrap/>
            <w:vAlign w:val="center"/>
            <w:hideMark/>
          </w:tcPr>
          <w:p w14:paraId="07AD10C9" w14:textId="5159768A" w:rsidR="00B62F8E" w:rsidRPr="00B62F8E" w:rsidRDefault="00BF32B9" w:rsidP="00BF32B9">
            <w:pPr>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BMI</w:t>
            </w:r>
          </w:p>
        </w:tc>
        <w:tc>
          <w:tcPr>
            <w:tcW w:w="1739" w:type="dxa"/>
            <w:noWrap/>
            <w:vAlign w:val="center"/>
            <w:hideMark/>
          </w:tcPr>
          <w:p w14:paraId="1569AC17"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0.1204</w:t>
            </w:r>
          </w:p>
        </w:tc>
        <w:tc>
          <w:tcPr>
            <w:tcW w:w="1164" w:type="dxa"/>
            <w:noWrap/>
            <w:vAlign w:val="center"/>
            <w:hideMark/>
          </w:tcPr>
          <w:p w14:paraId="11FBA342"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0.0344</w:t>
            </w:r>
          </w:p>
        </w:tc>
        <w:tc>
          <w:tcPr>
            <w:tcW w:w="2158" w:type="dxa"/>
            <w:noWrap/>
            <w:vAlign w:val="center"/>
            <w:hideMark/>
          </w:tcPr>
          <w:p w14:paraId="7DB2D797"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0.1204</w:t>
            </w:r>
          </w:p>
        </w:tc>
        <w:tc>
          <w:tcPr>
            <w:tcW w:w="1583" w:type="dxa"/>
            <w:noWrap/>
            <w:vAlign w:val="center"/>
            <w:hideMark/>
          </w:tcPr>
          <w:p w14:paraId="5105BA09"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0.0345</w:t>
            </w:r>
          </w:p>
        </w:tc>
      </w:tr>
      <w:tr w:rsidR="00B62F8E" w:rsidRPr="00B62F8E" w14:paraId="4849FEB6" w14:textId="77777777" w:rsidTr="00BF32B9">
        <w:trPr>
          <w:trHeight w:val="300"/>
        </w:trPr>
        <w:tc>
          <w:tcPr>
            <w:cnfStyle w:val="001000000000" w:firstRow="0" w:lastRow="0" w:firstColumn="1" w:lastColumn="0" w:oddVBand="0" w:evenVBand="0" w:oddHBand="0" w:evenHBand="0" w:firstRowFirstColumn="0" w:firstRowLastColumn="0" w:lastRowFirstColumn="0" w:lastRowLastColumn="0"/>
            <w:tcW w:w="1425" w:type="dxa"/>
            <w:noWrap/>
            <w:vAlign w:val="center"/>
            <w:hideMark/>
          </w:tcPr>
          <w:p w14:paraId="27F01C9B" w14:textId="79DCF5AA" w:rsidR="00B62F8E" w:rsidRPr="00B62F8E" w:rsidRDefault="00BF32B9" w:rsidP="00BF32B9">
            <w:pPr>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T2D</w:t>
            </w:r>
          </w:p>
        </w:tc>
        <w:tc>
          <w:tcPr>
            <w:tcW w:w="1739" w:type="dxa"/>
            <w:noWrap/>
            <w:vAlign w:val="center"/>
            <w:hideMark/>
          </w:tcPr>
          <w:p w14:paraId="41862A6B"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w:t>
            </w:r>
          </w:p>
        </w:tc>
        <w:tc>
          <w:tcPr>
            <w:tcW w:w="1164" w:type="dxa"/>
            <w:noWrap/>
            <w:vAlign w:val="center"/>
            <w:hideMark/>
          </w:tcPr>
          <w:p w14:paraId="531628FB"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-0.004</w:t>
            </w:r>
          </w:p>
        </w:tc>
        <w:tc>
          <w:tcPr>
            <w:tcW w:w="2158" w:type="dxa"/>
            <w:noWrap/>
            <w:vAlign w:val="center"/>
            <w:hideMark/>
          </w:tcPr>
          <w:p w14:paraId="142F046C"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w:t>
            </w:r>
          </w:p>
        </w:tc>
        <w:tc>
          <w:tcPr>
            <w:tcW w:w="1583" w:type="dxa"/>
            <w:noWrap/>
            <w:vAlign w:val="center"/>
            <w:hideMark/>
          </w:tcPr>
          <w:p w14:paraId="6AC9518A"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0.004</w:t>
            </w:r>
          </w:p>
        </w:tc>
      </w:tr>
      <w:tr w:rsidR="00B62F8E" w:rsidRPr="00B62F8E" w14:paraId="4C631B8C" w14:textId="77777777" w:rsidTr="00BF32B9">
        <w:trPr>
          <w:trHeight w:val="300"/>
        </w:trPr>
        <w:tc>
          <w:tcPr>
            <w:cnfStyle w:val="001000000000" w:firstRow="0" w:lastRow="0" w:firstColumn="1" w:lastColumn="0" w:oddVBand="0" w:evenVBand="0" w:oddHBand="0" w:evenHBand="0" w:firstRowFirstColumn="0" w:firstRowLastColumn="0" w:lastRowFirstColumn="0" w:lastRowLastColumn="0"/>
            <w:tcW w:w="1425" w:type="dxa"/>
            <w:noWrap/>
            <w:vAlign w:val="center"/>
            <w:hideMark/>
          </w:tcPr>
          <w:p w14:paraId="59BD7564" w14:textId="2199B42B" w:rsidR="00B62F8E" w:rsidRPr="00B62F8E" w:rsidRDefault="00BF32B9" w:rsidP="00BF32B9">
            <w:pPr>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HTN</w:t>
            </w:r>
          </w:p>
        </w:tc>
        <w:tc>
          <w:tcPr>
            <w:tcW w:w="1739" w:type="dxa"/>
            <w:noWrap/>
            <w:vAlign w:val="center"/>
            <w:hideMark/>
          </w:tcPr>
          <w:p w14:paraId="544D5F09"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-0.2032</w:t>
            </w:r>
          </w:p>
        </w:tc>
        <w:tc>
          <w:tcPr>
            <w:tcW w:w="1164" w:type="dxa"/>
            <w:noWrap/>
            <w:vAlign w:val="center"/>
            <w:hideMark/>
          </w:tcPr>
          <w:p w14:paraId="3743B0B7"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-0.0513</w:t>
            </w:r>
          </w:p>
        </w:tc>
        <w:tc>
          <w:tcPr>
            <w:tcW w:w="2158" w:type="dxa"/>
            <w:noWrap/>
            <w:vAlign w:val="center"/>
            <w:hideMark/>
          </w:tcPr>
          <w:p w14:paraId="3ADF2B28"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0.2033</w:t>
            </w:r>
          </w:p>
        </w:tc>
        <w:tc>
          <w:tcPr>
            <w:tcW w:w="1583" w:type="dxa"/>
            <w:noWrap/>
            <w:vAlign w:val="center"/>
            <w:hideMark/>
          </w:tcPr>
          <w:p w14:paraId="1E876CBC"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0.0513</w:t>
            </w:r>
          </w:p>
        </w:tc>
      </w:tr>
      <w:tr w:rsidR="00B62F8E" w:rsidRPr="00B62F8E" w14:paraId="6CB15E1E" w14:textId="77777777" w:rsidTr="00BF32B9">
        <w:trPr>
          <w:trHeight w:val="300"/>
        </w:trPr>
        <w:tc>
          <w:tcPr>
            <w:cnfStyle w:val="001000000000" w:firstRow="0" w:lastRow="0" w:firstColumn="1" w:lastColumn="0" w:oddVBand="0" w:evenVBand="0" w:oddHBand="0" w:evenHBand="0" w:firstRowFirstColumn="0" w:firstRowLastColumn="0" w:lastRowFirstColumn="0" w:lastRowLastColumn="0"/>
            <w:tcW w:w="1425" w:type="dxa"/>
            <w:noWrap/>
            <w:vAlign w:val="center"/>
            <w:hideMark/>
          </w:tcPr>
          <w:p w14:paraId="1124ACFE" w14:textId="1ED4BF94" w:rsidR="00B62F8E" w:rsidRPr="00B62F8E" w:rsidRDefault="00BF32B9" w:rsidP="00BF32B9">
            <w:pPr>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OA</w:t>
            </w:r>
          </w:p>
        </w:tc>
        <w:tc>
          <w:tcPr>
            <w:tcW w:w="1739" w:type="dxa"/>
            <w:noWrap/>
            <w:vAlign w:val="center"/>
            <w:hideMark/>
          </w:tcPr>
          <w:p w14:paraId="470D4BAA"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0.1341</w:t>
            </w:r>
          </w:p>
        </w:tc>
        <w:tc>
          <w:tcPr>
            <w:tcW w:w="1164" w:type="dxa"/>
            <w:noWrap/>
            <w:vAlign w:val="center"/>
            <w:hideMark/>
          </w:tcPr>
          <w:p w14:paraId="641C85DB"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0.032</w:t>
            </w:r>
          </w:p>
        </w:tc>
        <w:tc>
          <w:tcPr>
            <w:tcW w:w="2158" w:type="dxa"/>
            <w:noWrap/>
            <w:vAlign w:val="center"/>
            <w:hideMark/>
          </w:tcPr>
          <w:p w14:paraId="35481F3E"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0.1341</w:t>
            </w:r>
          </w:p>
        </w:tc>
        <w:tc>
          <w:tcPr>
            <w:tcW w:w="1583" w:type="dxa"/>
            <w:noWrap/>
            <w:vAlign w:val="center"/>
            <w:hideMark/>
          </w:tcPr>
          <w:p w14:paraId="2AE34A97"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0.032</w:t>
            </w:r>
          </w:p>
        </w:tc>
      </w:tr>
      <w:tr w:rsidR="00B62F8E" w:rsidRPr="00B62F8E" w14:paraId="7FAD8A06" w14:textId="77777777" w:rsidTr="00BF32B9">
        <w:trPr>
          <w:trHeight w:val="300"/>
        </w:trPr>
        <w:tc>
          <w:tcPr>
            <w:cnfStyle w:val="001000000000" w:firstRow="0" w:lastRow="0" w:firstColumn="1" w:lastColumn="0" w:oddVBand="0" w:evenVBand="0" w:oddHBand="0" w:evenHBand="0" w:firstRowFirstColumn="0" w:firstRowLastColumn="0" w:lastRowFirstColumn="0" w:lastRowLastColumn="0"/>
            <w:tcW w:w="1425" w:type="dxa"/>
            <w:noWrap/>
            <w:vAlign w:val="center"/>
            <w:hideMark/>
          </w:tcPr>
          <w:p w14:paraId="6B7487E0" w14:textId="3753E0C4" w:rsidR="00B62F8E" w:rsidRPr="00B62F8E" w:rsidRDefault="00BF32B9" w:rsidP="00BF32B9">
            <w:pPr>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OSA</w:t>
            </w:r>
          </w:p>
        </w:tc>
        <w:tc>
          <w:tcPr>
            <w:tcW w:w="1739" w:type="dxa"/>
            <w:noWrap/>
            <w:vAlign w:val="center"/>
            <w:hideMark/>
          </w:tcPr>
          <w:p w14:paraId="708D9AA0"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-0.1341</w:t>
            </w:r>
          </w:p>
        </w:tc>
        <w:tc>
          <w:tcPr>
            <w:tcW w:w="1164" w:type="dxa"/>
            <w:noWrap/>
            <w:vAlign w:val="center"/>
            <w:hideMark/>
          </w:tcPr>
          <w:p w14:paraId="0371EEE1"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0.0001</w:t>
            </w:r>
          </w:p>
        </w:tc>
        <w:tc>
          <w:tcPr>
            <w:tcW w:w="2158" w:type="dxa"/>
            <w:noWrap/>
            <w:vAlign w:val="center"/>
            <w:hideMark/>
          </w:tcPr>
          <w:p w14:paraId="44E5DFDE"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0.1341</w:t>
            </w:r>
          </w:p>
        </w:tc>
        <w:tc>
          <w:tcPr>
            <w:tcW w:w="1583" w:type="dxa"/>
            <w:noWrap/>
            <w:vAlign w:val="center"/>
            <w:hideMark/>
          </w:tcPr>
          <w:p w14:paraId="41CA0EFB"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0.0001</w:t>
            </w:r>
          </w:p>
        </w:tc>
      </w:tr>
      <w:tr w:rsidR="00B62F8E" w:rsidRPr="00B62F8E" w14:paraId="047F3644" w14:textId="77777777" w:rsidTr="00BF32B9">
        <w:trPr>
          <w:trHeight w:val="300"/>
        </w:trPr>
        <w:tc>
          <w:tcPr>
            <w:cnfStyle w:val="001000000000" w:firstRow="0" w:lastRow="0" w:firstColumn="1" w:lastColumn="0" w:oddVBand="0" w:evenVBand="0" w:oddHBand="0" w:evenHBand="0" w:firstRowFirstColumn="0" w:firstRowLastColumn="0" w:lastRowFirstColumn="0" w:lastRowLastColumn="0"/>
            <w:tcW w:w="1425" w:type="dxa"/>
            <w:noWrap/>
            <w:vAlign w:val="center"/>
            <w:hideMark/>
          </w:tcPr>
          <w:p w14:paraId="3F94F606" w14:textId="39DCBAC4" w:rsidR="00B62F8E" w:rsidRPr="00B62F8E" w:rsidRDefault="00BF32B9" w:rsidP="00BF32B9">
            <w:pPr>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S</w:t>
            </w:r>
            <w:r w:rsidR="00B62F8E" w:rsidRPr="00B62F8E">
              <w:rPr>
                <w:rFonts w:ascii="Aptos Narrow" w:eastAsia="Times New Roman" w:hAnsi="Aptos Narrow" w:cs="Times New Roman"/>
                <w:color w:val="000000"/>
                <w:kern w:val="0"/>
                <w:sz w:val="22"/>
                <w:szCs w:val="22"/>
                <w14:ligatures w14:val="none"/>
              </w:rPr>
              <w:t>moking</w:t>
            </w:r>
          </w:p>
        </w:tc>
        <w:tc>
          <w:tcPr>
            <w:tcW w:w="1739" w:type="dxa"/>
            <w:noWrap/>
            <w:vAlign w:val="center"/>
            <w:hideMark/>
          </w:tcPr>
          <w:p w14:paraId="50AF291B"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0.1765</w:t>
            </w:r>
          </w:p>
        </w:tc>
        <w:tc>
          <w:tcPr>
            <w:tcW w:w="1164" w:type="dxa"/>
            <w:noWrap/>
            <w:vAlign w:val="center"/>
            <w:hideMark/>
          </w:tcPr>
          <w:p w14:paraId="6AC8E459"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-0.0193</w:t>
            </w:r>
          </w:p>
        </w:tc>
        <w:tc>
          <w:tcPr>
            <w:tcW w:w="2158" w:type="dxa"/>
            <w:noWrap/>
            <w:vAlign w:val="center"/>
            <w:hideMark/>
          </w:tcPr>
          <w:p w14:paraId="37ED079E"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0.1766</w:t>
            </w:r>
          </w:p>
        </w:tc>
        <w:tc>
          <w:tcPr>
            <w:tcW w:w="1583" w:type="dxa"/>
            <w:noWrap/>
            <w:vAlign w:val="center"/>
            <w:hideMark/>
          </w:tcPr>
          <w:p w14:paraId="1B4A17C9"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0.0193</w:t>
            </w:r>
          </w:p>
        </w:tc>
      </w:tr>
      <w:tr w:rsidR="00B62F8E" w:rsidRPr="00B62F8E" w14:paraId="08AC7BB9" w14:textId="77777777" w:rsidTr="00BF32B9">
        <w:trPr>
          <w:trHeight w:val="300"/>
        </w:trPr>
        <w:tc>
          <w:tcPr>
            <w:cnfStyle w:val="001000000000" w:firstRow="0" w:lastRow="0" w:firstColumn="1" w:lastColumn="0" w:oddVBand="0" w:evenVBand="0" w:oddHBand="0" w:evenHBand="0" w:firstRowFirstColumn="0" w:firstRowLastColumn="0" w:lastRowFirstColumn="0" w:lastRowLastColumn="0"/>
            <w:tcW w:w="1425" w:type="dxa"/>
            <w:noWrap/>
            <w:vAlign w:val="center"/>
            <w:hideMark/>
          </w:tcPr>
          <w:p w14:paraId="1F5183AE" w14:textId="65BDAAB6" w:rsidR="00B62F8E" w:rsidRPr="00B62F8E" w:rsidRDefault="00BF32B9" w:rsidP="00BF32B9">
            <w:pPr>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A</w:t>
            </w:r>
            <w:r w:rsidR="00B62F8E" w:rsidRPr="00B62F8E">
              <w:rPr>
                <w:rFonts w:ascii="Aptos Narrow" w:eastAsia="Times New Roman" w:hAnsi="Aptos Narrow" w:cs="Times New Roman"/>
                <w:color w:val="000000"/>
                <w:kern w:val="0"/>
                <w:sz w:val="22"/>
                <w:szCs w:val="22"/>
                <w14:ligatures w14:val="none"/>
              </w:rPr>
              <w:t>lcohol</w:t>
            </w:r>
          </w:p>
        </w:tc>
        <w:tc>
          <w:tcPr>
            <w:tcW w:w="1739" w:type="dxa"/>
            <w:noWrap/>
            <w:vAlign w:val="center"/>
            <w:hideMark/>
          </w:tcPr>
          <w:p w14:paraId="15356DCD"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w:t>
            </w:r>
          </w:p>
        </w:tc>
        <w:tc>
          <w:tcPr>
            <w:tcW w:w="1164" w:type="dxa"/>
            <w:noWrap/>
            <w:vAlign w:val="center"/>
            <w:hideMark/>
          </w:tcPr>
          <w:p w14:paraId="3DC1FECE"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0.0073</w:t>
            </w:r>
          </w:p>
        </w:tc>
        <w:tc>
          <w:tcPr>
            <w:tcW w:w="2158" w:type="dxa"/>
            <w:noWrap/>
            <w:vAlign w:val="center"/>
            <w:hideMark/>
          </w:tcPr>
          <w:p w14:paraId="5658FA8E"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w:t>
            </w:r>
          </w:p>
        </w:tc>
        <w:tc>
          <w:tcPr>
            <w:tcW w:w="1583" w:type="dxa"/>
            <w:noWrap/>
            <w:vAlign w:val="center"/>
            <w:hideMark/>
          </w:tcPr>
          <w:p w14:paraId="2E90EBA2"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0.0073</w:t>
            </w:r>
          </w:p>
        </w:tc>
      </w:tr>
      <w:tr w:rsidR="00B62F8E" w:rsidRPr="00B62F8E" w14:paraId="14148859" w14:textId="77777777" w:rsidTr="00BF32B9">
        <w:trPr>
          <w:trHeight w:val="300"/>
        </w:trPr>
        <w:tc>
          <w:tcPr>
            <w:cnfStyle w:val="001000000000" w:firstRow="0" w:lastRow="0" w:firstColumn="1" w:lastColumn="0" w:oddVBand="0" w:evenVBand="0" w:oddHBand="0" w:evenHBand="0" w:firstRowFirstColumn="0" w:firstRowLastColumn="0" w:lastRowFirstColumn="0" w:lastRowLastColumn="0"/>
            <w:tcW w:w="1425" w:type="dxa"/>
            <w:noWrap/>
            <w:vAlign w:val="center"/>
            <w:hideMark/>
          </w:tcPr>
          <w:p w14:paraId="5C1321D3" w14:textId="0C2E197D" w:rsidR="00B62F8E" w:rsidRPr="00B62F8E" w:rsidRDefault="00BF32B9" w:rsidP="00BF32B9">
            <w:pPr>
              <w:jc w:val="center"/>
              <w:rPr>
                <w:rFonts w:ascii="Aptos Narrow" w:eastAsia="Times New Roman" w:hAnsi="Aptos Narrow" w:cs="Times New Roman"/>
                <w:color w:val="000000"/>
                <w:kern w:val="0"/>
                <w:sz w:val="22"/>
                <w:szCs w:val="22"/>
                <w14:ligatures w14:val="none"/>
              </w:rPr>
            </w:pPr>
            <w:r w:rsidRPr="00BF32B9">
              <w:rPr>
                <w:rFonts w:ascii="Aptos Narrow" w:eastAsia="Times New Roman" w:hAnsi="Aptos Narrow" w:cs="Times New Roman"/>
                <w:color w:val="000000"/>
                <w:kern w:val="0"/>
                <w:sz w:val="22"/>
                <w:szCs w:val="22"/>
                <w14:ligatures w14:val="none"/>
              </w:rPr>
              <w:t>W</w:t>
            </w:r>
            <w:r w:rsidR="00B62F8E" w:rsidRPr="00BF32B9">
              <w:rPr>
                <w:rFonts w:ascii="Aptos Narrow" w:eastAsia="Times New Roman" w:hAnsi="Aptos Narrow" w:cs="Times New Roman"/>
                <w:color w:val="000000"/>
                <w:kern w:val="0"/>
                <w:sz w:val="22"/>
                <w:szCs w:val="22"/>
                <w14:ligatures w14:val="none"/>
              </w:rPr>
              <w:t>eight</w:t>
            </w:r>
          </w:p>
        </w:tc>
        <w:tc>
          <w:tcPr>
            <w:tcW w:w="1739" w:type="dxa"/>
            <w:noWrap/>
            <w:vAlign w:val="center"/>
            <w:hideMark/>
          </w:tcPr>
          <w:p w14:paraId="65058FA4"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0.2089</w:t>
            </w:r>
          </w:p>
        </w:tc>
        <w:tc>
          <w:tcPr>
            <w:tcW w:w="1164" w:type="dxa"/>
            <w:noWrap/>
            <w:vAlign w:val="center"/>
            <w:hideMark/>
          </w:tcPr>
          <w:p w14:paraId="21646750"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-0.0253</w:t>
            </w:r>
          </w:p>
        </w:tc>
        <w:tc>
          <w:tcPr>
            <w:tcW w:w="2158" w:type="dxa"/>
            <w:noWrap/>
            <w:vAlign w:val="center"/>
            <w:hideMark/>
          </w:tcPr>
          <w:p w14:paraId="23DC2EA6"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0.2089</w:t>
            </w:r>
          </w:p>
        </w:tc>
        <w:tc>
          <w:tcPr>
            <w:tcW w:w="1583" w:type="dxa"/>
            <w:noWrap/>
            <w:vAlign w:val="center"/>
            <w:hideMark/>
          </w:tcPr>
          <w:p w14:paraId="50F64DD3"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0.0254</w:t>
            </w:r>
          </w:p>
        </w:tc>
      </w:tr>
      <w:tr w:rsidR="00B62F8E" w:rsidRPr="00B62F8E" w14:paraId="46D00D11" w14:textId="77777777" w:rsidTr="00BF32B9">
        <w:trPr>
          <w:trHeight w:val="300"/>
        </w:trPr>
        <w:tc>
          <w:tcPr>
            <w:cnfStyle w:val="001000000000" w:firstRow="0" w:lastRow="0" w:firstColumn="1" w:lastColumn="0" w:oddVBand="0" w:evenVBand="0" w:oddHBand="0" w:evenHBand="0" w:firstRowFirstColumn="0" w:firstRowLastColumn="0" w:lastRowFirstColumn="0" w:lastRowLastColumn="0"/>
            <w:tcW w:w="1425" w:type="dxa"/>
            <w:noWrap/>
            <w:vAlign w:val="center"/>
            <w:hideMark/>
          </w:tcPr>
          <w:p w14:paraId="72BF7900" w14:textId="3CC4873A" w:rsidR="00B62F8E" w:rsidRPr="00B62F8E" w:rsidRDefault="00BF32B9" w:rsidP="00BF32B9">
            <w:pPr>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H</w:t>
            </w:r>
            <w:r w:rsidR="00B62F8E" w:rsidRPr="00B62F8E">
              <w:rPr>
                <w:rFonts w:ascii="Aptos Narrow" w:eastAsia="Times New Roman" w:hAnsi="Aptos Narrow" w:cs="Times New Roman"/>
                <w:color w:val="000000"/>
                <w:kern w:val="0"/>
                <w:sz w:val="22"/>
                <w:szCs w:val="22"/>
                <w14:ligatures w14:val="none"/>
              </w:rPr>
              <w:t>eight</w:t>
            </w:r>
          </w:p>
        </w:tc>
        <w:tc>
          <w:tcPr>
            <w:tcW w:w="1739" w:type="dxa"/>
            <w:noWrap/>
            <w:vAlign w:val="center"/>
            <w:hideMark/>
          </w:tcPr>
          <w:p w14:paraId="3691D775"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0.0681</w:t>
            </w:r>
          </w:p>
        </w:tc>
        <w:tc>
          <w:tcPr>
            <w:tcW w:w="1164" w:type="dxa"/>
            <w:noWrap/>
            <w:vAlign w:val="center"/>
            <w:hideMark/>
          </w:tcPr>
          <w:p w14:paraId="1403710F"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-0.0452</w:t>
            </w:r>
          </w:p>
        </w:tc>
        <w:tc>
          <w:tcPr>
            <w:tcW w:w="2158" w:type="dxa"/>
            <w:noWrap/>
            <w:vAlign w:val="center"/>
            <w:hideMark/>
          </w:tcPr>
          <w:p w14:paraId="6314FFD9"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0.0681</w:t>
            </w:r>
          </w:p>
        </w:tc>
        <w:tc>
          <w:tcPr>
            <w:tcW w:w="1583" w:type="dxa"/>
            <w:noWrap/>
            <w:vAlign w:val="center"/>
            <w:hideMark/>
          </w:tcPr>
          <w:p w14:paraId="37A818E6" w14:textId="77777777" w:rsidR="00B62F8E" w:rsidRPr="00B62F8E" w:rsidRDefault="00B62F8E"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B62F8E">
              <w:rPr>
                <w:rFonts w:ascii="Aptos Narrow" w:eastAsia="Times New Roman" w:hAnsi="Aptos Narrow" w:cs="Times New Roman"/>
                <w:color w:val="000000"/>
                <w:kern w:val="0"/>
                <w:sz w:val="22"/>
                <w:szCs w:val="22"/>
                <w14:ligatures w14:val="none"/>
              </w:rPr>
              <w:t>0.0452</w:t>
            </w:r>
          </w:p>
        </w:tc>
      </w:tr>
      <w:tr w:rsidR="005133CB" w:rsidRPr="005133CB" w14:paraId="00CCE163" w14:textId="77777777" w:rsidTr="00BF32B9">
        <w:trPr>
          <w:trHeight w:val="300"/>
        </w:trPr>
        <w:tc>
          <w:tcPr>
            <w:cnfStyle w:val="001000000000" w:firstRow="0" w:lastRow="0" w:firstColumn="1" w:lastColumn="0" w:oddVBand="0" w:evenVBand="0" w:oddHBand="0" w:evenHBand="0" w:firstRowFirstColumn="0" w:firstRowLastColumn="0" w:lastRowFirstColumn="0" w:lastRowLastColumn="0"/>
            <w:tcW w:w="1425" w:type="dxa"/>
            <w:noWrap/>
            <w:vAlign w:val="center"/>
            <w:hideMark/>
          </w:tcPr>
          <w:p w14:paraId="4DC7BFC5" w14:textId="66E43855" w:rsidR="005133CB" w:rsidRPr="005133CB" w:rsidRDefault="00BF32B9" w:rsidP="00BF32B9">
            <w:pPr>
              <w:jc w:val="center"/>
              <w:rPr>
                <w:rFonts w:ascii="Aptos Narrow" w:eastAsia="Times New Roman" w:hAnsi="Aptos Narrow" w:cs="Times New Roman"/>
                <w:color w:val="000000"/>
                <w:kern w:val="0"/>
                <w:sz w:val="22"/>
                <w:szCs w:val="22"/>
                <w14:ligatures w14:val="none"/>
              </w:rPr>
            </w:pPr>
            <w:r>
              <w:rPr>
                <w:rFonts w:ascii="Aptos Narrow" w:eastAsia="Times New Roman" w:hAnsi="Aptos Narrow" w:cs="Times New Roman"/>
                <w:color w:val="000000"/>
                <w:kern w:val="0"/>
                <w:sz w:val="22"/>
                <w:szCs w:val="22"/>
                <w14:ligatures w14:val="none"/>
              </w:rPr>
              <w:t>I</w:t>
            </w:r>
            <w:r w:rsidR="005133CB" w:rsidRPr="005133CB">
              <w:rPr>
                <w:rFonts w:ascii="Aptos Narrow" w:eastAsia="Times New Roman" w:hAnsi="Aptos Narrow" w:cs="Times New Roman"/>
                <w:color w:val="000000"/>
                <w:kern w:val="0"/>
                <w:sz w:val="22"/>
                <w:szCs w:val="22"/>
                <w14:ligatures w14:val="none"/>
              </w:rPr>
              <w:t>deal</w:t>
            </w:r>
            <w:r>
              <w:rPr>
                <w:rFonts w:ascii="Aptos Narrow" w:eastAsia="Times New Roman" w:hAnsi="Aptos Narrow" w:cs="Times New Roman"/>
                <w:color w:val="000000"/>
                <w:kern w:val="0"/>
                <w:sz w:val="22"/>
                <w:szCs w:val="22"/>
                <w14:ligatures w14:val="none"/>
              </w:rPr>
              <w:t xml:space="preserve"> </w:t>
            </w:r>
            <w:r w:rsidR="005133CB" w:rsidRPr="005133CB">
              <w:rPr>
                <w:rFonts w:ascii="Aptos Narrow" w:eastAsia="Times New Roman" w:hAnsi="Aptos Narrow" w:cs="Times New Roman"/>
                <w:color w:val="000000"/>
                <w:kern w:val="0"/>
                <w:sz w:val="22"/>
                <w:szCs w:val="22"/>
                <w14:ligatures w14:val="none"/>
              </w:rPr>
              <w:t>weight</w:t>
            </w:r>
          </w:p>
        </w:tc>
        <w:tc>
          <w:tcPr>
            <w:tcW w:w="1739" w:type="dxa"/>
            <w:noWrap/>
            <w:vAlign w:val="center"/>
            <w:hideMark/>
          </w:tcPr>
          <w:p w14:paraId="0314D8D0" w14:textId="77777777" w:rsidR="005133CB" w:rsidRPr="005133CB" w:rsidRDefault="005133CB"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5133CB">
              <w:rPr>
                <w:rFonts w:ascii="Aptos Narrow" w:eastAsia="Times New Roman" w:hAnsi="Aptos Narrow" w:cs="Times New Roman"/>
                <w:color w:val="000000"/>
                <w:kern w:val="0"/>
                <w:sz w:val="22"/>
                <w:szCs w:val="22"/>
                <w14:ligatures w14:val="none"/>
              </w:rPr>
              <w:t>0.0681</w:t>
            </w:r>
          </w:p>
        </w:tc>
        <w:tc>
          <w:tcPr>
            <w:tcW w:w="1164" w:type="dxa"/>
            <w:noWrap/>
            <w:vAlign w:val="center"/>
            <w:hideMark/>
          </w:tcPr>
          <w:p w14:paraId="51CE5AC9" w14:textId="77777777" w:rsidR="005133CB" w:rsidRPr="005133CB" w:rsidRDefault="005133CB"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5133CB">
              <w:rPr>
                <w:rFonts w:ascii="Aptos Narrow" w:eastAsia="Times New Roman" w:hAnsi="Aptos Narrow" w:cs="Times New Roman"/>
                <w:color w:val="000000"/>
                <w:kern w:val="0"/>
                <w:sz w:val="22"/>
                <w:szCs w:val="22"/>
                <w14:ligatures w14:val="none"/>
              </w:rPr>
              <w:t>-0.0452</w:t>
            </w:r>
          </w:p>
        </w:tc>
        <w:tc>
          <w:tcPr>
            <w:tcW w:w="2158" w:type="dxa"/>
            <w:noWrap/>
            <w:vAlign w:val="center"/>
            <w:hideMark/>
          </w:tcPr>
          <w:p w14:paraId="747DA5D6" w14:textId="77777777" w:rsidR="005133CB" w:rsidRPr="005133CB" w:rsidRDefault="005133CB"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5133CB">
              <w:rPr>
                <w:rFonts w:ascii="Aptos Narrow" w:eastAsia="Times New Roman" w:hAnsi="Aptos Narrow" w:cs="Times New Roman"/>
                <w:color w:val="000000"/>
                <w:kern w:val="0"/>
                <w:sz w:val="22"/>
                <w:szCs w:val="22"/>
                <w14:ligatures w14:val="none"/>
              </w:rPr>
              <w:t>0.0681</w:t>
            </w:r>
          </w:p>
        </w:tc>
        <w:tc>
          <w:tcPr>
            <w:tcW w:w="1583" w:type="dxa"/>
            <w:noWrap/>
            <w:vAlign w:val="center"/>
            <w:hideMark/>
          </w:tcPr>
          <w:p w14:paraId="13500B44" w14:textId="77777777" w:rsidR="005133CB" w:rsidRPr="005133CB" w:rsidRDefault="005133CB" w:rsidP="00BF32B9">
            <w:pPr>
              <w:jc w:val="center"/>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color w:val="000000"/>
                <w:kern w:val="0"/>
                <w:sz w:val="22"/>
                <w:szCs w:val="22"/>
                <w14:ligatures w14:val="none"/>
              </w:rPr>
            </w:pPr>
            <w:r w:rsidRPr="005133CB">
              <w:rPr>
                <w:rFonts w:ascii="Aptos Narrow" w:eastAsia="Times New Roman" w:hAnsi="Aptos Narrow" w:cs="Times New Roman"/>
                <w:color w:val="000000"/>
                <w:kern w:val="0"/>
                <w:sz w:val="22"/>
                <w:szCs w:val="22"/>
                <w14:ligatures w14:val="none"/>
              </w:rPr>
              <w:t>0.0452</w:t>
            </w:r>
          </w:p>
        </w:tc>
      </w:tr>
    </w:tbl>
    <w:p w14:paraId="23EA6AE3" w14:textId="42708841" w:rsidR="00B62F8E" w:rsidRPr="00B62F8E" w:rsidRDefault="00B62F8E" w:rsidP="00B62F8E">
      <w:pPr>
        <w:rPr>
          <w:sz w:val="22"/>
          <w:szCs w:val="22"/>
        </w:rPr>
      </w:pPr>
      <w:r w:rsidRPr="00B62F8E">
        <w:rPr>
          <w:sz w:val="20"/>
          <w:szCs w:val="20"/>
        </w:rPr>
        <w:t>Standardized Mean Differences (SMD), and Inverse Probability of Treatment Weighting (IPTW)</w:t>
      </w:r>
    </w:p>
    <w:p w14:paraId="75CE49B3" w14:textId="77777777" w:rsidR="003D16FF" w:rsidRPr="003D16FF" w:rsidRDefault="00171FEA" w:rsidP="003D16FF">
      <w:r w:rsidRPr="00171FEA">
        <w:t xml:space="preserve">Supplementary Table S2 reports results from linear mixed-effects models evaluating longitudinal changes across baseline, 3, 6, and 12 months. </w:t>
      </w:r>
      <w:r w:rsidR="003D16FF" w:rsidRPr="003D16FF">
        <w:t>Linear mixed-effects models demonstrated a statistically significant group × time interaction across all evaluated outcomes, indicating that longitudinal changes differed significantly between the treatment and comparison groups.</w:t>
      </w:r>
    </w:p>
    <w:p w14:paraId="05EE5B15" w14:textId="77777777" w:rsidR="003D16FF" w:rsidRPr="003D16FF" w:rsidRDefault="003D16FF" w:rsidP="003D16FF">
      <w:r w:rsidRPr="003D16FF">
        <w:t>The treatment group exhibited significantly greater reductions over time in weight (β = −3.09 kg/month, p &lt; 0.001) and BMI (β = −1.11 kg/m²/month, p &lt; 0.001), confirming sustained weight loss superiority. Metabolic improvement was also observed, with significant reductions in HbA1c (β = −0.12% per month, p &lt; 0.001).</w:t>
      </w:r>
    </w:p>
    <w:p w14:paraId="2428F332" w14:textId="77777777" w:rsidR="003D16FF" w:rsidRPr="003D16FF" w:rsidRDefault="003D16FF" w:rsidP="003D16FF">
      <w:r w:rsidRPr="003D16FF">
        <w:t>Cardiovascular parameters improved significantly in the treatment group, including systolic BP (β = −0.54 mmHg/month, p &lt; 0.001) and diastolic BP (β = −0.91 mmHg/month, p = 0.003). Sleep-</w:t>
      </w:r>
      <w:r w:rsidRPr="003D16FF">
        <w:lastRenderedPageBreak/>
        <w:t>related outcomes showed marked improvement, with substantial reductions in AHI (β = −1.23 events/hour per month, p &lt; 0.001) and ESS score (β = −0.49 points/month, p &lt; 0.001).</w:t>
      </w:r>
    </w:p>
    <w:p w14:paraId="06A89719" w14:textId="57B0F977" w:rsidR="005133CB" w:rsidRDefault="003D16FF" w:rsidP="00F318F6">
      <w:r w:rsidRPr="003D16FF">
        <w:t>Importantly, structural joint outcomes improved, with significant increases in right and left knee joint space width (β = +0.025 mm/month and +0.030 mm/month, respectively), suggesting potential biomechanical benefit secondary to weight reduction.</w:t>
      </w:r>
    </w:p>
    <w:p w14:paraId="3E315DFB" w14:textId="77777777" w:rsidR="005133CB" w:rsidRDefault="005133CB" w:rsidP="00B62F8E"/>
    <w:p w14:paraId="7490E174" w14:textId="0CB95CFF" w:rsidR="00B62F8E" w:rsidRDefault="00171FEA" w:rsidP="00B62F8E">
      <w:r>
        <w:t>T</w:t>
      </w:r>
      <w:r w:rsidR="00B62F8E" w:rsidRPr="00B62F8E">
        <w:t>able S2. Mixed-effects models (group × time interaction)</w:t>
      </w:r>
    </w:p>
    <w:tbl>
      <w:tblPr>
        <w:tblStyle w:val="GridTable1Light"/>
        <w:tblW w:w="10255" w:type="dxa"/>
        <w:tblLook w:val="04A0" w:firstRow="1" w:lastRow="0" w:firstColumn="1" w:lastColumn="0" w:noHBand="0" w:noVBand="1"/>
      </w:tblPr>
      <w:tblGrid>
        <w:gridCol w:w="2122"/>
        <w:gridCol w:w="3648"/>
        <w:gridCol w:w="1230"/>
        <w:gridCol w:w="2130"/>
        <w:gridCol w:w="1125"/>
      </w:tblGrid>
      <w:tr w:rsidR="00B95991" w:rsidRPr="00B95991" w14:paraId="2204843E" w14:textId="77777777" w:rsidTr="00BF32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73A14666" w14:textId="77777777" w:rsidR="00B95991" w:rsidRPr="00B95991" w:rsidRDefault="00B95991" w:rsidP="00BF32B9">
            <w:pPr>
              <w:jc w:val="center"/>
              <w:rPr>
                <w:b w:val="0"/>
                <w:bCs w:val="0"/>
                <w:sz w:val="22"/>
                <w:szCs w:val="22"/>
              </w:rPr>
            </w:pPr>
            <w:r w:rsidRPr="00B95991">
              <w:rPr>
                <w:sz w:val="22"/>
                <w:szCs w:val="22"/>
              </w:rPr>
              <w:t>Outcome</w:t>
            </w:r>
          </w:p>
        </w:tc>
        <w:tc>
          <w:tcPr>
            <w:tcW w:w="3648" w:type="dxa"/>
            <w:vAlign w:val="center"/>
            <w:hideMark/>
          </w:tcPr>
          <w:p w14:paraId="0D16AE6B" w14:textId="77777777" w:rsidR="00B95991" w:rsidRPr="00B95991" w:rsidRDefault="00B95991" w:rsidP="00BF32B9">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proofErr w:type="spellStart"/>
            <w:r w:rsidRPr="00B95991">
              <w:rPr>
                <w:sz w:val="22"/>
                <w:szCs w:val="22"/>
              </w:rPr>
              <w:t>Interaction_coef_treatXmonth</w:t>
            </w:r>
            <w:proofErr w:type="spellEnd"/>
            <w:r w:rsidRPr="00B95991">
              <w:rPr>
                <w:sz w:val="22"/>
                <w:szCs w:val="22"/>
              </w:rPr>
              <w:t xml:space="preserve"> (β)</w:t>
            </w:r>
          </w:p>
        </w:tc>
        <w:tc>
          <w:tcPr>
            <w:tcW w:w="1230" w:type="dxa"/>
            <w:vAlign w:val="center"/>
            <w:hideMark/>
          </w:tcPr>
          <w:p w14:paraId="3A2DFFFC" w14:textId="77777777" w:rsidR="00B95991" w:rsidRPr="00B95991" w:rsidRDefault="00B95991" w:rsidP="00BF32B9">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B95991">
              <w:rPr>
                <w:sz w:val="22"/>
                <w:szCs w:val="22"/>
              </w:rPr>
              <w:t>SE</w:t>
            </w:r>
          </w:p>
        </w:tc>
        <w:tc>
          <w:tcPr>
            <w:tcW w:w="2130" w:type="dxa"/>
            <w:vAlign w:val="center"/>
            <w:hideMark/>
          </w:tcPr>
          <w:p w14:paraId="11C23A78" w14:textId="77777777" w:rsidR="00B95991" w:rsidRPr="00B95991" w:rsidRDefault="00B95991" w:rsidP="00BF32B9">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B95991">
              <w:rPr>
                <w:sz w:val="22"/>
                <w:szCs w:val="22"/>
              </w:rPr>
              <w:t>95% CI</w:t>
            </w:r>
          </w:p>
        </w:tc>
        <w:tc>
          <w:tcPr>
            <w:tcW w:w="1125" w:type="dxa"/>
            <w:vAlign w:val="center"/>
            <w:hideMark/>
          </w:tcPr>
          <w:p w14:paraId="6349D1DA" w14:textId="77777777" w:rsidR="00B95991" w:rsidRPr="00B95991" w:rsidRDefault="00B95991" w:rsidP="00BF32B9">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B656E2">
              <w:rPr>
                <w:i/>
                <w:iCs/>
                <w:sz w:val="22"/>
                <w:szCs w:val="22"/>
              </w:rPr>
              <w:t>p</w:t>
            </w:r>
            <w:r w:rsidRPr="00B95991">
              <w:rPr>
                <w:sz w:val="22"/>
                <w:szCs w:val="22"/>
              </w:rPr>
              <w:t xml:space="preserve"> value</w:t>
            </w:r>
          </w:p>
        </w:tc>
      </w:tr>
      <w:tr w:rsidR="00B95991" w:rsidRPr="00B95991" w14:paraId="5A48E0A8" w14:textId="77777777" w:rsidTr="00BF32B9">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22521584" w14:textId="77777777" w:rsidR="00B95991" w:rsidRPr="00B95991" w:rsidRDefault="00B95991" w:rsidP="00BF32B9">
            <w:pPr>
              <w:jc w:val="center"/>
              <w:rPr>
                <w:sz w:val="22"/>
                <w:szCs w:val="22"/>
              </w:rPr>
            </w:pPr>
            <w:r w:rsidRPr="00B95991">
              <w:rPr>
                <w:sz w:val="22"/>
                <w:szCs w:val="22"/>
              </w:rPr>
              <w:t>Weight (kg)</w:t>
            </w:r>
          </w:p>
        </w:tc>
        <w:tc>
          <w:tcPr>
            <w:tcW w:w="3648" w:type="dxa"/>
            <w:vAlign w:val="center"/>
            <w:hideMark/>
          </w:tcPr>
          <w:p w14:paraId="42103E5F"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-3.0866</w:t>
            </w:r>
          </w:p>
        </w:tc>
        <w:tc>
          <w:tcPr>
            <w:tcW w:w="1230" w:type="dxa"/>
            <w:vAlign w:val="center"/>
            <w:hideMark/>
          </w:tcPr>
          <w:p w14:paraId="04359F0D"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0.1654</w:t>
            </w:r>
          </w:p>
        </w:tc>
        <w:tc>
          <w:tcPr>
            <w:tcW w:w="2130" w:type="dxa"/>
            <w:vAlign w:val="center"/>
            <w:hideMark/>
          </w:tcPr>
          <w:p w14:paraId="182375B7"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-3.4108 to -2.7624</w:t>
            </w:r>
          </w:p>
        </w:tc>
        <w:tc>
          <w:tcPr>
            <w:tcW w:w="1125" w:type="dxa"/>
            <w:vAlign w:val="center"/>
            <w:hideMark/>
          </w:tcPr>
          <w:p w14:paraId="2367A59B" w14:textId="7BC64ECF"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0FAE47A1" w14:textId="77777777" w:rsidTr="00BF32B9">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38DF7376" w14:textId="77777777" w:rsidR="00B95991" w:rsidRPr="00B95991" w:rsidRDefault="00B95991" w:rsidP="00BF32B9">
            <w:pPr>
              <w:jc w:val="center"/>
              <w:rPr>
                <w:sz w:val="22"/>
                <w:szCs w:val="22"/>
              </w:rPr>
            </w:pPr>
            <w:r w:rsidRPr="00B95991">
              <w:rPr>
                <w:sz w:val="22"/>
                <w:szCs w:val="22"/>
              </w:rPr>
              <w:t>BMI (kg/m²)</w:t>
            </w:r>
          </w:p>
        </w:tc>
        <w:tc>
          <w:tcPr>
            <w:tcW w:w="3648" w:type="dxa"/>
            <w:vAlign w:val="center"/>
            <w:hideMark/>
          </w:tcPr>
          <w:p w14:paraId="6F5D34F4"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-1.1082</w:t>
            </w:r>
          </w:p>
        </w:tc>
        <w:tc>
          <w:tcPr>
            <w:tcW w:w="1230" w:type="dxa"/>
            <w:vAlign w:val="center"/>
            <w:hideMark/>
          </w:tcPr>
          <w:p w14:paraId="65C57298"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0.0599</w:t>
            </w:r>
          </w:p>
        </w:tc>
        <w:tc>
          <w:tcPr>
            <w:tcW w:w="2130" w:type="dxa"/>
            <w:vAlign w:val="center"/>
            <w:hideMark/>
          </w:tcPr>
          <w:p w14:paraId="62CA1818"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-1.2256 to -0.9908</w:t>
            </w:r>
          </w:p>
        </w:tc>
        <w:tc>
          <w:tcPr>
            <w:tcW w:w="1125" w:type="dxa"/>
            <w:vAlign w:val="center"/>
            <w:hideMark/>
          </w:tcPr>
          <w:p w14:paraId="7E0B399D" w14:textId="2A911A19"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0931D497" w14:textId="77777777" w:rsidTr="00BF32B9">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2BFEAE40" w14:textId="77777777" w:rsidR="00B95991" w:rsidRPr="00B95991" w:rsidRDefault="00B95991" w:rsidP="00BF32B9">
            <w:pPr>
              <w:jc w:val="center"/>
              <w:rPr>
                <w:sz w:val="22"/>
                <w:szCs w:val="22"/>
              </w:rPr>
            </w:pPr>
            <w:r w:rsidRPr="00B95991">
              <w:rPr>
                <w:sz w:val="22"/>
                <w:szCs w:val="22"/>
              </w:rPr>
              <w:t>HbA1c (%)</w:t>
            </w:r>
          </w:p>
        </w:tc>
        <w:tc>
          <w:tcPr>
            <w:tcW w:w="3648" w:type="dxa"/>
            <w:vAlign w:val="center"/>
            <w:hideMark/>
          </w:tcPr>
          <w:p w14:paraId="646FA105"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-0.1229</w:t>
            </w:r>
          </w:p>
        </w:tc>
        <w:tc>
          <w:tcPr>
            <w:tcW w:w="1230" w:type="dxa"/>
            <w:vAlign w:val="center"/>
            <w:hideMark/>
          </w:tcPr>
          <w:p w14:paraId="29811981"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0.0203</w:t>
            </w:r>
          </w:p>
        </w:tc>
        <w:tc>
          <w:tcPr>
            <w:tcW w:w="2130" w:type="dxa"/>
            <w:vAlign w:val="center"/>
            <w:hideMark/>
          </w:tcPr>
          <w:p w14:paraId="58BC37CA"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-0.1627 to -0.0831</w:t>
            </w:r>
          </w:p>
        </w:tc>
        <w:tc>
          <w:tcPr>
            <w:tcW w:w="1125" w:type="dxa"/>
            <w:vAlign w:val="center"/>
            <w:hideMark/>
          </w:tcPr>
          <w:p w14:paraId="47B516A0" w14:textId="58F250E3"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49727ED9" w14:textId="77777777" w:rsidTr="00BF32B9">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57B55DE0" w14:textId="77777777" w:rsidR="00B95991" w:rsidRPr="00B95991" w:rsidRDefault="00B95991" w:rsidP="00BF32B9">
            <w:pPr>
              <w:jc w:val="center"/>
              <w:rPr>
                <w:sz w:val="22"/>
                <w:szCs w:val="22"/>
              </w:rPr>
            </w:pPr>
            <w:r w:rsidRPr="00B95991">
              <w:rPr>
                <w:sz w:val="22"/>
                <w:szCs w:val="22"/>
              </w:rPr>
              <w:t>Systolic BP (mmHg)</w:t>
            </w:r>
          </w:p>
        </w:tc>
        <w:tc>
          <w:tcPr>
            <w:tcW w:w="3648" w:type="dxa"/>
            <w:vAlign w:val="center"/>
            <w:hideMark/>
          </w:tcPr>
          <w:p w14:paraId="63DF3CFB"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-0.5442</w:t>
            </w:r>
          </w:p>
        </w:tc>
        <w:tc>
          <w:tcPr>
            <w:tcW w:w="1230" w:type="dxa"/>
            <w:vAlign w:val="center"/>
            <w:hideMark/>
          </w:tcPr>
          <w:p w14:paraId="06334486"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0.1615</w:t>
            </w:r>
          </w:p>
        </w:tc>
        <w:tc>
          <w:tcPr>
            <w:tcW w:w="2130" w:type="dxa"/>
            <w:vAlign w:val="center"/>
            <w:hideMark/>
          </w:tcPr>
          <w:p w14:paraId="77D88C43"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-0.8607 to -0.2277</w:t>
            </w:r>
          </w:p>
        </w:tc>
        <w:tc>
          <w:tcPr>
            <w:tcW w:w="1125" w:type="dxa"/>
            <w:vAlign w:val="center"/>
            <w:hideMark/>
          </w:tcPr>
          <w:p w14:paraId="4989E066" w14:textId="5E9A1305"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68F45844" w14:textId="77777777" w:rsidTr="00BF32B9">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487923D9" w14:textId="77777777" w:rsidR="00B95991" w:rsidRPr="00B95991" w:rsidRDefault="00B95991" w:rsidP="00BF32B9">
            <w:pPr>
              <w:jc w:val="center"/>
              <w:rPr>
                <w:sz w:val="22"/>
                <w:szCs w:val="22"/>
              </w:rPr>
            </w:pPr>
            <w:r w:rsidRPr="00B95991">
              <w:rPr>
                <w:sz w:val="22"/>
                <w:szCs w:val="22"/>
              </w:rPr>
              <w:t>Diastolic BP (mmHg)</w:t>
            </w:r>
          </w:p>
        </w:tc>
        <w:tc>
          <w:tcPr>
            <w:tcW w:w="3648" w:type="dxa"/>
            <w:vAlign w:val="center"/>
            <w:hideMark/>
          </w:tcPr>
          <w:p w14:paraId="6A610D94"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-0.9103</w:t>
            </w:r>
          </w:p>
        </w:tc>
        <w:tc>
          <w:tcPr>
            <w:tcW w:w="1230" w:type="dxa"/>
            <w:vAlign w:val="center"/>
            <w:hideMark/>
          </w:tcPr>
          <w:p w14:paraId="2852C720"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0.3012</w:t>
            </w:r>
          </w:p>
        </w:tc>
        <w:tc>
          <w:tcPr>
            <w:tcW w:w="2130" w:type="dxa"/>
            <w:vAlign w:val="center"/>
            <w:hideMark/>
          </w:tcPr>
          <w:p w14:paraId="0AADE0BC"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-1.5007 to -0.3199</w:t>
            </w:r>
          </w:p>
        </w:tc>
        <w:tc>
          <w:tcPr>
            <w:tcW w:w="1125" w:type="dxa"/>
            <w:vAlign w:val="center"/>
            <w:hideMark/>
          </w:tcPr>
          <w:p w14:paraId="4B93320F" w14:textId="29536D1E"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56932EFE" w14:textId="77777777" w:rsidTr="00BF32B9">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00EB1B59" w14:textId="77777777" w:rsidR="00B95991" w:rsidRPr="00B95991" w:rsidRDefault="00B95991" w:rsidP="00BF32B9">
            <w:pPr>
              <w:jc w:val="center"/>
              <w:rPr>
                <w:sz w:val="22"/>
                <w:szCs w:val="22"/>
              </w:rPr>
            </w:pPr>
            <w:r w:rsidRPr="00B95991">
              <w:rPr>
                <w:sz w:val="22"/>
                <w:szCs w:val="22"/>
              </w:rPr>
              <w:t>Apnea–Hypopnea Index (AHI)</w:t>
            </w:r>
          </w:p>
        </w:tc>
        <w:tc>
          <w:tcPr>
            <w:tcW w:w="3648" w:type="dxa"/>
            <w:vAlign w:val="center"/>
            <w:hideMark/>
          </w:tcPr>
          <w:p w14:paraId="5684D55C"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-1.2314</w:t>
            </w:r>
          </w:p>
        </w:tc>
        <w:tc>
          <w:tcPr>
            <w:tcW w:w="1230" w:type="dxa"/>
            <w:vAlign w:val="center"/>
            <w:hideMark/>
          </w:tcPr>
          <w:p w14:paraId="40FA14D2"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0.1508</w:t>
            </w:r>
          </w:p>
        </w:tc>
        <w:tc>
          <w:tcPr>
            <w:tcW w:w="2130" w:type="dxa"/>
            <w:vAlign w:val="center"/>
            <w:hideMark/>
          </w:tcPr>
          <w:p w14:paraId="54FD9EE5"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-1.5270 to -0.9358</w:t>
            </w:r>
          </w:p>
        </w:tc>
        <w:tc>
          <w:tcPr>
            <w:tcW w:w="1125" w:type="dxa"/>
            <w:vAlign w:val="center"/>
            <w:hideMark/>
          </w:tcPr>
          <w:p w14:paraId="20C59288" w14:textId="5CED9A75"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1966776B" w14:textId="77777777" w:rsidTr="00BF32B9">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677E99F7" w14:textId="77777777" w:rsidR="00B95991" w:rsidRPr="00B95991" w:rsidRDefault="00B95991" w:rsidP="00BF32B9">
            <w:pPr>
              <w:jc w:val="center"/>
              <w:rPr>
                <w:sz w:val="22"/>
                <w:szCs w:val="22"/>
              </w:rPr>
            </w:pPr>
            <w:r w:rsidRPr="00B95991">
              <w:rPr>
                <w:sz w:val="22"/>
                <w:szCs w:val="22"/>
              </w:rPr>
              <w:t>Epworth Sleepiness Scale (ESS)</w:t>
            </w:r>
          </w:p>
        </w:tc>
        <w:tc>
          <w:tcPr>
            <w:tcW w:w="3648" w:type="dxa"/>
            <w:vAlign w:val="center"/>
            <w:hideMark/>
          </w:tcPr>
          <w:p w14:paraId="7EE594CF"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-0.4860</w:t>
            </w:r>
          </w:p>
        </w:tc>
        <w:tc>
          <w:tcPr>
            <w:tcW w:w="1230" w:type="dxa"/>
            <w:vAlign w:val="center"/>
            <w:hideMark/>
          </w:tcPr>
          <w:p w14:paraId="488AC19C"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0.0582</w:t>
            </w:r>
          </w:p>
        </w:tc>
        <w:tc>
          <w:tcPr>
            <w:tcW w:w="2130" w:type="dxa"/>
            <w:vAlign w:val="center"/>
            <w:hideMark/>
          </w:tcPr>
          <w:p w14:paraId="0E32539E"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-0.6001 to -0.3719</w:t>
            </w:r>
          </w:p>
        </w:tc>
        <w:tc>
          <w:tcPr>
            <w:tcW w:w="1125" w:type="dxa"/>
            <w:vAlign w:val="center"/>
            <w:hideMark/>
          </w:tcPr>
          <w:p w14:paraId="3BBE94FD" w14:textId="3FCA0747"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2C36A853" w14:textId="77777777" w:rsidTr="00BF32B9">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0AFFFE9E" w14:textId="77777777" w:rsidR="00B95991" w:rsidRPr="00B95991" w:rsidRDefault="00B95991" w:rsidP="00BF32B9">
            <w:pPr>
              <w:jc w:val="center"/>
              <w:rPr>
                <w:sz w:val="22"/>
                <w:szCs w:val="22"/>
              </w:rPr>
            </w:pPr>
            <w:r w:rsidRPr="00B95991">
              <w:rPr>
                <w:sz w:val="22"/>
                <w:szCs w:val="22"/>
              </w:rPr>
              <w:t>Right Knee Joint Space Width (mm)</w:t>
            </w:r>
          </w:p>
        </w:tc>
        <w:tc>
          <w:tcPr>
            <w:tcW w:w="3648" w:type="dxa"/>
            <w:vAlign w:val="center"/>
            <w:hideMark/>
          </w:tcPr>
          <w:p w14:paraId="19D7B676"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+0.0248</w:t>
            </w:r>
          </w:p>
        </w:tc>
        <w:tc>
          <w:tcPr>
            <w:tcW w:w="1230" w:type="dxa"/>
            <w:vAlign w:val="center"/>
            <w:hideMark/>
          </w:tcPr>
          <w:p w14:paraId="037F9627"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0.0104</w:t>
            </w:r>
          </w:p>
        </w:tc>
        <w:tc>
          <w:tcPr>
            <w:tcW w:w="2130" w:type="dxa"/>
            <w:vAlign w:val="center"/>
            <w:hideMark/>
          </w:tcPr>
          <w:p w14:paraId="50AFFC02"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0.0044 to 0.0452</w:t>
            </w:r>
          </w:p>
        </w:tc>
        <w:tc>
          <w:tcPr>
            <w:tcW w:w="1125" w:type="dxa"/>
            <w:vAlign w:val="center"/>
            <w:hideMark/>
          </w:tcPr>
          <w:p w14:paraId="0A63A827" w14:textId="62CFBA00"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3835ADFD" w14:textId="77777777" w:rsidTr="00BF32B9">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47E44EEB" w14:textId="77777777" w:rsidR="00B95991" w:rsidRPr="00B95991" w:rsidRDefault="00B95991" w:rsidP="00BF32B9">
            <w:pPr>
              <w:jc w:val="center"/>
              <w:rPr>
                <w:sz w:val="22"/>
                <w:szCs w:val="22"/>
              </w:rPr>
            </w:pPr>
            <w:r w:rsidRPr="00B95991">
              <w:rPr>
                <w:sz w:val="22"/>
                <w:szCs w:val="22"/>
              </w:rPr>
              <w:t>Left Knee Joint Space Width (mm)</w:t>
            </w:r>
          </w:p>
        </w:tc>
        <w:tc>
          <w:tcPr>
            <w:tcW w:w="3648" w:type="dxa"/>
            <w:vAlign w:val="center"/>
            <w:hideMark/>
          </w:tcPr>
          <w:p w14:paraId="1CB47440"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+0.0304</w:t>
            </w:r>
          </w:p>
        </w:tc>
        <w:tc>
          <w:tcPr>
            <w:tcW w:w="1230" w:type="dxa"/>
            <w:vAlign w:val="center"/>
            <w:hideMark/>
          </w:tcPr>
          <w:p w14:paraId="51DC7DC9"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0.0061</w:t>
            </w:r>
          </w:p>
        </w:tc>
        <w:tc>
          <w:tcPr>
            <w:tcW w:w="2130" w:type="dxa"/>
            <w:vAlign w:val="center"/>
            <w:hideMark/>
          </w:tcPr>
          <w:p w14:paraId="12D26D40"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0.0184 to 0.0424</w:t>
            </w:r>
          </w:p>
        </w:tc>
        <w:tc>
          <w:tcPr>
            <w:tcW w:w="1125" w:type="dxa"/>
            <w:vAlign w:val="center"/>
            <w:hideMark/>
          </w:tcPr>
          <w:p w14:paraId="2DB5F2F0" w14:textId="0F563ED3"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bl>
    <w:p w14:paraId="5156D2AF" w14:textId="77777777" w:rsidR="00B62F8E" w:rsidRDefault="00B62F8E"/>
    <w:p w14:paraId="47CC6DD5" w14:textId="77777777" w:rsidR="00F318F6" w:rsidRPr="00F318F6" w:rsidRDefault="00171FEA" w:rsidP="00F318F6">
      <w:pPr>
        <w:jc w:val="both"/>
      </w:pPr>
      <w:r w:rsidRPr="00171FEA">
        <w:t xml:space="preserve">Supplementary Table S3 presents regression-adjusted estimates of treatment effect at 12 months using analysis of covariance (ANCOVA). </w:t>
      </w:r>
      <w:r w:rsidR="00F318F6" w:rsidRPr="00F318F6">
        <w:t>Substantial reductions were observed in anthropometric measures. The treatment group had an adjusted mean weight that was 37.9 kg lower and a BMI that was 13.6 kg/m² lower than the comparison group (both p &lt; 0.001), reflecting a large and clinically meaningful reduction in adiposity.</w:t>
      </w:r>
    </w:p>
    <w:p w14:paraId="089E5694" w14:textId="77777777" w:rsidR="00F318F6" w:rsidRPr="00F318F6" w:rsidRDefault="00F318F6" w:rsidP="00F318F6">
      <w:pPr>
        <w:jc w:val="both"/>
      </w:pPr>
      <w:r w:rsidRPr="00F318F6">
        <w:t>Metabolic improvement was also pronounced. HbA1c levels were significantly lower in the treatment group at 12 months, indicating improved glycemic control independent of baseline differences.</w:t>
      </w:r>
    </w:p>
    <w:p w14:paraId="3D6C2935" w14:textId="77777777" w:rsidR="00F318F6" w:rsidRPr="00F318F6" w:rsidRDefault="00F318F6" w:rsidP="00F318F6">
      <w:pPr>
        <w:jc w:val="both"/>
      </w:pPr>
      <w:r w:rsidRPr="00F318F6">
        <w:t>Cardiovascular parameters showed significant improvement, with lower systolic and diastolic blood pressure in the treatment group after adjustment, supporting the cardiometabolic benefit of the intervention.</w:t>
      </w:r>
    </w:p>
    <w:p w14:paraId="1672156B" w14:textId="54ECB5F4" w:rsidR="003D16FF" w:rsidRDefault="00F318F6" w:rsidP="00F318F6">
      <w:pPr>
        <w:jc w:val="both"/>
      </w:pPr>
      <w:r w:rsidRPr="00F318F6">
        <w:lastRenderedPageBreak/>
        <w:t>Sleep-related outcomes improved markedly. Significant reductions in AHI and ESS indicate meaningful improvement in obstructive sleep apnea severity and daytime sleepiness</w:t>
      </w:r>
      <w:r>
        <w:t xml:space="preserve">. </w:t>
      </w:r>
      <w:r w:rsidRPr="00F318F6">
        <w:t>Importantly, structural orthopedic outcomes demonstrated favorable changes. Increases in right and left knee joint space width suggest potential biomechanical or degenerative improvement, likely secondary to substantial weight reduction</w:t>
      </w:r>
      <w:r>
        <w:t>.</w:t>
      </w:r>
    </w:p>
    <w:p w14:paraId="7FB2CCAB" w14:textId="0F2841D4" w:rsidR="00B62F8E" w:rsidRDefault="00B62F8E">
      <w:r>
        <w:t>Table S3. Regression-adjusted (ANCOVA) treatment effect at 12 months</w:t>
      </w:r>
    </w:p>
    <w:tbl>
      <w:tblPr>
        <w:tblStyle w:val="GridTable1Light"/>
        <w:tblW w:w="10343" w:type="dxa"/>
        <w:tblLook w:val="04A0" w:firstRow="1" w:lastRow="0" w:firstColumn="1" w:lastColumn="0" w:noHBand="0" w:noVBand="1"/>
      </w:tblPr>
      <w:tblGrid>
        <w:gridCol w:w="3537"/>
        <w:gridCol w:w="2486"/>
        <w:gridCol w:w="1158"/>
        <w:gridCol w:w="1899"/>
        <w:gridCol w:w="1263"/>
      </w:tblGrid>
      <w:tr w:rsidR="00B95991" w:rsidRPr="00B95991" w14:paraId="6354ADA7" w14:textId="77777777" w:rsidTr="00B656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DAB72E0" w14:textId="77777777" w:rsidR="00B95991" w:rsidRPr="00B95991" w:rsidRDefault="00B95991" w:rsidP="00BF32B9">
            <w:pPr>
              <w:jc w:val="center"/>
              <w:rPr>
                <w:b w:val="0"/>
                <w:bCs w:val="0"/>
                <w:sz w:val="22"/>
                <w:szCs w:val="22"/>
              </w:rPr>
            </w:pPr>
            <w:r w:rsidRPr="00B95991">
              <w:rPr>
                <w:sz w:val="22"/>
                <w:szCs w:val="22"/>
              </w:rPr>
              <w:t>Outcome</w:t>
            </w:r>
          </w:p>
        </w:tc>
        <w:tc>
          <w:tcPr>
            <w:tcW w:w="2486" w:type="dxa"/>
            <w:vAlign w:val="center"/>
            <w:hideMark/>
          </w:tcPr>
          <w:p w14:paraId="6562DD4E" w14:textId="77777777" w:rsidR="00B95991" w:rsidRPr="00B95991" w:rsidRDefault="00B95991" w:rsidP="00BF32B9">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B95991">
              <w:rPr>
                <w:sz w:val="22"/>
                <w:szCs w:val="22"/>
              </w:rPr>
              <w:t>Adjusted Treatment Effect (β)</w:t>
            </w:r>
          </w:p>
        </w:tc>
        <w:tc>
          <w:tcPr>
            <w:tcW w:w="1158" w:type="dxa"/>
            <w:vAlign w:val="center"/>
            <w:hideMark/>
          </w:tcPr>
          <w:p w14:paraId="1CD0E2C3" w14:textId="77777777" w:rsidR="00B95991" w:rsidRPr="00B95991" w:rsidRDefault="00B95991" w:rsidP="00BF32B9">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B95991">
              <w:rPr>
                <w:sz w:val="22"/>
                <w:szCs w:val="22"/>
              </w:rPr>
              <w:t>SE</w:t>
            </w:r>
          </w:p>
        </w:tc>
        <w:tc>
          <w:tcPr>
            <w:tcW w:w="0" w:type="auto"/>
            <w:vAlign w:val="center"/>
            <w:hideMark/>
          </w:tcPr>
          <w:p w14:paraId="14981C1F" w14:textId="77777777" w:rsidR="00B95991" w:rsidRPr="00B95991" w:rsidRDefault="00B95991" w:rsidP="00BF32B9">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B95991">
              <w:rPr>
                <w:sz w:val="22"/>
                <w:szCs w:val="22"/>
              </w:rPr>
              <w:t>95% CI</w:t>
            </w:r>
          </w:p>
        </w:tc>
        <w:tc>
          <w:tcPr>
            <w:tcW w:w="1263" w:type="dxa"/>
            <w:vAlign w:val="center"/>
            <w:hideMark/>
          </w:tcPr>
          <w:p w14:paraId="2A7B9D77" w14:textId="77777777" w:rsidR="00B95991" w:rsidRPr="00B95991" w:rsidRDefault="00B95991" w:rsidP="00BF32B9">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B95991">
              <w:rPr>
                <w:sz w:val="22"/>
                <w:szCs w:val="22"/>
              </w:rPr>
              <w:t>p value</w:t>
            </w:r>
          </w:p>
        </w:tc>
      </w:tr>
      <w:tr w:rsidR="00B95991" w:rsidRPr="00B95991" w14:paraId="59BD4C9C" w14:textId="77777777" w:rsidTr="00B656E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96CE30" w14:textId="77777777" w:rsidR="00B95991" w:rsidRPr="00B95991" w:rsidRDefault="00B95991" w:rsidP="00BF32B9">
            <w:pPr>
              <w:jc w:val="center"/>
              <w:rPr>
                <w:sz w:val="22"/>
                <w:szCs w:val="22"/>
              </w:rPr>
            </w:pPr>
            <w:r w:rsidRPr="00B95991">
              <w:rPr>
                <w:sz w:val="22"/>
                <w:szCs w:val="22"/>
              </w:rPr>
              <w:t>Weight at 12 months (kg)</w:t>
            </w:r>
          </w:p>
        </w:tc>
        <w:tc>
          <w:tcPr>
            <w:tcW w:w="2486" w:type="dxa"/>
            <w:vAlign w:val="center"/>
            <w:hideMark/>
          </w:tcPr>
          <w:p w14:paraId="2E70DE35"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-37.897</w:t>
            </w:r>
          </w:p>
        </w:tc>
        <w:tc>
          <w:tcPr>
            <w:tcW w:w="1158" w:type="dxa"/>
            <w:vAlign w:val="center"/>
            <w:hideMark/>
          </w:tcPr>
          <w:p w14:paraId="3B0957C5"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1.566</w:t>
            </w:r>
          </w:p>
        </w:tc>
        <w:tc>
          <w:tcPr>
            <w:tcW w:w="0" w:type="auto"/>
            <w:vAlign w:val="center"/>
            <w:hideMark/>
          </w:tcPr>
          <w:p w14:paraId="7078E31A"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-40.966 to -34.828</w:t>
            </w:r>
          </w:p>
        </w:tc>
        <w:tc>
          <w:tcPr>
            <w:tcW w:w="1263" w:type="dxa"/>
            <w:vAlign w:val="center"/>
            <w:hideMark/>
          </w:tcPr>
          <w:p w14:paraId="68AD41AC" w14:textId="05336E6B"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45CC74CE" w14:textId="77777777" w:rsidTr="00B656E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E30D071" w14:textId="77777777" w:rsidR="00B95991" w:rsidRPr="00B95991" w:rsidRDefault="00B95991" w:rsidP="00BF32B9">
            <w:pPr>
              <w:jc w:val="center"/>
              <w:rPr>
                <w:sz w:val="22"/>
                <w:szCs w:val="22"/>
              </w:rPr>
            </w:pPr>
            <w:r w:rsidRPr="00B95991">
              <w:rPr>
                <w:sz w:val="22"/>
                <w:szCs w:val="22"/>
              </w:rPr>
              <w:t>BMI at 12 months (kg/m²)</w:t>
            </w:r>
          </w:p>
        </w:tc>
        <w:tc>
          <w:tcPr>
            <w:tcW w:w="2486" w:type="dxa"/>
            <w:vAlign w:val="center"/>
            <w:hideMark/>
          </w:tcPr>
          <w:p w14:paraId="41B95BBD"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-13.590</w:t>
            </w:r>
          </w:p>
        </w:tc>
        <w:tc>
          <w:tcPr>
            <w:tcW w:w="1158" w:type="dxa"/>
            <w:vAlign w:val="center"/>
            <w:hideMark/>
          </w:tcPr>
          <w:p w14:paraId="7F012F95"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0.554</w:t>
            </w:r>
          </w:p>
        </w:tc>
        <w:tc>
          <w:tcPr>
            <w:tcW w:w="0" w:type="auto"/>
            <w:vAlign w:val="center"/>
            <w:hideMark/>
          </w:tcPr>
          <w:p w14:paraId="6B8B63BB"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-14.675 to -12.505</w:t>
            </w:r>
          </w:p>
        </w:tc>
        <w:tc>
          <w:tcPr>
            <w:tcW w:w="1263" w:type="dxa"/>
            <w:vAlign w:val="center"/>
            <w:hideMark/>
          </w:tcPr>
          <w:p w14:paraId="5D7DFFD5" w14:textId="558BAEB7"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1C2CCFAA" w14:textId="77777777" w:rsidTr="00B656E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A9E84A" w14:textId="77777777" w:rsidR="00B95991" w:rsidRPr="00B95991" w:rsidRDefault="00B95991" w:rsidP="00BF32B9">
            <w:pPr>
              <w:jc w:val="center"/>
              <w:rPr>
                <w:sz w:val="22"/>
                <w:szCs w:val="22"/>
              </w:rPr>
            </w:pPr>
            <w:r w:rsidRPr="00B95991">
              <w:rPr>
                <w:sz w:val="22"/>
                <w:szCs w:val="22"/>
              </w:rPr>
              <w:t>HbA1c at 12 months (%)</w:t>
            </w:r>
          </w:p>
        </w:tc>
        <w:tc>
          <w:tcPr>
            <w:tcW w:w="2486" w:type="dxa"/>
            <w:vAlign w:val="center"/>
            <w:hideMark/>
          </w:tcPr>
          <w:p w14:paraId="44413679"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-1.482</w:t>
            </w:r>
          </w:p>
        </w:tc>
        <w:tc>
          <w:tcPr>
            <w:tcW w:w="1158" w:type="dxa"/>
            <w:vAlign w:val="center"/>
            <w:hideMark/>
          </w:tcPr>
          <w:p w14:paraId="14D3A6C3"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0.141</w:t>
            </w:r>
          </w:p>
        </w:tc>
        <w:tc>
          <w:tcPr>
            <w:tcW w:w="0" w:type="auto"/>
            <w:vAlign w:val="center"/>
            <w:hideMark/>
          </w:tcPr>
          <w:p w14:paraId="16B14269"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-1.759 to -1.205</w:t>
            </w:r>
          </w:p>
        </w:tc>
        <w:tc>
          <w:tcPr>
            <w:tcW w:w="1263" w:type="dxa"/>
            <w:vAlign w:val="center"/>
            <w:hideMark/>
          </w:tcPr>
          <w:p w14:paraId="294D7922" w14:textId="0E4EB254"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1C5B0BBD" w14:textId="77777777" w:rsidTr="00B656E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E277D14" w14:textId="77777777" w:rsidR="00B95991" w:rsidRPr="00B95991" w:rsidRDefault="00B95991" w:rsidP="00BF32B9">
            <w:pPr>
              <w:jc w:val="center"/>
              <w:rPr>
                <w:sz w:val="22"/>
                <w:szCs w:val="22"/>
              </w:rPr>
            </w:pPr>
            <w:r w:rsidRPr="00B95991">
              <w:rPr>
                <w:sz w:val="22"/>
                <w:szCs w:val="22"/>
              </w:rPr>
              <w:t>Systolic BP at 12 months (mmHg)</w:t>
            </w:r>
          </w:p>
        </w:tc>
        <w:tc>
          <w:tcPr>
            <w:tcW w:w="2486" w:type="dxa"/>
            <w:vAlign w:val="center"/>
            <w:hideMark/>
          </w:tcPr>
          <w:p w14:paraId="4BF65DAE"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-6.524</w:t>
            </w:r>
          </w:p>
        </w:tc>
        <w:tc>
          <w:tcPr>
            <w:tcW w:w="1158" w:type="dxa"/>
            <w:vAlign w:val="center"/>
            <w:hideMark/>
          </w:tcPr>
          <w:p w14:paraId="4574A7F7"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1.933</w:t>
            </w:r>
          </w:p>
        </w:tc>
        <w:tc>
          <w:tcPr>
            <w:tcW w:w="0" w:type="auto"/>
            <w:vAlign w:val="center"/>
            <w:hideMark/>
          </w:tcPr>
          <w:p w14:paraId="275C7AB6"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-10.311 to -2.737</w:t>
            </w:r>
          </w:p>
        </w:tc>
        <w:tc>
          <w:tcPr>
            <w:tcW w:w="1263" w:type="dxa"/>
            <w:vAlign w:val="center"/>
            <w:hideMark/>
          </w:tcPr>
          <w:p w14:paraId="21DC52A3" w14:textId="577D682B"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56B0680D" w14:textId="77777777" w:rsidTr="00B656E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BDE00F0" w14:textId="77777777" w:rsidR="00B95991" w:rsidRPr="00B95991" w:rsidRDefault="00B95991" w:rsidP="00BF32B9">
            <w:pPr>
              <w:jc w:val="center"/>
              <w:rPr>
                <w:sz w:val="22"/>
                <w:szCs w:val="22"/>
              </w:rPr>
            </w:pPr>
            <w:r w:rsidRPr="00B95991">
              <w:rPr>
                <w:sz w:val="22"/>
                <w:szCs w:val="22"/>
              </w:rPr>
              <w:t>Diastolic BP at 12 months (mmHg)</w:t>
            </w:r>
          </w:p>
        </w:tc>
        <w:tc>
          <w:tcPr>
            <w:tcW w:w="2486" w:type="dxa"/>
            <w:vAlign w:val="center"/>
            <w:hideMark/>
          </w:tcPr>
          <w:p w14:paraId="3ED6E8A1"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-10.923</w:t>
            </w:r>
          </w:p>
        </w:tc>
        <w:tc>
          <w:tcPr>
            <w:tcW w:w="1158" w:type="dxa"/>
            <w:vAlign w:val="center"/>
            <w:hideMark/>
          </w:tcPr>
          <w:p w14:paraId="55A742A0"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3.612</w:t>
            </w:r>
          </w:p>
        </w:tc>
        <w:tc>
          <w:tcPr>
            <w:tcW w:w="0" w:type="auto"/>
            <w:vAlign w:val="center"/>
            <w:hideMark/>
          </w:tcPr>
          <w:p w14:paraId="0CB3E1AC"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-18.001 to -3.845</w:t>
            </w:r>
          </w:p>
        </w:tc>
        <w:tc>
          <w:tcPr>
            <w:tcW w:w="1263" w:type="dxa"/>
            <w:vAlign w:val="center"/>
            <w:hideMark/>
          </w:tcPr>
          <w:p w14:paraId="6BE54C63" w14:textId="2F7B50C7"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2C36C998" w14:textId="77777777" w:rsidTr="00B656E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949EC0" w14:textId="77777777" w:rsidR="00B95991" w:rsidRPr="00B95991" w:rsidRDefault="00B95991" w:rsidP="00BF32B9">
            <w:pPr>
              <w:jc w:val="center"/>
              <w:rPr>
                <w:sz w:val="22"/>
                <w:szCs w:val="22"/>
              </w:rPr>
            </w:pPr>
            <w:r w:rsidRPr="00B95991">
              <w:rPr>
                <w:sz w:val="22"/>
                <w:szCs w:val="22"/>
              </w:rPr>
              <w:t>AHI at 12 months</w:t>
            </w:r>
          </w:p>
        </w:tc>
        <w:tc>
          <w:tcPr>
            <w:tcW w:w="2486" w:type="dxa"/>
            <w:vAlign w:val="center"/>
            <w:hideMark/>
          </w:tcPr>
          <w:p w14:paraId="089B1866"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-14.776</w:t>
            </w:r>
          </w:p>
        </w:tc>
        <w:tc>
          <w:tcPr>
            <w:tcW w:w="1158" w:type="dxa"/>
            <w:vAlign w:val="center"/>
            <w:hideMark/>
          </w:tcPr>
          <w:p w14:paraId="4103C311"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1.810</w:t>
            </w:r>
          </w:p>
        </w:tc>
        <w:tc>
          <w:tcPr>
            <w:tcW w:w="0" w:type="auto"/>
            <w:vAlign w:val="center"/>
            <w:hideMark/>
          </w:tcPr>
          <w:p w14:paraId="485F3DFD"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-18.323 to -11.229</w:t>
            </w:r>
          </w:p>
        </w:tc>
        <w:tc>
          <w:tcPr>
            <w:tcW w:w="1263" w:type="dxa"/>
            <w:vAlign w:val="center"/>
            <w:hideMark/>
          </w:tcPr>
          <w:p w14:paraId="08D9F273" w14:textId="5174FC18"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3C8CEF0E" w14:textId="77777777" w:rsidTr="00B656E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CE09F50" w14:textId="77777777" w:rsidR="00B95991" w:rsidRPr="00B95991" w:rsidRDefault="00B95991" w:rsidP="00BF32B9">
            <w:pPr>
              <w:jc w:val="center"/>
              <w:rPr>
                <w:sz w:val="22"/>
                <w:szCs w:val="22"/>
              </w:rPr>
            </w:pPr>
            <w:r w:rsidRPr="00B95991">
              <w:rPr>
                <w:sz w:val="22"/>
                <w:szCs w:val="22"/>
              </w:rPr>
              <w:t>ESS at 12 months</w:t>
            </w:r>
          </w:p>
        </w:tc>
        <w:tc>
          <w:tcPr>
            <w:tcW w:w="2486" w:type="dxa"/>
            <w:vAlign w:val="center"/>
            <w:hideMark/>
          </w:tcPr>
          <w:p w14:paraId="604CAAC2"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-5.833</w:t>
            </w:r>
          </w:p>
        </w:tc>
        <w:tc>
          <w:tcPr>
            <w:tcW w:w="1158" w:type="dxa"/>
            <w:vAlign w:val="center"/>
            <w:hideMark/>
          </w:tcPr>
          <w:p w14:paraId="783FC77D"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0.698</w:t>
            </w:r>
          </w:p>
        </w:tc>
        <w:tc>
          <w:tcPr>
            <w:tcW w:w="0" w:type="auto"/>
            <w:vAlign w:val="center"/>
            <w:hideMark/>
          </w:tcPr>
          <w:p w14:paraId="41D4FFA5"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-7.201 to -4.465</w:t>
            </w:r>
          </w:p>
        </w:tc>
        <w:tc>
          <w:tcPr>
            <w:tcW w:w="1263" w:type="dxa"/>
            <w:vAlign w:val="center"/>
            <w:hideMark/>
          </w:tcPr>
          <w:p w14:paraId="236032E3" w14:textId="371D1F09"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1E8D43D0" w14:textId="77777777" w:rsidTr="00B656E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BBB598" w14:textId="77777777" w:rsidR="00B95991" w:rsidRPr="00B95991" w:rsidRDefault="00B95991" w:rsidP="00BF32B9">
            <w:pPr>
              <w:jc w:val="center"/>
              <w:rPr>
                <w:sz w:val="22"/>
                <w:szCs w:val="22"/>
              </w:rPr>
            </w:pPr>
            <w:r w:rsidRPr="00B95991">
              <w:rPr>
                <w:sz w:val="22"/>
                <w:szCs w:val="22"/>
              </w:rPr>
              <w:t>Right Knee JSW at 12 months (mm)</w:t>
            </w:r>
          </w:p>
        </w:tc>
        <w:tc>
          <w:tcPr>
            <w:tcW w:w="2486" w:type="dxa"/>
            <w:vAlign w:val="center"/>
            <w:hideMark/>
          </w:tcPr>
          <w:p w14:paraId="0D3242F7"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+0.298</w:t>
            </w:r>
          </w:p>
        </w:tc>
        <w:tc>
          <w:tcPr>
            <w:tcW w:w="1158" w:type="dxa"/>
            <w:vAlign w:val="center"/>
            <w:hideMark/>
          </w:tcPr>
          <w:p w14:paraId="5C3FC0CA"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0.087</w:t>
            </w:r>
          </w:p>
        </w:tc>
        <w:tc>
          <w:tcPr>
            <w:tcW w:w="0" w:type="auto"/>
            <w:vAlign w:val="center"/>
            <w:hideMark/>
          </w:tcPr>
          <w:p w14:paraId="14D3F507"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0.127 to 0.469</w:t>
            </w:r>
          </w:p>
        </w:tc>
        <w:tc>
          <w:tcPr>
            <w:tcW w:w="1263" w:type="dxa"/>
            <w:vAlign w:val="center"/>
            <w:hideMark/>
          </w:tcPr>
          <w:p w14:paraId="226BD9BF" w14:textId="70C86AA3"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B95991" w:rsidRPr="00B95991" w14:paraId="7F0C7670" w14:textId="77777777" w:rsidTr="00B656E2">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6F4AB8" w14:textId="77777777" w:rsidR="00B95991" w:rsidRPr="00B95991" w:rsidRDefault="00B95991" w:rsidP="00BF32B9">
            <w:pPr>
              <w:jc w:val="center"/>
              <w:rPr>
                <w:sz w:val="22"/>
                <w:szCs w:val="22"/>
              </w:rPr>
            </w:pPr>
            <w:r w:rsidRPr="00B95991">
              <w:rPr>
                <w:sz w:val="22"/>
                <w:szCs w:val="22"/>
              </w:rPr>
              <w:t>Left Knee JSW at 12 months (mm)</w:t>
            </w:r>
          </w:p>
        </w:tc>
        <w:tc>
          <w:tcPr>
            <w:tcW w:w="2486" w:type="dxa"/>
            <w:vAlign w:val="center"/>
            <w:hideMark/>
          </w:tcPr>
          <w:p w14:paraId="44924B9C"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+0.366</w:t>
            </w:r>
          </w:p>
        </w:tc>
        <w:tc>
          <w:tcPr>
            <w:tcW w:w="1158" w:type="dxa"/>
            <w:vAlign w:val="center"/>
            <w:hideMark/>
          </w:tcPr>
          <w:p w14:paraId="3B6B868D"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0.073</w:t>
            </w:r>
          </w:p>
        </w:tc>
        <w:tc>
          <w:tcPr>
            <w:tcW w:w="0" w:type="auto"/>
            <w:vAlign w:val="center"/>
            <w:hideMark/>
          </w:tcPr>
          <w:p w14:paraId="271591C3" w14:textId="77777777" w:rsidR="00B95991" w:rsidRPr="00B95991" w:rsidRDefault="00B95991"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95991">
              <w:rPr>
                <w:sz w:val="22"/>
                <w:szCs w:val="22"/>
              </w:rPr>
              <w:t>0.222 to 0.510</w:t>
            </w:r>
          </w:p>
        </w:tc>
        <w:tc>
          <w:tcPr>
            <w:tcW w:w="1263" w:type="dxa"/>
            <w:vAlign w:val="center"/>
            <w:hideMark/>
          </w:tcPr>
          <w:p w14:paraId="0185A4B5" w14:textId="1B75DC2D" w:rsidR="00B95991" w:rsidRPr="00B95991"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bl>
    <w:p w14:paraId="7F9E1D68" w14:textId="77777777" w:rsidR="00B62F8E" w:rsidRDefault="00B62F8E"/>
    <w:p w14:paraId="2E37DACC" w14:textId="1DED2321" w:rsidR="00171FEA" w:rsidRDefault="00171FEA" w:rsidP="00171FEA">
      <w:pPr>
        <w:jc w:val="both"/>
      </w:pPr>
      <w:r w:rsidRPr="00171FEA">
        <w:t>Supplementary Table S4 presents the inverse probability of treatment weighting (IPTW)-adjusted analysis of the primary binary endpoint, defined as reduction or discontinuation of medication for at least one obesity-related comorbidity at 12 months. After weighting to achieve covariate balance across baseline characteristics, the estimated probability of medication reduction was 1.00 in the laparoscopic sleeve gastrectomy (LSG) group compared with 0.094 in the conservative management group. This corresponds to an absolute risk difference of 0.906, indicating a 90.6% higher probability of medication reduction associated with surgical treatment. Bootstrap resampling with 2,000 iterations was used to derive 95% confidence intervals, which ranged from 0.789 to 1.000 and did not cross zero, confirming statistical significance. These findings demonstrate that even after rigorous adjustment for measured confounding through propensity score weighting, LSG remained strongly associated with a substantial reduction in pharmacologic treatment burden. Given the clinical importance of minimizing polypharmacy in elderly populations, this result supports the robustness and clinical relevance of the observed treatment effect.</w:t>
      </w:r>
    </w:p>
    <w:p w14:paraId="689E793A" w14:textId="77777777" w:rsidR="00EE5CA0" w:rsidRDefault="00EE5CA0" w:rsidP="00171FEA"/>
    <w:p w14:paraId="116306BF" w14:textId="77777777" w:rsidR="00EE5CA0" w:rsidRDefault="00EE5CA0" w:rsidP="00171FEA"/>
    <w:p w14:paraId="168E717F" w14:textId="229D8E26" w:rsidR="00171FEA" w:rsidRDefault="00171FEA" w:rsidP="00171FEA">
      <w:r>
        <w:t xml:space="preserve">Table S4. </w:t>
      </w:r>
      <w:r w:rsidRPr="00171FEA">
        <w:t>IPTW-Weighted Analysis of Medication Reduction Outcome or Discontinuation of Medication for ≥1 Comorbidity</w:t>
      </w:r>
    </w:p>
    <w:tbl>
      <w:tblPr>
        <w:tblStyle w:val="GridTable1Light"/>
        <w:tblW w:w="9249" w:type="dxa"/>
        <w:tblLook w:val="04A0" w:firstRow="1" w:lastRow="0" w:firstColumn="1" w:lastColumn="0" w:noHBand="0" w:noVBand="1"/>
      </w:tblPr>
      <w:tblGrid>
        <w:gridCol w:w="5556"/>
        <w:gridCol w:w="1365"/>
        <w:gridCol w:w="2328"/>
      </w:tblGrid>
      <w:tr w:rsidR="00171FEA" w:rsidRPr="00171FEA" w14:paraId="42E06FDB" w14:textId="77777777" w:rsidTr="00BF32B9">
        <w:trPr>
          <w:cnfStyle w:val="100000000000" w:firstRow="1" w:lastRow="0" w:firstColumn="0" w:lastColumn="0" w:oddVBand="0" w:evenVBand="0" w:oddHBand="0" w:evenHBand="0" w:firstRowFirstColumn="0" w:firstRowLastColumn="0" w:lastRowFirstColumn="0" w:lastRowLastColumn="0"/>
          <w:trHeight w:val="43"/>
        </w:trPr>
        <w:tc>
          <w:tcPr>
            <w:cnfStyle w:val="001000000000" w:firstRow="0" w:lastRow="0" w:firstColumn="1" w:lastColumn="0" w:oddVBand="0" w:evenVBand="0" w:oddHBand="0" w:evenHBand="0" w:firstRowFirstColumn="0" w:firstRowLastColumn="0" w:lastRowFirstColumn="0" w:lastRowLastColumn="0"/>
            <w:tcW w:w="0" w:type="auto"/>
            <w:hideMark/>
          </w:tcPr>
          <w:p w14:paraId="5398615B" w14:textId="77777777" w:rsidR="00171FEA" w:rsidRPr="00171FEA" w:rsidRDefault="00171FEA" w:rsidP="00171FEA">
            <w:pPr>
              <w:rPr>
                <w:b w:val="0"/>
                <w:bCs w:val="0"/>
                <w:sz w:val="20"/>
                <w:szCs w:val="20"/>
              </w:rPr>
            </w:pPr>
            <w:r w:rsidRPr="00171FEA">
              <w:rPr>
                <w:sz w:val="20"/>
                <w:szCs w:val="20"/>
              </w:rPr>
              <w:t>Parameter</w:t>
            </w:r>
          </w:p>
        </w:tc>
        <w:tc>
          <w:tcPr>
            <w:tcW w:w="0" w:type="auto"/>
            <w:hideMark/>
          </w:tcPr>
          <w:p w14:paraId="17DBC12B" w14:textId="77777777" w:rsidR="00171FEA" w:rsidRPr="00171FEA" w:rsidRDefault="00171FEA" w:rsidP="00171FEA">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71FEA">
              <w:rPr>
                <w:sz w:val="20"/>
                <w:szCs w:val="20"/>
              </w:rPr>
              <w:t>LSG Group</w:t>
            </w:r>
          </w:p>
        </w:tc>
        <w:tc>
          <w:tcPr>
            <w:tcW w:w="0" w:type="auto"/>
            <w:hideMark/>
          </w:tcPr>
          <w:p w14:paraId="648E51AE" w14:textId="77777777" w:rsidR="00171FEA" w:rsidRPr="00171FEA" w:rsidRDefault="00171FEA" w:rsidP="00171FEA">
            <w:pPr>
              <w:cnfStyle w:val="100000000000" w:firstRow="1" w:lastRow="0" w:firstColumn="0" w:lastColumn="0" w:oddVBand="0" w:evenVBand="0" w:oddHBand="0" w:evenHBand="0" w:firstRowFirstColumn="0" w:firstRowLastColumn="0" w:lastRowFirstColumn="0" w:lastRowLastColumn="0"/>
              <w:rPr>
                <w:b w:val="0"/>
                <w:bCs w:val="0"/>
                <w:sz w:val="20"/>
                <w:szCs w:val="20"/>
              </w:rPr>
            </w:pPr>
            <w:r w:rsidRPr="00171FEA">
              <w:rPr>
                <w:sz w:val="20"/>
                <w:szCs w:val="20"/>
              </w:rPr>
              <w:t>Conservative Group</w:t>
            </w:r>
          </w:p>
        </w:tc>
      </w:tr>
      <w:tr w:rsidR="00171FEA" w:rsidRPr="00171FEA" w14:paraId="06ADDEB1" w14:textId="77777777" w:rsidTr="00BF32B9">
        <w:trPr>
          <w:trHeight w:val="167"/>
        </w:trPr>
        <w:tc>
          <w:tcPr>
            <w:cnfStyle w:val="001000000000" w:firstRow="0" w:lastRow="0" w:firstColumn="1" w:lastColumn="0" w:oddVBand="0" w:evenVBand="0" w:oddHBand="0" w:evenHBand="0" w:firstRowFirstColumn="0" w:firstRowLastColumn="0" w:lastRowFirstColumn="0" w:lastRowLastColumn="0"/>
            <w:tcW w:w="0" w:type="auto"/>
            <w:hideMark/>
          </w:tcPr>
          <w:p w14:paraId="372FF0C3" w14:textId="77777777" w:rsidR="00171FEA" w:rsidRPr="00171FEA" w:rsidRDefault="00171FEA" w:rsidP="00171FEA">
            <w:pPr>
              <w:rPr>
                <w:sz w:val="20"/>
                <w:szCs w:val="20"/>
              </w:rPr>
            </w:pPr>
            <w:r w:rsidRPr="00171FEA">
              <w:rPr>
                <w:sz w:val="20"/>
                <w:szCs w:val="20"/>
              </w:rPr>
              <w:t>IPTW-weighted probability of medication reduction</w:t>
            </w:r>
          </w:p>
        </w:tc>
        <w:tc>
          <w:tcPr>
            <w:tcW w:w="0" w:type="auto"/>
            <w:hideMark/>
          </w:tcPr>
          <w:p w14:paraId="45343844" w14:textId="77777777" w:rsidR="00171FEA" w:rsidRPr="00171FEA" w:rsidRDefault="00171FEA" w:rsidP="00171FEA">
            <w:pPr>
              <w:cnfStyle w:val="000000000000" w:firstRow="0" w:lastRow="0" w:firstColumn="0" w:lastColumn="0" w:oddVBand="0" w:evenVBand="0" w:oddHBand="0" w:evenHBand="0" w:firstRowFirstColumn="0" w:firstRowLastColumn="0" w:lastRowFirstColumn="0" w:lastRowLastColumn="0"/>
              <w:rPr>
                <w:sz w:val="20"/>
                <w:szCs w:val="20"/>
              </w:rPr>
            </w:pPr>
            <w:r w:rsidRPr="00171FEA">
              <w:rPr>
                <w:sz w:val="20"/>
                <w:szCs w:val="20"/>
              </w:rPr>
              <w:t>1.00</w:t>
            </w:r>
          </w:p>
        </w:tc>
        <w:tc>
          <w:tcPr>
            <w:tcW w:w="0" w:type="auto"/>
            <w:hideMark/>
          </w:tcPr>
          <w:p w14:paraId="7F5F50DB" w14:textId="77777777" w:rsidR="00171FEA" w:rsidRPr="00171FEA" w:rsidRDefault="00171FEA" w:rsidP="00171FEA">
            <w:pPr>
              <w:cnfStyle w:val="000000000000" w:firstRow="0" w:lastRow="0" w:firstColumn="0" w:lastColumn="0" w:oddVBand="0" w:evenVBand="0" w:oddHBand="0" w:evenHBand="0" w:firstRowFirstColumn="0" w:firstRowLastColumn="0" w:lastRowFirstColumn="0" w:lastRowLastColumn="0"/>
              <w:rPr>
                <w:sz w:val="20"/>
                <w:szCs w:val="20"/>
              </w:rPr>
            </w:pPr>
            <w:r w:rsidRPr="00171FEA">
              <w:rPr>
                <w:sz w:val="20"/>
                <w:szCs w:val="20"/>
              </w:rPr>
              <w:t>0.094</w:t>
            </w:r>
          </w:p>
        </w:tc>
      </w:tr>
      <w:tr w:rsidR="00171FEA" w:rsidRPr="00171FEA" w14:paraId="62D5362C" w14:textId="77777777" w:rsidTr="00BF32B9">
        <w:trPr>
          <w:trHeight w:val="203"/>
        </w:trPr>
        <w:tc>
          <w:tcPr>
            <w:cnfStyle w:val="001000000000" w:firstRow="0" w:lastRow="0" w:firstColumn="1" w:lastColumn="0" w:oddVBand="0" w:evenVBand="0" w:oddHBand="0" w:evenHBand="0" w:firstRowFirstColumn="0" w:firstRowLastColumn="0" w:lastRowFirstColumn="0" w:lastRowLastColumn="0"/>
            <w:tcW w:w="0" w:type="auto"/>
            <w:hideMark/>
          </w:tcPr>
          <w:p w14:paraId="5744ECF6" w14:textId="77777777" w:rsidR="00171FEA" w:rsidRPr="00171FEA" w:rsidRDefault="00171FEA" w:rsidP="00171FEA">
            <w:pPr>
              <w:rPr>
                <w:sz w:val="20"/>
                <w:szCs w:val="20"/>
              </w:rPr>
            </w:pPr>
            <w:r w:rsidRPr="00171FEA">
              <w:rPr>
                <w:sz w:val="20"/>
                <w:szCs w:val="20"/>
              </w:rPr>
              <w:t>Absolute Risk Difference (RD)</w:t>
            </w:r>
          </w:p>
        </w:tc>
        <w:tc>
          <w:tcPr>
            <w:tcW w:w="0" w:type="auto"/>
            <w:hideMark/>
          </w:tcPr>
          <w:p w14:paraId="0A439035" w14:textId="77777777" w:rsidR="00171FEA" w:rsidRPr="00171FEA" w:rsidRDefault="00171FEA" w:rsidP="00171FEA">
            <w:pPr>
              <w:cnfStyle w:val="000000000000" w:firstRow="0" w:lastRow="0" w:firstColumn="0" w:lastColumn="0" w:oddVBand="0" w:evenVBand="0" w:oddHBand="0" w:evenHBand="0" w:firstRowFirstColumn="0" w:firstRowLastColumn="0" w:lastRowFirstColumn="0" w:lastRowLastColumn="0"/>
              <w:rPr>
                <w:sz w:val="20"/>
                <w:szCs w:val="20"/>
              </w:rPr>
            </w:pPr>
            <w:r w:rsidRPr="00171FEA">
              <w:rPr>
                <w:sz w:val="20"/>
                <w:szCs w:val="20"/>
              </w:rPr>
              <w:t>-</w:t>
            </w:r>
          </w:p>
        </w:tc>
        <w:tc>
          <w:tcPr>
            <w:tcW w:w="0" w:type="auto"/>
            <w:hideMark/>
          </w:tcPr>
          <w:p w14:paraId="5CFFF7E0" w14:textId="77777777" w:rsidR="00171FEA" w:rsidRPr="00171FEA" w:rsidRDefault="00171FEA" w:rsidP="00171FEA">
            <w:pPr>
              <w:cnfStyle w:val="000000000000" w:firstRow="0" w:lastRow="0" w:firstColumn="0" w:lastColumn="0" w:oddVBand="0" w:evenVBand="0" w:oddHBand="0" w:evenHBand="0" w:firstRowFirstColumn="0" w:firstRowLastColumn="0" w:lastRowFirstColumn="0" w:lastRowLastColumn="0"/>
              <w:rPr>
                <w:sz w:val="20"/>
                <w:szCs w:val="20"/>
              </w:rPr>
            </w:pPr>
            <w:r w:rsidRPr="00171FEA">
              <w:rPr>
                <w:sz w:val="20"/>
                <w:szCs w:val="20"/>
              </w:rPr>
              <w:t>0.906</w:t>
            </w:r>
          </w:p>
        </w:tc>
      </w:tr>
      <w:tr w:rsidR="00171FEA" w:rsidRPr="00171FEA" w14:paraId="20EBD433" w14:textId="77777777" w:rsidTr="00BF32B9">
        <w:trPr>
          <w:trHeight w:val="68"/>
        </w:trPr>
        <w:tc>
          <w:tcPr>
            <w:cnfStyle w:val="001000000000" w:firstRow="0" w:lastRow="0" w:firstColumn="1" w:lastColumn="0" w:oddVBand="0" w:evenVBand="0" w:oddHBand="0" w:evenHBand="0" w:firstRowFirstColumn="0" w:firstRowLastColumn="0" w:lastRowFirstColumn="0" w:lastRowLastColumn="0"/>
            <w:tcW w:w="0" w:type="auto"/>
            <w:hideMark/>
          </w:tcPr>
          <w:p w14:paraId="288C221C" w14:textId="77777777" w:rsidR="00171FEA" w:rsidRPr="00171FEA" w:rsidRDefault="00171FEA" w:rsidP="00171FEA">
            <w:pPr>
              <w:rPr>
                <w:sz w:val="20"/>
                <w:szCs w:val="20"/>
              </w:rPr>
            </w:pPr>
            <w:r w:rsidRPr="00171FEA">
              <w:rPr>
                <w:sz w:val="20"/>
                <w:szCs w:val="20"/>
              </w:rPr>
              <w:t>95% Confidence Interval (Bootstrap, B=2000)</w:t>
            </w:r>
          </w:p>
        </w:tc>
        <w:tc>
          <w:tcPr>
            <w:tcW w:w="0" w:type="auto"/>
            <w:hideMark/>
          </w:tcPr>
          <w:p w14:paraId="230543C5" w14:textId="77777777" w:rsidR="00171FEA" w:rsidRPr="00171FEA" w:rsidRDefault="00171FEA" w:rsidP="00171FEA">
            <w:pPr>
              <w:cnfStyle w:val="000000000000" w:firstRow="0" w:lastRow="0" w:firstColumn="0" w:lastColumn="0" w:oddVBand="0" w:evenVBand="0" w:oddHBand="0" w:evenHBand="0" w:firstRowFirstColumn="0" w:firstRowLastColumn="0" w:lastRowFirstColumn="0" w:lastRowLastColumn="0"/>
              <w:rPr>
                <w:sz w:val="20"/>
                <w:szCs w:val="20"/>
              </w:rPr>
            </w:pPr>
            <w:r w:rsidRPr="00171FEA">
              <w:rPr>
                <w:sz w:val="20"/>
                <w:szCs w:val="20"/>
              </w:rPr>
              <w:t>-</w:t>
            </w:r>
          </w:p>
        </w:tc>
        <w:tc>
          <w:tcPr>
            <w:tcW w:w="0" w:type="auto"/>
            <w:hideMark/>
          </w:tcPr>
          <w:p w14:paraId="1C05ADDE" w14:textId="77777777" w:rsidR="00171FEA" w:rsidRPr="00171FEA" w:rsidRDefault="00171FEA" w:rsidP="00171FEA">
            <w:pPr>
              <w:cnfStyle w:val="000000000000" w:firstRow="0" w:lastRow="0" w:firstColumn="0" w:lastColumn="0" w:oddVBand="0" w:evenVBand="0" w:oddHBand="0" w:evenHBand="0" w:firstRowFirstColumn="0" w:firstRowLastColumn="0" w:lastRowFirstColumn="0" w:lastRowLastColumn="0"/>
              <w:rPr>
                <w:sz w:val="20"/>
                <w:szCs w:val="20"/>
              </w:rPr>
            </w:pPr>
            <w:r w:rsidRPr="00171FEA">
              <w:rPr>
                <w:sz w:val="20"/>
                <w:szCs w:val="20"/>
              </w:rPr>
              <w:t>0.789 – 1.000</w:t>
            </w:r>
          </w:p>
        </w:tc>
      </w:tr>
    </w:tbl>
    <w:p w14:paraId="40464ADA" w14:textId="77777777" w:rsidR="006E4E7C" w:rsidRDefault="006E4E7C" w:rsidP="00B62F8E"/>
    <w:p w14:paraId="3B4E2A85" w14:textId="7D4A36FB" w:rsidR="006E4E7C" w:rsidRPr="006E4E7C" w:rsidRDefault="006E4E7C" w:rsidP="006E4E7C">
      <w:pPr>
        <w:jc w:val="both"/>
      </w:pPr>
      <w:r w:rsidRPr="006E4E7C">
        <w:t>Supplementary Table S</w:t>
      </w:r>
      <w:r w:rsidR="00C74335">
        <w:t>5</w:t>
      </w:r>
      <w:r w:rsidRPr="006E4E7C">
        <w:t xml:space="preserve"> presents multivariable-adjusted comparisons between laparoscopic sleeve gastrectomy (LSG) and conservative management at 12 months. After adjustment for baseline outcome values and relevant covariates, LSG was associated with substantial and statistically significant improvements across all primary and clinical outcomes. Patients undergoing LSG demonstrated a mean adjusted weight reduction of 37.9 kg and a BMI reduction of 13.6 kg/m² compared with conservative management (both p &lt; 0.001), confirming a large and clinically meaningful effect size.</w:t>
      </w:r>
    </w:p>
    <w:p w14:paraId="40C20775" w14:textId="77777777" w:rsidR="006E4E7C" w:rsidRPr="006E4E7C" w:rsidRDefault="006E4E7C" w:rsidP="006E4E7C">
      <w:pPr>
        <w:jc w:val="both"/>
      </w:pPr>
      <w:r w:rsidRPr="006E4E7C">
        <w:t>Among patients with baseline type 2 diabetes mellitus, HbA1c decreased by an adjusted mean of 1.36 percentage points in the LSG group relative to controls (p &lt; 0.001), indicating significant metabolic improvement. Similarly, systolic and diastolic blood pressure were significantly reduced in hypertensive patients, with a particularly pronounced effect on diastolic blood pressure (−9.6 mmHg, p = 0.014).</w:t>
      </w:r>
    </w:p>
    <w:p w14:paraId="6EA4F6DB" w14:textId="77777777" w:rsidR="006E4E7C" w:rsidRPr="006E4E7C" w:rsidRDefault="006E4E7C" w:rsidP="006E4E7C">
      <w:pPr>
        <w:jc w:val="both"/>
      </w:pPr>
      <w:r w:rsidRPr="006E4E7C">
        <w:t>In patients with obstructive sleep apnea, LSG resulted in a marked reduction in Apnea–Hypopnea Index (−14.8 events/hour, p &lt; 0.001) and Epworth Sleepiness Scale score (−5.6 points, p &lt; 0.001), reflecting substantial improvement in both objective sleep parameters and subjective daytime somnolence.</w:t>
      </w:r>
    </w:p>
    <w:p w14:paraId="499F2A37" w14:textId="77777777" w:rsidR="006E4E7C" w:rsidRPr="006E4E7C" w:rsidRDefault="006E4E7C" w:rsidP="006E4E7C">
      <w:pPr>
        <w:jc w:val="both"/>
      </w:pPr>
      <w:r w:rsidRPr="006E4E7C">
        <w:t>Furthermore, in patients with osteoarthritis, LSG was associated with significant increases in bilateral knee joint space width, suggesting structural and symptomatic improvement. The positive adjusted differences of 0.33 mm (right) and 0.31 mm (left) were both statistically significant.</w:t>
      </w:r>
    </w:p>
    <w:p w14:paraId="0BAEB99A" w14:textId="77777777" w:rsidR="006E4E7C" w:rsidRDefault="006E4E7C" w:rsidP="006E4E7C"/>
    <w:p w14:paraId="67B3E803" w14:textId="77777777" w:rsidR="006E4E7C" w:rsidRDefault="006E4E7C" w:rsidP="006E4E7C"/>
    <w:p w14:paraId="3FE753D9" w14:textId="77777777" w:rsidR="006E4E7C" w:rsidRDefault="006E4E7C" w:rsidP="006E4E7C"/>
    <w:p w14:paraId="1740B763" w14:textId="77777777" w:rsidR="006E4E7C" w:rsidRDefault="006E4E7C" w:rsidP="006E4E7C"/>
    <w:p w14:paraId="10E14589" w14:textId="77777777" w:rsidR="006E4E7C" w:rsidRDefault="006E4E7C" w:rsidP="006E4E7C"/>
    <w:p w14:paraId="2C1C2D87" w14:textId="500B584D" w:rsidR="00C74335" w:rsidRDefault="00C74335">
      <w:r>
        <w:br w:type="page"/>
      </w:r>
    </w:p>
    <w:p w14:paraId="52C4C3AB" w14:textId="748CE6DF" w:rsidR="006E4E7C" w:rsidRDefault="006E4E7C" w:rsidP="006E4E7C">
      <w:r w:rsidRPr="006E4E7C">
        <w:lastRenderedPageBreak/>
        <w:t>Supplementary Table S</w:t>
      </w:r>
      <w:r w:rsidR="00C74335">
        <w:t>5</w:t>
      </w:r>
      <w:r w:rsidRPr="006E4E7C">
        <w:t>. Multivariable-Adjusted Treatment Effects of Laparoscopic Sleeve Gastrectomy (LSG) Versus Conservative Management at 12 Months</w:t>
      </w:r>
    </w:p>
    <w:tbl>
      <w:tblPr>
        <w:tblStyle w:val="GridTable1Light"/>
        <w:tblW w:w="10627" w:type="dxa"/>
        <w:tblLook w:val="04A0" w:firstRow="1" w:lastRow="0" w:firstColumn="1" w:lastColumn="0" w:noHBand="0" w:noVBand="1"/>
      </w:tblPr>
      <w:tblGrid>
        <w:gridCol w:w="2547"/>
        <w:gridCol w:w="2835"/>
        <w:gridCol w:w="1276"/>
        <w:gridCol w:w="2417"/>
        <w:gridCol w:w="1552"/>
      </w:tblGrid>
      <w:tr w:rsidR="00695F87" w:rsidRPr="00695F87" w14:paraId="14813A66" w14:textId="77777777" w:rsidTr="00B656E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vAlign w:val="center"/>
            <w:hideMark/>
          </w:tcPr>
          <w:p w14:paraId="2380E4F0" w14:textId="77777777" w:rsidR="00695F87" w:rsidRPr="00695F87" w:rsidRDefault="00695F87" w:rsidP="00BF32B9">
            <w:pPr>
              <w:jc w:val="center"/>
              <w:rPr>
                <w:b w:val="0"/>
                <w:bCs w:val="0"/>
                <w:sz w:val="22"/>
                <w:szCs w:val="22"/>
              </w:rPr>
            </w:pPr>
            <w:r w:rsidRPr="00695F87">
              <w:rPr>
                <w:sz w:val="22"/>
                <w:szCs w:val="22"/>
              </w:rPr>
              <w:t>Outcome</w:t>
            </w:r>
          </w:p>
        </w:tc>
        <w:tc>
          <w:tcPr>
            <w:tcW w:w="2835" w:type="dxa"/>
            <w:vAlign w:val="center"/>
            <w:hideMark/>
          </w:tcPr>
          <w:p w14:paraId="22DB8795" w14:textId="77777777" w:rsidR="00695F87" w:rsidRPr="00695F87" w:rsidRDefault="00695F87" w:rsidP="00BF32B9">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695F87">
              <w:rPr>
                <w:sz w:val="22"/>
                <w:szCs w:val="22"/>
              </w:rPr>
              <w:t>Adjusted Treatment Effect (LSG − Conservative)</w:t>
            </w:r>
          </w:p>
        </w:tc>
        <w:tc>
          <w:tcPr>
            <w:tcW w:w="1276" w:type="dxa"/>
            <w:vAlign w:val="center"/>
            <w:hideMark/>
          </w:tcPr>
          <w:p w14:paraId="5AED220A" w14:textId="77777777" w:rsidR="00695F87" w:rsidRPr="00695F87" w:rsidRDefault="00695F87" w:rsidP="00BF32B9">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695F87">
              <w:rPr>
                <w:sz w:val="22"/>
                <w:szCs w:val="22"/>
              </w:rPr>
              <w:t>SE</w:t>
            </w:r>
          </w:p>
        </w:tc>
        <w:tc>
          <w:tcPr>
            <w:tcW w:w="2417" w:type="dxa"/>
            <w:vAlign w:val="center"/>
            <w:hideMark/>
          </w:tcPr>
          <w:p w14:paraId="563FBB57" w14:textId="77777777" w:rsidR="00695F87" w:rsidRPr="00695F87" w:rsidRDefault="00695F87" w:rsidP="00BF32B9">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695F87">
              <w:rPr>
                <w:sz w:val="22"/>
                <w:szCs w:val="22"/>
              </w:rPr>
              <w:t>95% CI</w:t>
            </w:r>
          </w:p>
        </w:tc>
        <w:tc>
          <w:tcPr>
            <w:tcW w:w="1552" w:type="dxa"/>
            <w:vAlign w:val="center"/>
            <w:hideMark/>
          </w:tcPr>
          <w:p w14:paraId="6602CD0C" w14:textId="77777777" w:rsidR="00695F87" w:rsidRPr="00695F87" w:rsidRDefault="00695F87" w:rsidP="00BF32B9">
            <w:pPr>
              <w:jc w:val="center"/>
              <w:cnfStyle w:val="100000000000" w:firstRow="1" w:lastRow="0" w:firstColumn="0" w:lastColumn="0" w:oddVBand="0" w:evenVBand="0" w:oddHBand="0" w:evenHBand="0" w:firstRowFirstColumn="0" w:firstRowLastColumn="0" w:lastRowFirstColumn="0" w:lastRowLastColumn="0"/>
              <w:rPr>
                <w:b w:val="0"/>
                <w:bCs w:val="0"/>
                <w:sz w:val="22"/>
                <w:szCs w:val="22"/>
              </w:rPr>
            </w:pPr>
            <w:r w:rsidRPr="00695F87">
              <w:rPr>
                <w:sz w:val="22"/>
                <w:szCs w:val="22"/>
              </w:rPr>
              <w:t>p-value</w:t>
            </w:r>
          </w:p>
        </w:tc>
      </w:tr>
      <w:tr w:rsidR="00695F87" w:rsidRPr="00695F87" w14:paraId="75B3FC5E" w14:textId="77777777" w:rsidTr="00B656E2">
        <w:tc>
          <w:tcPr>
            <w:cnfStyle w:val="001000000000" w:firstRow="0" w:lastRow="0" w:firstColumn="1" w:lastColumn="0" w:oddVBand="0" w:evenVBand="0" w:oddHBand="0" w:evenHBand="0" w:firstRowFirstColumn="0" w:firstRowLastColumn="0" w:lastRowFirstColumn="0" w:lastRowLastColumn="0"/>
            <w:tcW w:w="2547" w:type="dxa"/>
            <w:vAlign w:val="center"/>
            <w:hideMark/>
          </w:tcPr>
          <w:p w14:paraId="3CAA2A41" w14:textId="77777777" w:rsidR="00695F87" w:rsidRPr="00695F87" w:rsidRDefault="00695F87" w:rsidP="00BF32B9">
            <w:pPr>
              <w:jc w:val="center"/>
              <w:rPr>
                <w:sz w:val="22"/>
                <w:szCs w:val="22"/>
              </w:rPr>
            </w:pPr>
            <w:r w:rsidRPr="00695F87">
              <w:rPr>
                <w:sz w:val="22"/>
                <w:szCs w:val="22"/>
              </w:rPr>
              <w:t>Weight (kg)</w:t>
            </w:r>
          </w:p>
        </w:tc>
        <w:tc>
          <w:tcPr>
            <w:tcW w:w="2835" w:type="dxa"/>
            <w:vAlign w:val="center"/>
            <w:hideMark/>
          </w:tcPr>
          <w:p w14:paraId="6723D93A"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−37.8972</w:t>
            </w:r>
          </w:p>
        </w:tc>
        <w:tc>
          <w:tcPr>
            <w:tcW w:w="1276" w:type="dxa"/>
            <w:vAlign w:val="center"/>
            <w:hideMark/>
          </w:tcPr>
          <w:p w14:paraId="65516933"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1.3523</w:t>
            </w:r>
          </w:p>
        </w:tc>
        <w:tc>
          <w:tcPr>
            <w:tcW w:w="2417" w:type="dxa"/>
            <w:vAlign w:val="center"/>
            <w:hideMark/>
          </w:tcPr>
          <w:p w14:paraId="7F3DAF47" w14:textId="77777777" w:rsidR="00695F87" w:rsidRPr="00B656E2"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−40.5477 to −35.2467</w:t>
            </w:r>
          </w:p>
        </w:tc>
        <w:tc>
          <w:tcPr>
            <w:tcW w:w="1552" w:type="dxa"/>
            <w:vAlign w:val="center"/>
            <w:hideMark/>
          </w:tcPr>
          <w:p w14:paraId="7C7A2A41" w14:textId="79CCC214" w:rsidR="00695F87" w:rsidRPr="00695F87"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695F87" w:rsidRPr="00695F87" w14:paraId="0F2266D4" w14:textId="77777777" w:rsidTr="00B656E2">
        <w:tc>
          <w:tcPr>
            <w:cnfStyle w:val="001000000000" w:firstRow="0" w:lastRow="0" w:firstColumn="1" w:lastColumn="0" w:oddVBand="0" w:evenVBand="0" w:oddHBand="0" w:evenHBand="0" w:firstRowFirstColumn="0" w:firstRowLastColumn="0" w:lastRowFirstColumn="0" w:lastRowLastColumn="0"/>
            <w:tcW w:w="2547" w:type="dxa"/>
            <w:vAlign w:val="center"/>
            <w:hideMark/>
          </w:tcPr>
          <w:p w14:paraId="14E58CA0" w14:textId="77777777" w:rsidR="00695F87" w:rsidRPr="00695F87" w:rsidRDefault="00695F87" w:rsidP="00BF32B9">
            <w:pPr>
              <w:jc w:val="center"/>
              <w:rPr>
                <w:sz w:val="22"/>
                <w:szCs w:val="22"/>
              </w:rPr>
            </w:pPr>
            <w:r w:rsidRPr="00695F87">
              <w:rPr>
                <w:sz w:val="22"/>
                <w:szCs w:val="22"/>
              </w:rPr>
              <w:t>BMI (kg/m²)</w:t>
            </w:r>
          </w:p>
        </w:tc>
        <w:tc>
          <w:tcPr>
            <w:tcW w:w="2835" w:type="dxa"/>
            <w:vAlign w:val="center"/>
            <w:hideMark/>
          </w:tcPr>
          <w:p w14:paraId="45508DF2"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−13.5899</w:t>
            </w:r>
          </w:p>
        </w:tc>
        <w:tc>
          <w:tcPr>
            <w:tcW w:w="1276" w:type="dxa"/>
            <w:vAlign w:val="center"/>
            <w:hideMark/>
          </w:tcPr>
          <w:p w14:paraId="3E62631E"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0.5296</w:t>
            </w:r>
          </w:p>
        </w:tc>
        <w:tc>
          <w:tcPr>
            <w:tcW w:w="2417" w:type="dxa"/>
            <w:vAlign w:val="center"/>
            <w:hideMark/>
          </w:tcPr>
          <w:p w14:paraId="5F814672" w14:textId="77777777" w:rsidR="00695F87" w:rsidRPr="00B656E2"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−14.6279 to −12.5519</w:t>
            </w:r>
          </w:p>
        </w:tc>
        <w:tc>
          <w:tcPr>
            <w:tcW w:w="1552" w:type="dxa"/>
            <w:vAlign w:val="center"/>
            <w:hideMark/>
          </w:tcPr>
          <w:p w14:paraId="7D78675D" w14:textId="5C11538B" w:rsidR="00695F87" w:rsidRPr="00695F87"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695F87" w:rsidRPr="00695F87" w14:paraId="1F07C04E" w14:textId="77777777" w:rsidTr="00B656E2">
        <w:tc>
          <w:tcPr>
            <w:cnfStyle w:val="001000000000" w:firstRow="0" w:lastRow="0" w:firstColumn="1" w:lastColumn="0" w:oddVBand="0" w:evenVBand="0" w:oddHBand="0" w:evenHBand="0" w:firstRowFirstColumn="0" w:firstRowLastColumn="0" w:lastRowFirstColumn="0" w:lastRowLastColumn="0"/>
            <w:tcW w:w="2547" w:type="dxa"/>
            <w:vAlign w:val="center"/>
            <w:hideMark/>
          </w:tcPr>
          <w:p w14:paraId="35CF9939" w14:textId="77777777" w:rsidR="00695F87" w:rsidRPr="00695F87" w:rsidRDefault="00695F87" w:rsidP="00BF32B9">
            <w:pPr>
              <w:jc w:val="center"/>
              <w:rPr>
                <w:sz w:val="22"/>
                <w:szCs w:val="22"/>
              </w:rPr>
            </w:pPr>
            <w:r w:rsidRPr="00695F87">
              <w:rPr>
                <w:sz w:val="22"/>
                <w:szCs w:val="22"/>
              </w:rPr>
              <w:t>HbA1c (%)†</w:t>
            </w:r>
          </w:p>
        </w:tc>
        <w:tc>
          <w:tcPr>
            <w:tcW w:w="2835" w:type="dxa"/>
            <w:vAlign w:val="center"/>
            <w:hideMark/>
          </w:tcPr>
          <w:p w14:paraId="7836011C"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−1.3569</w:t>
            </w:r>
          </w:p>
        </w:tc>
        <w:tc>
          <w:tcPr>
            <w:tcW w:w="1276" w:type="dxa"/>
            <w:vAlign w:val="center"/>
            <w:hideMark/>
          </w:tcPr>
          <w:p w14:paraId="4AD59478"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0.1976</w:t>
            </w:r>
          </w:p>
        </w:tc>
        <w:tc>
          <w:tcPr>
            <w:tcW w:w="2417" w:type="dxa"/>
            <w:vAlign w:val="center"/>
            <w:hideMark/>
          </w:tcPr>
          <w:p w14:paraId="7EAD9ED3" w14:textId="77777777" w:rsidR="00695F87" w:rsidRPr="00B656E2"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−1.7442 to −0.9696</w:t>
            </w:r>
          </w:p>
        </w:tc>
        <w:tc>
          <w:tcPr>
            <w:tcW w:w="1552" w:type="dxa"/>
            <w:vAlign w:val="center"/>
            <w:hideMark/>
          </w:tcPr>
          <w:p w14:paraId="65B2FFAF" w14:textId="7708360A" w:rsidR="00695F87" w:rsidRPr="00695F87"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695F87" w:rsidRPr="00695F87" w14:paraId="2B91ECEF" w14:textId="77777777" w:rsidTr="00B656E2">
        <w:tc>
          <w:tcPr>
            <w:cnfStyle w:val="001000000000" w:firstRow="0" w:lastRow="0" w:firstColumn="1" w:lastColumn="0" w:oddVBand="0" w:evenVBand="0" w:oddHBand="0" w:evenHBand="0" w:firstRowFirstColumn="0" w:firstRowLastColumn="0" w:lastRowFirstColumn="0" w:lastRowLastColumn="0"/>
            <w:tcW w:w="2547" w:type="dxa"/>
            <w:vAlign w:val="center"/>
            <w:hideMark/>
          </w:tcPr>
          <w:p w14:paraId="0769411D" w14:textId="77777777" w:rsidR="00695F87" w:rsidRPr="00695F87" w:rsidRDefault="00695F87" w:rsidP="00BF32B9">
            <w:pPr>
              <w:jc w:val="center"/>
              <w:rPr>
                <w:sz w:val="22"/>
                <w:szCs w:val="22"/>
              </w:rPr>
            </w:pPr>
            <w:r w:rsidRPr="00695F87">
              <w:rPr>
                <w:sz w:val="22"/>
                <w:szCs w:val="22"/>
              </w:rPr>
              <w:t>Systolic BP (mmHg)†</w:t>
            </w:r>
          </w:p>
        </w:tc>
        <w:tc>
          <w:tcPr>
            <w:tcW w:w="2835" w:type="dxa"/>
            <w:vAlign w:val="center"/>
            <w:hideMark/>
          </w:tcPr>
          <w:p w14:paraId="6BF3A1AA"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−4.4953</w:t>
            </w:r>
          </w:p>
        </w:tc>
        <w:tc>
          <w:tcPr>
            <w:tcW w:w="1276" w:type="dxa"/>
            <w:vAlign w:val="center"/>
            <w:hideMark/>
          </w:tcPr>
          <w:p w14:paraId="7C8DF66F"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1.7924</w:t>
            </w:r>
          </w:p>
        </w:tc>
        <w:tc>
          <w:tcPr>
            <w:tcW w:w="2417" w:type="dxa"/>
            <w:vAlign w:val="center"/>
            <w:hideMark/>
          </w:tcPr>
          <w:p w14:paraId="6D33EDF1" w14:textId="77777777" w:rsidR="00695F87" w:rsidRPr="00B656E2"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−8.0084 to −0.9822</w:t>
            </w:r>
          </w:p>
        </w:tc>
        <w:tc>
          <w:tcPr>
            <w:tcW w:w="1552" w:type="dxa"/>
            <w:vAlign w:val="center"/>
            <w:hideMark/>
          </w:tcPr>
          <w:p w14:paraId="7C3C2CDC" w14:textId="049F9958" w:rsidR="00695F87" w:rsidRPr="00695F87"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i/>
                <w:iCs/>
                <w:sz w:val="22"/>
                <w:szCs w:val="22"/>
              </w:rPr>
              <w:t>p</w:t>
            </w:r>
            <w:r>
              <w:rPr>
                <w:sz w:val="22"/>
                <w:szCs w:val="22"/>
              </w:rPr>
              <w:t xml:space="preserve"> = </w:t>
            </w:r>
            <w:r w:rsidR="00695F87" w:rsidRPr="00695F87">
              <w:rPr>
                <w:sz w:val="22"/>
                <w:szCs w:val="22"/>
              </w:rPr>
              <w:t>0.0219</w:t>
            </w:r>
          </w:p>
        </w:tc>
      </w:tr>
      <w:tr w:rsidR="00695F87" w:rsidRPr="00695F87" w14:paraId="78AC1372" w14:textId="77777777" w:rsidTr="00B656E2">
        <w:tc>
          <w:tcPr>
            <w:cnfStyle w:val="001000000000" w:firstRow="0" w:lastRow="0" w:firstColumn="1" w:lastColumn="0" w:oddVBand="0" w:evenVBand="0" w:oddHBand="0" w:evenHBand="0" w:firstRowFirstColumn="0" w:firstRowLastColumn="0" w:lastRowFirstColumn="0" w:lastRowLastColumn="0"/>
            <w:tcW w:w="2547" w:type="dxa"/>
            <w:vAlign w:val="center"/>
            <w:hideMark/>
          </w:tcPr>
          <w:p w14:paraId="183B4DCA" w14:textId="77777777" w:rsidR="00695F87" w:rsidRPr="00695F87" w:rsidRDefault="00695F87" w:rsidP="00BF32B9">
            <w:pPr>
              <w:jc w:val="center"/>
              <w:rPr>
                <w:sz w:val="22"/>
                <w:szCs w:val="22"/>
              </w:rPr>
            </w:pPr>
            <w:r w:rsidRPr="00695F87">
              <w:rPr>
                <w:sz w:val="22"/>
                <w:szCs w:val="22"/>
              </w:rPr>
              <w:t>Diastolic BP (mmHg)†</w:t>
            </w:r>
          </w:p>
        </w:tc>
        <w:tc>
          <w:tcPr>
            <w:tcW w:w="2835" w:type="dxa"/>
            <w:vAlign w:val="center"/>
            <w:hideMark/>
          </w:tcPr>
          <w:p w14:paraId="3624045E"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−9.6155</w:t>
            </w:r>
          </w:p>
        </w:tc>
        <w:tc>
          <w:tcPr>
            <w:tcW w:w="1276" w:type="dxa"/>
            <w:vAlign w:val="center"/>
            <w:hideMark/>
          </w:tcPr>
          <w:p w14:paraId="1EC856A7"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3.5472</w:t>
            </w:r>
          </w:p>
        </w:tc>
        <w:tc>
          <w:tcPr>
            <w:tcW w:w="2417" w:type="dxa"/>
            <w:vAlign w:val="center"/>
            <w:hideMark/>
          </w:tcPr>
          <w:p w14:paraId="06B1099B" w14:textId="77777777" w:rsidR="00695F87" w:rsidRPr="00B656E2"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−16.5680 to −2.6630</w:t>
            </w:r>
          </w:p>
        </w:tc>
        <w:tc>
          <w:tcPr>
            <w:tcW w:w="1552" w:type="dxa"/>
            <w:vAlign w:val="center"/>
            <w:hideMark/>
          </w:tcPr>
          <w:p w14:paraId="50CA36FB" w14:textId="36F46702" w:rsidR="00695F87" w:rsidRPr="00695F87"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i/>
                <w:iCs/>
                <w:sz w:val="22"/>
                <w:szCs w:val="22"/>
              </w:rPr>
              <w:t>p</w:t>
            </w:r>
            <w:r>
              <w:rPr>
                <w:sz w:val="22"/>
                <w:szCs w:val="22"/>
              </w:rPr>
              <w:t xml:space="preserve"> = </w:t>
            </w:r>
            <w:r w:rsidR="00695F87" w:rsidRPr="00695F87">
              <w:rPr>
                <w:sz w:val="22"/>
                <w:szCs w:val="22"/>
              </w:rPr>
              <w:t>0.0143</w:t>
            </w:r>
          </w:p>
        </w:tc>
      </w:tr>
      <w:tr w:rsidR="00695F87" w:rsidRPr="00695F87" w14:paraId="6B0D5A3B" w14:textId="77777777" w:rsidTr="00B656E2">
        <w:tc>
          <w:tcPr>
            <w:cnfStyle w:val="001000000000" w:firstRow="0" w:lastRow="0" w:firstColumn="1" w:lastColumn="0" w:oddVBand="0" w:evenVBand="0" w:oddHBand="0" w:evenHBand="0" w:firstRowFirstColumn="0" w:firstRowLastColumn="0" w:lastRowFirstColumn="0" w:lastRowLastColumn="0"/>
            <w:tcW w:w="2547" w:type="dxa"/>
            <w:vAlign w:val="center"/>
            <w:hideMark/>
          </w:tcPr>
          <w:p w14:paraId="7C72FB90" w14:textId="77777777" w:rsidR="00695F87" w:rsidRPr="00695F87" w:rsidRDefault="00695F87" w:rsidP="00BF32B9">
            <w:pPr>
              <w:jc w:val="center"/>
              <w:rPr>
                <w:sz w:val="22"/>
                <w:szCs w:val="22"/>
              </w:rPr>
            </w:pPr>
            <w:r w:rsidRPr="00695F87">
              <w:rPr>
                <w:sz w:val="22"/>
                <w:szCs w:val="22"/>
              </w:rPr>
              <w:t>Apnea–Hypopnea Index (AHI)†</w:t>
            </w:r>
          </w:p>
        </w:tc>
        <w:tc>
          <w:tcPr>
            <w:tcW w:w="2835" w:type="dxa"/>
            <w:vAlign w:val="center"/>
            <w:hideMark/>
          </w:tcPr>
          <w:p w14:paraId="6229CCF4"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−14.7638</w:t>
            </w:r>
          </w:p>
        </w:tc>
        <w:tc>
          <w:tcPr>
            <w:tcW w:w="1276" w:type="dxa"/>
            <w:vAlign w:val="center"/>
            <w:hideMark/>
          </w:tcPr>
          <w:p w14:paraId="78A8A067"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1.2088</w:t>
            </w:r>
          </w:p>
        </w:tc>
        <w:tc>
          <w:tcPr>
            <w:tcW w:w="2417" w:type="dxa"/>
            <w:vAlign w:val="center"/>
            <w:hideMark/>
          </w:tcPr>
          <w:p w14:paraId="781E819B" w14:textId="77777777" w:rsidR="00695F87" w:rsidRPr="00B656E2"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−17.1330 to −12.3946</w:t>
            </w:r>
          </w:p>
        </w:tc>
        <w:tc>
          <w:tcPr>
            <w:tcW w:w="1552" w:type="dxa"/>
            <w:vAlign w:val="center"/>
            <w:hideMark/>
          </w:tcPr>
          <w:p w14:paraId="455F109E" w14:textId="66284613" w:rsidR="00695F87" w:rsidRPr="00695F87"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695F87" w:rsidRPr="00695F87" w14:paraId="317F2253" w14:textId="77777777" w:rsidTr="00B656E2">
        <w:tc>
          <w:tcPr>
            <w:cnfStyle w:val="001000000000" w:firstRow="0" w:lastRow="0" w:firstColumn="1" w:lastColumn="0" w:oddVBand="0" w:evenVBand="0" w:oddHBand="0" w:evenHBand="0" w:firstRowFirstColumn="0" w:firstRowLastColumn="0" w:lastRowFirstColumn="0" w:lastRowLastColumn="0"/>
            <w:tcW w:w="2547" w:type="dxa"/>
            <w:vAlign w:val="center"/>
            <w:hideMark/>
          </w:tcPr>
          <w:p w14:paraId="7A4B8BA8" w14:textId="77777777" w:rsidR="00695F87" w:rsidRPr="00695F87" w:rsidRDefault="00695F87" w:rsidP="00BF32B9">
            <w:pPr>
              <w:jc w:val="center"/>
              <w:rPr>
                <w:sz w:val="22"/>
                <w:szCs w:val="22"/>
              </w:rPr>
            </w:pPr>
            <w:r w:rsidRPr="00695F87">
              <w:rPr>
                <w:sz w:val="22"/>
                <w:szCs w:val="22"/>
              </w:rPr>
              <w:t>Epworth Sleepiness Scale (ESS)†</w:t>
            </w:r>
          </w:p>
        </w:tc>
        <w:tc>
          <w:tcPr>
            <w:tcW w:w="2835" w:type="dxa"/>
            <w:vAlign w:val="center"/>
            <w:hideMark/>
          </w:tcPr>
          <w:p w14:paraId="3F39A08C"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−5.5896</w:t>
            </w:r>
          </w:p>
        </w:tc>
        <w:tc>
          <w:tcPr>
            <w:tcW w:w="1276" w:type="dxa"/>
            <w:vAlign w:val="center"/>
            <w:hideMark/>
          </w:tcPr>
          <w:p w14:paraId="20D0DFB9"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0.7320</w:t>
            </w:r>
          </w:p>
        </w:tc>
        <w:tc>
          <w:tcPr>
            <w:tcW w:w="2417" w:type="dxa"/>
            <w:vAlign w:val="center"/>
            <w:hideMark/>
          </w:tcPr>
          <w:p w14:paraId="08236CEA" w14:textId="77777777" w:rsidR="00695F87" w:rsidRPr="00B656E2"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−7.0243 to −4.1549</w:t>
            </w:r>
          </w:p>
        </w:tc>
        <w:tc>
          <w:tcPr>
            <w:tcW w:w="1552" w:type="dxa"/>
            <w:vAlign w:val="center"/>
            <w:hideMark/>
          </w:tcPr>
          <w:p w14:paraId="52160308" w14:textId="73C05AB6" w:rsidR="00695F87" w:rsidRPr="00695F87"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r w:rsidR="00695F87" w:rsidRPr="00695F87" w14:paraId="78921371" w14:textId="77777777" w:rsidTr="00B656E2">
        <w:tc>
          <w:tcPr>
            <w:cnfStyle w:val="001000000000" w:firstRow="0" w:lastRow="0" w:firstColumn="1" w:lastColumn="0" w:oddVBand="0" w:evenVBand="0" w:oddHBand="0" w:evenHBand="0" w:firstRowFirstColumn="0" w:firstRowLastColumn="0" w:lastRowFirstColumn="0" w:lastRowLastColumn="0"/>
            <w:tcW w:w="2547" w:type="dxa"/>
            <w:vAlign w:val="center"/>
            <w:hideMark/>
          </w:tcPr>
          <w:p w14:paraId="75548A83" w14:textId="77777777" w:rsidR="00695F87" w:rsidRPr="00695F87" w:rsidRDefault="00695F87" w:rsidP="00BF32B9">
            <w:pPr>
              <w:jc w:val="center"/>
              <w:rPr>
                <w:sz w:val="22"/>
                <w:szCs w:val="22"/>
              </w:rPr>
            </w:pPr>
            <w:r w:rsidRPr="00695F87">
              <w:rPr>
                <w:sz w:val="22"/>
                <w:szCs w:val="22"/>
              </w:rPr>
              <w:t>Right Knee Joint Space Width (mm)†</w:t>
            </w:r>
          </w:p>
        </w:tc>
        <w:tc>
          <w:tcPr>
            <w:tcW w:w="2835" w:type="dxa"/>
            <w:vAlign w:val="center"/>
            <w:hideMark/>
          </w:tcPr>
          <w:p w14:paraId="4752C4EA"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+0.3319</w:t>
            </w:r>
          </w:p>
        </w:tc>
        <w:tc>
          <w:tcPr>
            <w:tcW w:w="1276" w:type="dxa"/>
            <w:vAlign w:val="center"/>
            <w:hideMark/>
          </w:tcPr>
          <w:p w14:paraId="4D5932A1"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0.0816</w:t>
            </w:r>
          </w:p>
        </w:tc>
        <w:tc>
          <w:tcPr>
            <w:tcW w:w="2417" w:type="dxa"/>
            <w:vAlign w:val="center"/>
            <w:hideMark/>
          </w:tcPr>
          <w:p w14:paraId="71F81A5C" w14:textId="77777777" w:rsidR="00695F87" w:rsidRPr="00B656E2"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0.1720 to 0.4918</w:t>
            </w:r>
          </w:p>
        </w:tc>
        <w:tc>
          <w:tcPr>
            <w:tcW w:w="1552" w:type="dxa"/>
            <w:vAlign w:val="center"/>
            <w:hideMark/>
          </w:tcPr>
          <w:p w14:paraId="56182D63" w14:textId="59208128" w:rsidR="00695F87" w:rsidRPr="00695F87"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i/>
                <w:iCs/>
                <w:sz w:val="22"/>
                <w:szCs w:val="22"/>
              </w:rPr>
              <w:t>p</w:t>
            </w:r>
            <w:r>
              <w:rPr>
                <w:sz w:val="22"/>
                <w:szCs w:val="22"/>
              </w:rPr>
              <w:t xml:space="preserve"> = </w:t>
            </w:r>
            <w:r w:rsidR="00695F87" w:rsidRPr="00695F87">
              <w:rPr>
                <w:sz w:val="22"/>
                <w:szCs w:val="22"/>
              </w:rPr>
              <w:t>0.00072</w:t>
            </w:r>
          </w:p>
        </w:tc>
      </w:tr>
      <w:tr w:rsidR="00695F87" w:rsidRPr="00695F87" w14:paraId="19C5DA4C" w14:textId="77777777" w:rsidTr="00B656E2">
        <w:tc>
          <w:tcPr>
            <w:cnfStyle w:val="001000000000" w:firstRow="0" w:lastRow="0" w:firstColumn="1" w:lastColumn="0" w:oddVBand="0" w:evenVBand="0" w:oddHBand="0" w:evenHBand="0" w:firstRowFirstColumn="0" w:firstRowLastColumn="0" w:lastRowFirstColumn="0" w:lastRowLastColumn="0"/>
            <w:tcW w:w="2547" w:type="dxa"/>
            <w:vAlign w:val="center"/>
            <w:hideMark/>
          </w:tcPr>
          <w:p w14:paraId="1700C625" w14:textId="77777777" w:rsidR="00695F87" w:rsidRPr="00695F87" w:rsidRDefault="00695F87" w:rsidP="00BF32B9">
            <w:pPr>
              <w:jc w:val="center"/>
              <w:rPr>
                <w:sz w:val="22"/>
                <w:szCs w:val="22"/>
              </w:rPr>
            </w:pPr>
            <w:r w:rsidRPr="00695F87">
              <w:rPr>
                <w:sz w:val="22"/>
                <w:szCs w:val="22"/>
              </w:rPr>
              <w:t>Left Knee Joint Space Width (mm)†</w:t>
            </w:r>
          </w:p>
        </w:tc>
        <w:tc>
          <w:tcPr>
            <w:tcW w:w="2835" w:type="dxa"/>
            <w:vAlign w:val="center"/>
            <w:hideMark/>
          </w:tcPr>
          <w:p w14:paraId="13BE4918"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+0.3097</w:t>
            </w:r>
          </w:p>
        </w:tc>
        <w:tc>
          <w:tcPr>
            <w:tcW w:w="1276" w:type="dxa"/>
            <w:vAlign w:val="center"/>
            <w:hideMark/>
          </w:tcPr>
          <w:p w14:paraId="0606D46C" w14:textId="77777777" w:rsidR="00695F87" w:rsidRPr="00695F87"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695F87">
              <w:rPr>
                <w:sz w:val="22"/>
                <w:szCs w:val="22"/>
              </w:rPr>
              <w:t>0.0556</w:t>
            </w:r>
          </w:p>
        </w:tc>
        <w:tc>
          <w:tcPr>
            <w:tcW w:w="2417" w:type="dxa"/>
            <w:vAlign w:val="center"/>
            <w:hideMark/>
          </w:tcPr>
          <w:p w14:paraId="4F0FD746" w14:textId="77777777" w:rsidR="00695F87" w:rsidRPr="00B656E2" w:rsidRDefault="00695F87"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0.2007 to 0.4187</w:t>
            </w:r>
          </w:p>
        </w:tc>
        <w:tc>
          <w:tcPr>
            <w:tcW w:w="1552" w:type="dxa"/>
            <w:vAlign w:val="center"/>
            <w:hideMark/>
          </w:tcPr>
          <w:p w14:paraId="2DC2806E" w14:textId="7E5D8A89" w:rsidR="00695F87" w:rsidRPr="00695F87" w:rsidRDefault="00B656E2" w:rsidP="00BF32B9">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rFonts w:eastAsia="Calibri"/>
                <w:i/>
                <w:iCs/>
                <w:sz w:val="20"/>
                <w:szCs w:val="20"/>
              </w:rPr>
              <w:t>p</w:t>
            </w:r>
            <w:r>
              <w:rPr>
                <w:rFonts w:eastAsia="Calibri"/>
                <w:sz w:val="20"/>
                <w:szCs w:val="20"/>
              </w:rPr>
              <w:t xml:space="preserve"> </w:t>
            </w:r>
            <w:r w:rsidRPr="001838ED">
              <w:rPr>
                <w:rFonts w:eastAsia="Calibri"/>
                <w:sz w:val="20"/>
                <w:szCs w:val="20"/>
              </w:rPr>
              <w:t>&lt;</w:t>
            </w:r>
            <w:r>
              <w:rPr>
                <w:rFonts w:eastAsia="Calibri"/>
                <w:sz w:val="20"/>
                <w:szCs w:val="20"/>
              </w:rPr>
              <w:t xml:space="preserve"> </w:t>
            </w:r>
            <w:r w:rsidRPr="001838ED">
              <w:rPr>
                <w:rFonts w:eastAsia="Calibri"/>
                <w:sz w:val="20"/>
                <w:szCs w:val="20"/>
              </w:rPr>
              <w:t>0.001</w:t>
            </w:r>
          </w:p>
        </w:tc>
      </w:tr>
    </w:tbl>
    <w:p w14:paraId="4EA61040" w14:textId="77777777" w:rsidR="006E4E7C" w:rsidRDefault="006E4E7C" w:rsidP="00B62F8E"/>
    <w:p w14:paraId="12B10FB3" w14:textId="77777777" w:rsidR="006E4E7C" w:rsidRDefault="006E4E7C" w:rsidP="00016E05">
      <w:pPr>
        <w:ind w:left="-990" w:firstLine="180"/>
      </w:pPr>
    </w:p>
    <w:p w14:paraId="0D1C2141" w14:textId="5C66374B" w:rsidR="00016E05" w:rsidRPr="00016E05" w:rsidRDefault="00016E05" w:rsidP="00016E05">
      <w:pPr>
        <w:ind w:left="450"/>
      </w:pPr>
      <w:r w:rsidRPr="00016E05">
        <w:t>Supplementary Table S</w:t>
      </w:r>
      <w:r w:rsidR="00C74335">
        <w:t>6</w:t>
      </w:r>
      <w:r w:rsidRPr="00016E05">
        <w:t xml:space="preserve"> presents IPTW-adjusted analyses of binary clinical outcomes at 12 months, focusing on persistence of treatment requirements among patients with baseline comorbidities. After adjustment for baseline confounding, LSG was associated with a markedly lower probability of remaining on treatment across all major comorbid conditions.</w:t>
      </w:r>
    </w:p>
    <w:p w14:paraId="0B347B0E" w14:textId="77777777" w:rsidR="00016E05" w:rsidRPr="00016E05" w:rsidRDefault="00016E05" w:rsidP="00016E05">
      <w:pPr>
        <w:ind w:left="450"/>
      </w:pPr>
      <w:r w:rsidRPr="00016E05">
        <w:t>Among patients with baseline diabetes mellitus, the probability of still requiring treatment at 12 months was 39.7% in the LSG group compared with 100% in the conservative group, corresponding to an absolute risk reduction of 60.3% (95% CI: −0.869 to −0.342). Similarly, for hypertension, LSG reduced the probability of ongoing treatment by 66.2% compared with conservative management. The magnitude of effect was even more pronounced for osteoarthritis and obstructive sleep apnea, with absolute risk reductions of 94.8% and 83.7%, respectively.</w:t>
      </w:r>
    </w:p>
    <w:p w14:paraId="776183A7" w14:textId="77777777" w:rsidR="00016E05" w:rsidRPr="00016E05" w:rsidRDefault="00016E05" w:rsidP="00016E05">
      <w:pPr>
        <w:ind w:left="450"/>
      </w:pPr>
      <w:r w:rsidRPr="00016E05">
        <w:t>Importantly, when considering medication reduction or discontinuation for at least one baseline comorbidity, the IPTW-weighted probability was 100% in the LSG group compared with only 9.4% in the conservative group, yielding an absolute risk difference of 90.6% (95% CI: 0.786 to 1.000). The confidence intervals for all outcomes excluded zero, confirming statistical significance.</w:t>
      </w:r>
    </w:p>
    <w:p w14:paraId="59227506" w14:textId="77777777" w:rsidR="00016E05" w:rsidRDefault="00016E05" w:rsidP="00016E05">
      <w:pPr>
        <w:ind w:left="450"/>
      </w:pPr>
    </w:p>
    <w:p w14:paraId="65940D42" w14:textId="20E1B5B9" w:rsidR="006E4E7C" w:rsidRDefault="006E4E7C" w:rsidP="00016E05">
      <w:pPr>
        <w:ind w:left="450"/>
      </w:pPr>
      <w:r w:rsidRPr="006E4E7C">
        <w:t>Supplementary Table S</w:t>
      </w:r>
      <w:r w:rsidR="00C74335">
        <w:t>6</w:t>
      </w:r>
      <w:r w:rsidRPr="006E4E7C">
        <w:t>. IPTW-Weighted Analysis of Binary Clinical Outcomes at 12 Months</w:t>
      </w:r>
    </w:p>
    <w:tbl>
      <w:tblPr>
        <w:tblStyle w:val="GridTable1Light"/>
        <w:tblW w:w="10777" w:type="dxa"/>
        <w:tblLook w:val="04A0" w:firstRow="1" w:lastRow="0" w:firstColumn="1" w:lastColumn="0" w:noHBand="0" w:noVBand="1"/>
      </w:tblPr>
      <w:tblGrid>
        <w:gridCol w:w="2625"/>
        <w:gridCol w:w="2088"/>
        <w:gridCol w:w="1803"/>
        <w:gridCol w:w="2110"/>
        <w:gridCol w:w="2151"/>
      </w:tblGrid>
      <w:tr w:rsidR="00B95991" w:rsidRPr="006E4E7C" w14:paraId="28E158F9" w14:textId="77777777" w:rsidTr="00BF32B9">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625" w:type="dxa"/>
            <w:noWrap/>
            <w:vAlign w:val="center"/>
            <w:hideMark/>
          </w:tcPr>
          <w:p w14:paraId="36BB5A13" w14:textId="77777777" w:rsidR="00B95991" w:rsidRPr="006E4E7C" w:rsidRDefault="00B95991" w:rsidP="00BF32B9">
            <w:pPr>
              <w:jc w:val="center"/>
              <w:rPr>
                <w:rFonts w:ascii="Calibri" w:eastAsia="Times New Roman" w:hAnsi="Calibri" w:cs="Calibri"/>
                <w:b w:val="0"/>
                <w:bCs w:val="0"/>
                <w:kern w:val="0"/>
                <w:sz w:val="22"/>
                <w:szCs w:val="22"/>
                <w14:ligatures w14:val="none"/>
              </w:rPr>
            </w:pPr>
            <w:r w:rsidRPr="006E4E7C">
              <w:rPr>
                <w:rFonts w:ascii="Calibri" w:eastAsia="Times New Roman" w:hAnsi="Calibri" w:cs="Calibri"/>
                <w:kern w:val="0"/>
                <w:sz w:val="22"/>
                <w:szCs w:val="22"/>
                <w14:ligatures w14:val="none"/>
              </w:rPr>
              <w:lastRenderedPageBreak/>
              <w:t>Outcome (binary)</w:t>
            </w:r>
          </w:p>
        </w:tc>
        <w:tc>
          <w:tcPr>
            <w:tcW w:w="2088" w:type="dxa"/>
            <w:noWrap/>
            <w:vAlign w:val="center"/>
            <w:hideMark/>
          </w:tcPr>
          <w:p w14:paraId="4C7B4E43" w14:textId="77777777" w:rsidR="00B95991" w:rsidRPr="006E4E7C" w:rsidRDefault="00B95991" w:rsidP="00BF32B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kern w:val="0"/>
                <w:sz w:val="22"/>
                <w:szCs w:val="22"/>
                <w14:ligatures w14:val="none"/>
              </w:rPr>
            </w:pPr>
            <w:r w:rsidRPr="006E4E7C">
              <w:rPr>
                <w:rFonts w:ascii="Calibri" w:eastAsia="Times New Roman" w:hAnsi="Calibri" w:cs="Calibri"/>
                <w:kern w:val="0"/>
                <w:sz w:val="22"/>
                <w:szCs w:val="22"/>
                <w14:ligatures w14:val="none"/>
              </w:rPr>
              <w:t>IPTW-weighted probability (LSG)</w:t>
            </w:r>
          </w:p>
        </w:tc>
        <w:tc>
          <w:tcPr>
            <w:tcW w:w="1803" w:type="dxa"/>
            <w:noWrap/>
            <w:vAlign w:val="center"/>
            <w:hideMark/>
          </w:tcPr>
          <w:p w14:paraId="3176457F" w14:textId="77777777" w:rsidR="00B95991" w:rsidRPr="006E4E7C" w:rsidRDefault="00B95991" w:rsidP="00BF32B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kern w:val="0"/>
                <w:sz w:val="22"/>
                <w:szCs w:val="22"/>
                <w14:ligatures w14:val="none"/>
              </w:rPr>
            </w:pPr>
            <w:r w:rsidRPr="006E4E7C">
              <w:rPr>
                <w:rFonts w:ascii="Calibri" w:eastAsia="Times New Roman" w:hAnsi="Calibri" w:cs="Calibri"/>
                <w:kern w:val="0"/>
                <w:sz w:val="22"/>
                <w:szCs w:val="22"/>
                <w14:ligatures w14:val="none"/>
              </w:rPr>
              <w:t>IPTW-weighted probability (Conservative)</w:t>
            </w:r>
          </w:p>
        </w:tc>
        <w:tc>
          <w:tcPr>
            <w:tcW w:w="2110" w:type="dxa"/>
            <w:noWrap/>
            <w:vAlign w:val="center"/>
            <w:hideMark/>
          </w:tcPr>
          <w:p w14:paraId="215F75E3" w14:textId="77777777" w:rsidR="00BF32B9" w:rsidRDefault="00B95991" w:rsidP="00BF32B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kern w:val="0"/>
                <w:sz w:val="22"/>
                <w:szCs w:val="22"/>
                <w14:ligatures w14:val="none"/>
              </w:rPr>
            </w:pPr>
            <w:r w:rsidRPr="006E4E7C">
              <w:rPr>
                <w:rFonts w:ascii="Calibri" w:eastAsia="Times New Roman" w:hAnsi="Calibri" w:cs="Calibri"/>
                <w:kern w:val="0"/>
                <w:sz w:val="22"/>
                <w:szCs w:val="22"/>
                <w14:ligatures w14:val="none"/>
              </w:rPr>
              <w:t>Risk Difference</w:t>
            </w:r>
          </w:p>
          <w:p w14:paraId="2154D4DB" w14:textId="115C6A1C" w:rsidR="00B95991" w:rsidRPr="006E4E7C" w:rsidRDefault="00B95991" w:rsidP="00BF32B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kern w:val="0"/>
                <w:sz w:val="22"/>
                <w:szCs w:val="22"/>
                <w14:ligatures w14:val="none"/>
              </w:rPr>
            </w:pPr>
            <w:r w:rsidRPr="006E4E7C">
              <w:rPr>
                <w:rFonts w:ascii="Calibri" w:eastAsia="Times New Roman" w:hAnsi="Calibri" w:cs="Calibri"/>
                <w:kern w:val="0"/>
                <w:sz w:val="22"/>
                <w:szCs w:val="22"/>
                <w14:ligatures w14:val="none"/>
              </w:rPr>
              <w:t>(LSG - Conservative)</w:t>
            </w:r>
          </w:p>
        </w:tc>
        <w:tc>
          <w:tcPr>
            <w:tcW w:w="2151" w:type="dxa"/>
            <w:noWrap/>
            <w:vAlign w:val="center"/>
            <w:hideMark/>
          </w:tcPr>
          <w:p w14:paraId="4E76A67B" w14:textId="77777777" w:rsidR="00B95991" w:rsidRPr="006E4E7C" w:rsidRDefault="00B95991" w:rsidP="00BF32B9">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kern w:val="0"/>
                <w:sz w:val="22"/>
                <w:szCs w:val="22"/>
                <w14:ligatures w14:val="none"/>
              </w:rPr>
            </w:pPr>
            <w:r w:rsidRPr="006E4E7C">
              <w:rPr>
                <w:rFonts w:ascii="Calibri" w:eastAsia="Times New Roman" w:hAnsi="Calibri" w:cs="Calibri"/>
                <w:kern w:val="0"/>
                <w:sz w:val="22"/>
                <w:szCs w:val="22"/>
                <w14:ligatures w14:val="none"/>
              </w:rPr>
              <w:t>95% CI (bootstrap)</w:t>
            </w:r>
          </w:p>
        </w:tc>
      </w:tr>
      <w:tr w:rsidR="00B95991" w:rsidRPr="006E4E7C" w14:paraId="16EF5CC8" w14:textId="77777777" w:rsidTr="00BF32B9">
        <w:trPr>
          <w:trHeight w:val="284"/>
        </w:trPr>
        <w:tc>
          <w:tcPr>
            <w:cnfStyle w:val="001000000000" w:firstRow="0" w:lastRow="0" w:firstColumn="1" w:lastColumn="0" w:oddVBand="0" w:evenVBand="0" w:oddHBand="0" w:evenHBand="0" w:firstRowFirstColumn="0" w:firstRowLastColumn="0" w:lastRowFirstColumn="0" w:lastRowLastColumn="0"/>
            <w:tcW w:w="2625" w:type="dxa"/>
            <w:noWrap/>
            <w:vAlign w:val="center"/>
            <w:hideMark/>
          </w:tcPr>
          <w:p w14:paraId="681F1076" w14:textId="77777777" w:rsidR="00B95991" w:rsidRPr="006E4E7C" w:rsidRDefault="00B95991" w:rsidP="00BF32B9">
            <w:pPr>
              <w:jc w:val="center"/>
              <w:rPr>
                <w:rFonts w:ascii="Calibri" w:eastAsia="Times New Roman" w:hAnsi="Calibri" w:cs="Calibri"/>
                <w:color w:val="000000"/>
                <w:kern w:val="0"/>
                <w:sz w:val="22"/>
                <w:szCs w:val="22"/>
                <w14:ligatures w14:val="none"/>
              </w:rPr>
            </w:pPr>
            <w:r w:rsidRPr="006E4E7C">
              <w:rPr>
                <w:rFonts w:ascii="Calibri" w:eastAsia="Times New Roman" w:hAnsi="Calibri" w:cs="Calibri"/>
                <w:color w:val="000000"/>
                <w:kern w:val="0"/>
                <w:sz w:val="22"/>
                <w:szCs w:val="22"/>
                <w14:ligatures w14:val="none"/>
              </w:rPr>
              <w:t>Still on treatment for DM at 12 months (baseline DM only)</w:t>
            </w:r>
          </w:p>
        </w:tc>
        <w:tc>
          <w:tcPr>
            <w:tcW w:w="2088" w:type="dxa"/>
            <w:noWrap/>
            <w:vAlign w:val="center"/>
            <w:hideMark/>
          </w:tcPr>
          <w:p w14:paraId="0AC76E10"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0.39678</w:t>
            </w:r>
          </w:p>
        </w:tc>
        <w:tc>
          <w:tcPr>
            <w:tcW w:w="1803" w:type="dxa"/>
            <w:noWrap/>
            <w:vAlign w:val="center"/>
            <w:hideMark/>
          </w:tcPr>
          <w:p w14:paraId="1FD62492"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1</w:t>
            </w:r>
          </w:p>
        </w:tc>
        <w:tc>
          <w:tcPr>
            <w:tcW w:w="2110" w:type="dxa"/>
            <w:noWrap/>
            <w:vAlign w:val="center"/>
            <w:hideMark/>
          </w:tcPr>
          <w:p w14:paraId="7545B6D3"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-0.60322</w:t>
            </w:r>
          </w:p>
        </w:tc>
        <w:tc>
          <w:tcPr>
            <w:tcW w:w="2151" w:type="dxa"/>
            <w:noWrap/>
            <w:vAlign w:val="center"/>
            <w:hideMark/>
          </w:tcPr>
          <w:p w14:paraId="0E83A8ED"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-0.869 – -0.342</w:t>
            </w:r>
          </w:p>
        </w:tc>
      </w:tr>
      <w:tr w:rsidR="00B95991" w:rsidRPr="006E4E7C" w14:paraId="6478B1AF" w14:textId="77777777" w:rsidTr="00BF32B9">
        <w:trPr>
          <w:trHeight w:val="284"/>
        </w:trPr>
        <w:tc>
          <w:tcPr>
            <w:cnfStyle w:val="001000000000" w:firstRow="0" w:lastRow="0" w:firstColumn="1" w:lastColumn="0" w:oddVBand="0" w:evenVBand="0" w:oddHBand="0" w:evenHBand="0" w:firstRowFirstColumn="0" w:firstRowLastColumn="0" w:lastRowFirstColumn="0" w:lastRowLastColumn="0"/>
            <w:tcW w:w="2625" w:type="dxa"/>
            <w:noWrap/>
            <w:vAlign w:val="center"/>
            <w:hideMark/>
          </w:tcPr>
          <w:p w14:paraId="77C717D4" w14:textId="77777777" w:rsidR="00B95991" w:rsidRPr="006E4E7C" w:rsidRDefault="00B95991" w:rsidP="00BF32B9">
            <w:pPr>
              <w:jc w:val="center"/>
              <w:rPr>
                <w:rFonts w:ascii="Calibri" w:eastAsia="Times New Roman" w:hAnsi="Calibri" w:cs="Calibri"/>
                <w:color w:val="000000"/>
                <w:kern w:val="0"/>
                <w:sz w:val="22"/>
                <w:szCs w:val="22"/>
                <w14:ligatures w14:val="none"/>
              </w:rPr>
            </w:pPr>
            <w:r w:rsidRPr="006E4E7C">
              <w:rPr>
                <w:rFonts w:ascii="Calibri" w:eastAsia="Times New Roman" w:hAnsi="Calibri" w:cs="Calibri"/>
                <w:color w:val="000000"/>
                <w:kern w:val="0"/>
                <w:sz w:val="22"/>
                <w:szCs w:val="22"/>
                <w14:ligatures w14:val="none"/>
              </w:rPr>
              <w:t>Still on treatment for HTN at 12 months (baseline HTN only)</w:t>
            </w:r>
          </w:p>
        </w:tc>
        <w:tc>
          <w:tcPr>
            <w:tcW w:w="2088" w:type="dxa"/>
            <w:noWrap/>
            <w:vAlign w:val="center"/>
            <w:hideMark/>
          </w:tcPr>
          <w:p w14:paraId="2BEA228B"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0.337812</w:t>
            </w:r>
          </w:p>
        </w:tc>
        <w:tc>
          <w:tcPr>
            <w:tcW w:w="1803" w:type="dxa"/>
            <w:noWrap/>
            <w:vAlign w:val="center"/>
            <w:hideMark/>
          </w:tcPr>
          <w:p w14:paraId="503BF228"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1</w:t>
            </w:r>
          </w:p>
        </w:tc>
        <w:tc>
          <w:tcPr>
            <w:tcW w:w="2110" w:type="dxa"/>
            <w:noWrap/>
            <w:vAlign w:val="center"/>
            <w:hideMark/>
          </w:tcPr>
          <w:p w14:paraId="26C5C332"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-0.66219</w:t>
            </w:r>
          </w:p>
        </w:tc>
        <w:tc>
          <w:tcPr>
            <w:tcW w:w="2151" w:type="dxa"/>
            <w:noWrap/>
            <w:vAlign w:val="center"/>
            <w:hideMark/>
          </w:tcPr>
          <w:p w14:paraId="0BDE26C4"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-1.000 – -0.354</w:t>
            </w:r>
          </w:p>
        </w:tc>
      </w:tr>
      <w:tr w:rsidR="00B95991" w:rsidRPr="006E4E7C" w14:paraId="7BDD03DE" w14:textId="77777777" w:rsidTr="00BF32B9">
        <w:trPr>
          <w:trHeight w:val="284"/>
        </w:trPr>
        <w:tc>
          <w:tcPr>
            <w:cnfStyle w:val="001000000000" w:firstRow="0" w:lastRow="0" w:firstColumn="1" w:lastColumn="0" w:oddVBand="0" w:evenVBand="0" w:oddHBand="0" w:evenHBand="0" w:firstRowFirstColumn="0" w:firstRowLastColumn="0" w:lastRowFirstColumn="0" w:lastRowLastColumn="0"/>
            <w:tcW w:w="2625" w:type="dxa"/>
            <w:noWrap/>
            <w:vAlign w:val="center"/>
            <w:hideMark/>
          </w:tcPr>
          <w:p w14:paraId="05457852" w14:textId="77777777" w:rsidR="00B95991" w:rsidRPr="006E4E7C" w:rsidRDefault="00B95991" w:rsidP="00BF32B9">
            <w:pPr>
              <w:jc w:val="center"/>
              <w:rPr>
                <w:rFonts w:ascii="Calibri" w:eastAsia="Times New Roman" w:hAnsi="Calibri" w:cs="Calibri"/>
                <w:color w:val="000000"/>
                <w:kern w:val="0"/>
                <w:sz w:val="22"/>
                <w:szCs w:val="22"/>
                <w14:ligatures w14:val="none"/>
              </w:rPr>
            </w:pPr>
            <w:r w:rsidRPr="006E4E7C">
              <w:rPr>
                <w:rFonts w:ascii="Calibri" w:eastAsia="Times New Roman" w:hAnsi="Calibri" w:cs="Calibri"/>
                <w:color w:val="000000"/>
                <w:kern w:val="0"/>
                <w:sz w:val="22"/>
                <w:szCs w:val="22"/>
                <w14:ligatures w14:val="none"/>
              </w:rPr>
              <w:t>Still on treatment for OA at 12 months (baseline OA only)</w:t>
            </w:r>
          </w:p>
        </w:tc>
        <w:tc>
          <w:tcPr>
            <w:tcW w:w="2088" w:type="dxa"/>
            <w:noWrap/>
            <w:vAlign w:val="center"/>
            <w:hideMark/>
          </w:tcPr>
          <w:p w14:paraId="55258AEC"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0.052229</w:t>
            </w:r>
          </w:p>
        </w:tc>
        <w:tc>
          <w:tcPr>
            <w:tcW w:w="1803" w:type="dxa"/>
            <w:noWrap/>
            <w:vAlign w:val="center"/>
            <w:hideMark/>
          </w:tcPr>
          <w:p w14:paraId="1C4F7539"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1</w:t>
            </w:r>
          </w:p>
        </w:tc>
        <w:tc>
          <w:tcPr>
            <w:tcW w:w="2110" w:type="dxa"/>
            <w:noWrap/>
            <w:vAlign w:val="center"/>
            <w:hideMark/>
          </w:tcPr>
          <w:p w14:paraId="2F50DE5B"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-0.94777</w:t>
            </w:r>
          </w:p>
        </w:tc>
        <w:tc>
          <w:tcPr>
            <w:tcW w:w="2151" w:type="dxa"/>
            <w:noWrap/>
            <w:vAlign w:val="center"/>
            <w:hideMark/>
          </w:tcPr>
          <w:p w14:paraId="4C6F09F2"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-1.000 – -0.826</w:t>
            </w:r>
          </w:p>
        </w:tc>
      </w:tr>
      <w:tr w:rsidR="00B95991" w:rsidRPr="006E4E7C" w14:paraId="0992D7FC" w14:textId="77777777" w:rsidTr="00BF32B9">
        <w:trPr>
          <w:trHeight w:val="284"/>
        </w:trPr>
        <w:tc>
          <w:tcPr>
            <w:cnfStyle w:val="001000000000" w:firstRow="0" w:lastRow="0" w:firstColumn="1" w:lastColumn="0" w:oddVBand="0" w:evenVBand="0" w:oddHBand="0" w:evenHBand="0" w:firstRowFirstColumn="0" w:firstRowLastColumn="0" w:lastRowFirstColumn="0" w:lastRowLastColumn="0"/>
            <w:tcW w:w="2625" w:type="dxa"/>
            <w:noWrap/>
            <w:vAlign w:val="center"/>
            <w:hideMark/>
          </w:tcPr>
          <w:p w14:paraId="68EA4692" w14:textId="77777777" w:rsidR="00B95991" w:rsidRPr="006E4E7C" w:rsidRDefault="00B95991" w:rsidP="00BF32B9">
            <w:pPr>
              <w:jc w:val="center"/>
              <w:rPr>
                <w:rFonts w:ascii="Calibri" w:eastAsia="Times New Roman" w:hAnsi="Calibri" w:cs="Calibri"/>
                <w:color w:val="000000"/>
                <w:kern w:val="0"/>
                <w:sz w:val="22"/>
                <w:szCs w:val="22"/>
                <w14:ligatures w14:val="none"/>
              </w:rPr>
            </w:pPr>
            <w:r w:rsidRPr="006E4E7C">
              <w:rPr>
                <w:rFonts w:ascii="Calibri" w:eastAsia="Times New Roman" w:hAnsi="Calibri" w:cs="Calibri"/>
                <w:color w:val="000000"/>
                <w:kern w:val="0"/>
                <w:sz w:val="22"/>
                <w:szCs w:val="22"/>
                <w14:ligatures w14:val="none"/>
              </w:rPr>
              <w:t>Still on treatment for OSA at 12 months (baseline OSA only)</w:t>
            </w:r>
          </w:p>
        </w:tc>
        <w:tc>
          <w:tcPr>
            <w:tcW w:w="2088" w:type="dxa"/>
            <w:noWrap/>
            <w:vAlign w:val="center"/>
            <w:hideMark/>
          </w:tcPr>
          <w:p w14:paraId="7EA230AB"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0.162933</w:t>
            </w:r>
          </w:p>
        </w:tc>
        <w:tc>
          <w:tcPr>
            <w:tcW w:w="1803" w:type="dxa"/>
            <w:noWrap/>
            <w:vAlign w:val="center"/>
            <w:hideMark/>
          </w:tcPr>
          <w:p w14:paraId="2F3203F6"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1</w:t>
            </w:r>
          </w:p>
        </w:tc>
        <w:tc>
          <w:tcPr>
            <w:tcW w:w="2110" w:type="dxa"/>
            <w:noWrap/>
            <w:vAlign w:val="center"/>
            <w:hideMark/>
          </w:tcPr>
          <w:p w14:paraId="2CCEC750"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-0.83707</w:t>
            </w:r>
          </w:p>
        </w:tc>
        <w:tc>
          <w:tcPr>
            <w:tcW w:w="2151" w:type="dxa"/>
            <w:noWrap/>
            <w:vAlign w:val="center"/>
            <w:hideMark/>
          </w:tcPr>
          <w:p w14:paraId="13C124D4"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-1.000 – -0.595</w:t>
            </w:r>
          </w:p>
        </w:tc>
      </w:tr>
      <w:tr w:rsidR="00B95991" w:rsidRPr="006E4E7C" w14:paraId="473910F5" w14:textId="77777777" w:rsidTr="00BF32B9">
        <w:trPr>
          <w:trHeight w:val="284"/>
        </w:trPr>
        <w:tc>
          <w:tcPr>
            <w:cnfStyle w:val="001000000000" w:firstRow="0" w:lastRow="0" w:firstColumn="1" w:lastColumn="0" w:oddVBand="0" w:evenVBand="0" w:oddHBand="0" w:evenHBand="0" w:firstRowFirstColumn="0" w:firstRowLastColumn="0" w:lastRowFirstColumn="0" w:lastRowLastColumn="0"/>
            <w:tcW w:w="2625" w:type="dxa"/>
            <w:noWrap/>
            <w:vAlign w:val="center"/>
            <w:hideMark/>
          </w:tcPr>
          <w:p w14:paraId="61749505" w14:textId="77777777" w:rsidR="00B95991" w:rsidRPr="006E4E7C" w:rsidRDefault="00B95991" w:rsidP="00BF32B9">
            <w:pPr>
              <w:jc w:val="center"/>
              <w:rPr>
                <w:rFonts w:ascii="Calibri" w:eastAsia="Times New Roman" w:hAnsi="Calibri" w:cs="Calibri"/>
                <w:color w:val="000000"/>
                <w:kern w:val="0"/>
                <w:sz w:val="22"/>
                <w:szCs w:val="22"/>
                <w14:ligatures w14:val="none"/>
              </w:rPr>
            </w:pPr>
            <w:r w:rsidRPr="006E4E7C">
              <w:rPr>
                <w:rFonts w:ascii="Calibri" w:eastAsia="Times New Roman" w:hAnsi="Calibri" w:cs="Calibri"/>
                <w:color w:val="000000"/>
                <w:kern w:val="0"/>
                <w:sz w:val="22"/>
                <w:szCs w:val="22"/>
                <w14:ligatures w14:val="none"/>
              </w:rPr>
              <w:t>Medication reduction/discontinuation for ≥1 comorbidity (any baseline comorbidity)</w:t>
            </w:r>
          </w:p>
        </w:tc>
        <w:tc>
          <w:tcPr>
            <w:tcW w:w="2088" w:type="dxa"/>
            <w:noWrap/>
            <w:vAlign w:val="center"/>
            <w:hideMark/>
          </w:tcPr>
          <w:p w14:paraId="5085BCAE"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1</w:t>
            </w:r>
          </w:p>
        </w:tc>
        <w:tc>
          <w:tcPr>
            <w:tcW w:w="1803" w:type="dxa"/>
            <w:noWrap/>
            <w:vAlign w:val="center"/>
            <w:hideMark/>
          </w:tcPr>
          <w:p w14:paraId="35A42D36"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0.094003</w:t>
            </w:r>
          </w:p>
        </w:tc>
        <w:tc>
          <w:tcPr>
            <w:tcW w:w="2110" w:type="dxa"/>
            <w:noWrap/>
            <w:vAlign w:val="center"/>
            <w:hideMark/>
          </w:tcPr>
          <w:p w14:paraId="76674DD3"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0.905997</w:t>
            </w:r>
          </w:p>
        </w:tc>
        <w:tc>
          <w:tcPr>
            <w:tcW w:w="2151" w:type="dxa"/>
            <w:noWrap/>
            <w:vAlign w:val="center"/>
            <w:hideMark/>
          </w:tcPr>
          <w:p w14:paraId="7421965A" w14:textId="77777777" w:rsidR="00B95991" w:rsidRPr="00B656E2" w:rsidRDefault="00B95991" w:rsidP="00B656E2">
            <w:pPr>
              <w:jc w:val="center"/>
              <w:cnfStyle w:val="000000000000" w:firstRow="0" w:lastRow="0" w:firstColumn="0" w:lastColumn="0" w:oddVBand="0" w:evenVBand="0" w:oddHBand="0" w:evenHBand="0" w:firstRowFirstColumn="0" w:firstRowLastColumn="0" w:lastRowFirstColumn="0" w:lastRowLastColumn="0"/>
              <w:rPr>
                <w:sz w:val="22"/>
                <w:szCs w:val="22"/>
              </w:rPr>
            </w:pPr>
            <w:r w:rsidRPr="00B656E2">
              <w:rPr>
                <w:sz w:val="22"/>
                <w:szCs w:val="22"/>
              </w:rPr>
              <w:t>0.786 – 1.000</w:t>
            </w:r>
          </w:p>
        </w:tc>
      </w:tr>
    </w:tbl>
    <w:p w14:paraId="17E8F858" w14:textId="77777777" w:rsidR="006E4E7C" w:rsidRDefault="006E4E7C" w:rsidP="00016E05">
      <w:pPr>
        <w:ind w:left="450"/>
      </w:pPr>
    </w:p>
    <w:p w14:paraId="4BF581F8" w14:textId="77777777" w:rsidR="00016E05" w:rsidRDefault="00016E05">
      <w:pPr>
        <w:ind w:left="450"/>
      </w:pPr>
    </w:p>
    <w:sectPr w:rsidR="00016E05" w:rsidSect="00016E05">
      <w:pgSz w:w="12240" w:h="15840"/>
      <w:pgMar w:top="1440" w:right="1440" w:bottom="144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F8E"/>
    <w:rsid w:val="00016E05"/>
    <w:rsid w:val="00075B3E"/>
    <w:rsid w:val="00111AB6"/>
    <w:rsid w:val="00171FEA"/>
    <w:rsid w:val="001A1A6B"/>
    <w:rsid w:val="003D16FF"/>
    <w:rsid w:val="004D400B"/>
    <w:rsid w:val="005133CB"/>
    <w:rsid w:val="00695F87"/>
    <w:rsid w:val="006E4E7C"/>
    <w:rsid w:val="0075406F"/>
    <w:rsid w:val="00911C30"/>
    <w:rsid w:val="00950EA2"/>
    <w:rsid w:val="00A7274A"/>
    <w:rsid w:val="00A8103C"/>
    <w:rsid w:val="00B62F8E"/>
    <w:rsid w:val="00B656E2"/>
    <w:rsid w:val="00B95991"/>
    <w:rsid w:val="00BB7527"/>
    <w:rsid w:val="00BE2A8D"/>
    <w:rsid w:val="00BF32B9"/>
    <w:rsid w:val="00C74335"/>
    <w:rsid w:val="00DB562C"/>
    <w:rsid w:val="00DD69D9"/>
    <w:rsid w:val="00E923CE"/>
    <w:rsid w:val="00EE5CA0"/>
    <w:rsid w:val="00F318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78BB7"/>
  <w15:chartTrackingRefBased/>
  <w15:docId w15:val="{8944262F-1385-4B60-A9E2-738D7E3F6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2F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2F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2F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2F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2F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2F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2F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2F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2F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F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2F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2F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2F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2F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2F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2F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2F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2F8E"/>
    <w:rPr>
      <w:rFonts w:eastAsiaTheme="majorEastAsia" w:cstheme="majorBidi"/>
      <w:color w:val="272727" w:themeColor="text1" w:themeTint="D8"/>
    </w:rPr>
  </w:style>
  <w:style w:type="paragraph" w:styleId="Title">
    <w:name w:val="Title"/>
    <w:basedOn w:val="Normal"/>
    <w:next w:val="Normal"/>
    <w:link w:val="TitleChar"/>
    <w:uiPriority w:val="10"/>
    <w:qFormat/>
    <w:rsid w:val="00B62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F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2F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2F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2F8E"/>
    <w:pPr>
      <w:spacing w:before="160"/>
      <w:jc w:val="center"/>
    </w:pPr>
    <w:rPr>
      <w:i/>
      <w:iCs/>
      <w:color w:val="404040" w:themeColor="text1" w:themeTint="BF"/>
    </w:rPr>
  </w:style>
  <w:style w:type="character" w:customStyle="1" w:styleId="QuoteChar">
    <w:name w:val="Quote Char"/>
    <w:basedOn w:val="DefaultParagraphFont"/>
    <w:link w:val="Quote"/>
    <w:uiPriority w:val="29"/>
    <w:rsid w:val="00B62F8E"/>
    <w:rPr>
      <w:i/>
      <w:iCs/>
      <w:color w:val="404040" w:themeColor="text1" w:themeTint="BF"/>
    </w:rPr>
  </w:style>
  <w:style w:type="paragraph" w:styleId="ListParagraph">
    <w:name w:val="List Paragraph"/>
    <w:basedOn w:val="Normal"/>
    <w:uiPriority w:val="34"/>
    <w:qFormat/>
    <w:rsid w:val="00B62F8E"/>
    <w:pPr>
      <w:ind w:left="720"/>
      <w:contextualSpacing/>
    </w:pPr>
  </w:style>
  <w:style w:type="character" w:styleId="IntenseEmphasis">
    <w:name w:val="Intense Emphasis"/>
    <w:basedOn w:val="DefaultParagraphFont"/>
    <w:uiPriority w:val="21"/>
    <w:qFormat/>
    <w:rsid w:val="00B62F8E"/>
    <w:rPr>
      <w:i/>
      <w:iCs/>
      <w:color w:val="0F4761" w:themeColor="accent1" w:themeShade="BF"/>
    </w:rPr>
  </w:style>
  <w:style w:type="paragraph" w:styleId="IntenseQuote">
    <w:name w:val="Intense Quote"/>
    <w:basedOn w:val="Normal"/>
    <w:next w:val="Normal"/>
    <w:link w:val="IntenseQuoteChar"/>
    <w:uiPriority w:val="30"/>
    <w:qFormat/>
    <w:rsid w:val="00B62F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2F8E"/>
    <w:rPr>
      <w:i/>
      <w:iCs/>
      <w:color w:val="0F4761" w:themeColor="accent1" w:themeShade="BF"/>
    </w:rPr>
  </w:style>
  <w:style w:type="character" w:styleId="IntenseReference">
    <w:name w:val="Intense Reference"/>
    <w:basedOn w:val="DefaultParagraphFont"/>
    <w:uiPriority w:val="32"/>
    <w:qFormat/>
    <w:rsid w:val="00B62F8E"/>
    <w:rPr>
      <w:b/>
      <w:bCs/>
      <w:smallCaps/>
      <w:color w:val="0F4761" w:themeColor="accent1" w:themeShade="BF"/>
      <w:spacing w:val="5"/>
    </w:rPr>
  </w:style>
  <w:style w:type="paragraph" w:styleId="NormalWeb">
    <w:name w:val="Normal (Web)"/>
    <w:basedOn w:val="Normal"/>
    <w:uiPriority w:val="99"/>
    <w:semiHidden/>
    <w:unhideWhenUsed/>
    <w:rsid w:val="003D16FF"/>
    <w:rPr>
      <w:rFonts w:ascii="Times New Roman" w:hAnsi="Times New Roman" w:cs="Times New Roman"/>
    </w:rPr>
  </w:style>
  <w:style w:type="table" w:styleId="GridTable1Light">
    <w:name w:val="Grid Table 1 Light"/>
    <w:basedOn w:val="TableNormal"/>
    <w:uiPriority w:val="46"/>
    <w:rsid w:val="00BF32B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8</Pages>
  <Words>2205</Words>
  <Characters>12570</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Nermin Ahmed</dc:creator>
  <cp:keywords/>
  <dc:description/>
  <cp:lastModifiedBy>Khaled E Barakat</cp:lastModifiedBy>
  <cp:revision>26</cp:revision>
  <dcterms:created xsi:type="dcterms:W3CDTF">2026-02-25T11:32:00Z</dcterms:created>
  <dcterms:modified xsi:type="dcterms:W3CDTF">2026-03-19T10:32:00Z</dcterms:modified>
</cp:coreProperties>
</file>