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A2D02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Arial Narrow" w:hAnsi="Arial Narrow" w:eastAsia="Arial Narrow" w:cs="Arial Narrow"/>
          <w:i w:val="0"/>
          <w:iCs w:val="0"/>
          <w:color w:val="000000"/>
          <w:spacing w:val="0"/>
          <w:sz w:val="14"/>
          <w:szCs w:val="14"/>
        </w:rPr>
      </w:pP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593"/>
        <w:gridCol w:w="3"/>
        <w:gridCol w:w="770"/>
        <w:gridCol w:w="3"/>
        <w:gridCol w:w="12"/>
        <w:gridCol w:w="920"/>
        <w:gridCol w:w="15"/>
        <w:gridCol w:w="957"/>
        <w:gridCol w:w="15"/>
        <w:gridCol w:w="957"/>
        <w:gridCol w:w="15"/>
        <w:gridCol w:w="984"/>
        <w:gridCol w:w="1615"/>
        <w:gridCol w:w="17"/>
        <w:gridCol w:w="1135"/>
        <w:gridCol w:w="1135"/>
        <w:gridCol w:w="47"/>
        <w:gridCol w:w="1051"/>
        <w:gridCol w:w="17"/>
        <w:gridCol w:w="17"/>
        <w:gridCol w:w="920"/>
        <w:gridCol w:w="1697"/>
        <w:gridCol w:w="1638"/>
        <w:gridCol w:w="17"/>
      </w:tblGrid>
      <w:tr w14:paraId="43126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  <w:tblHeader/>
        </w:trPr>
        <w:tc>
          <w:tcPr>
            <w:tcW w:w="2362" w:type="pct"/>
            <w:gridSpan w:val="14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54F2F846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Certainty assessment</w:t>
            </w:r>
          </w:p>
        </w:tc>
        <w:tc>
          <w:tcPr>
            <w:tcW w:w="780" w:type="pct"/>
            <w:gridSpan w:val="2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6EF88286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№ of patients</w:t>
            </w:r>
          </w:p>
        </w:tc>
        <w:tc>
          <w:tcPr>
            <w:tcW w:w="705" w:type="pct"/>
            <w:gridSpan w:val="5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374551B6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Effect</w:t>
            </w:r>
          </w:p>
        </w:tc>
        <w:tc>
          <w:tcPr>
            <w:tcW w:w="583" w:type="pct"/>
            <w:vMerge w:val="restart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1B34EAF1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Certainty</w:t>
            </w:r>
          </w:p>
        </w:tc>
      </w:tr>
      <w:tr w14:paraId="56C5E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  <w:tblHeader/>
        </w:trPr>
        <w:tc>
          <w:tcPr>
            <w:tcW w:w="204" w:type="pct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4B481CE2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№ of studies</w:t>
            </w:r>
          </w:p>
        </w:tc>
        <w:tc>
          <w:tcPr>
            <w:tcW w:w="266" w:type="pct"/>
            <w:gridSpan w:val="2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5DA8AF4A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Study design</w:t>
            </w:r>
          </w:p>
        </w:tc>
        <w:tc>
          <w:tcPr>
            <w:tcW w:w="326" w:type="pct"/>
            <w:gridSpan w:val="4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7515412A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Risk of bias</w:t>
            </w:r>
          </w:p>
        </w:tc>
        <w:tc>
          <w:tcPr>
            <w:tcW w:w="334" w:type="pct"/>
            <w:gridSpan w:val="2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6D9370A7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Inconsistency</w:t>
            </w:r>
          </w:p>
        </w:tc>
        <w:tc>
          <w:tcPr>
            <w:tcW w:w="334" w:type="pct"/>
            <w:gridSpan w:val="2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52CC4582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Indirectness</w:t>
            </w:r>
          </w:p>
        </w:tc>
        <w:tc>
          <w:tcPr>
            <w:tcW w:w="338" w:type="pct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429E6DEE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Imprecision</w:t>
            </w:r>
          </w:p>
        </w:tc>
        <w:tc>
          <w:tcPr>
            <w:tcW w:w="558" w:type="pct"/>
            <w:gridSpan w:val="2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72196CE7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Other considerations</w:t>
            </w:r>
          </w:p>
        </w:tc>
        <w:tc>
          <w:tcPr>
            <w:tcW w:w="390" w:type="pct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01C2E0D9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Cholecystectomy</w:t>
            </w:r>
          </w:p>
        </w:tc>
        <w:tc>
          <w:tcPr>
            <w:tcW w:w="390" w:type="pct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774A3D8C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Conservative management</w:t>
            </w:r>
          </w:p>
        </w:tc>
        <w:tc>
          <w:tcPr>
            <w:tcW w:w="389" w:type="pct"/>
            <w:gridSpan w:val="4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2B961F26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Relative</w:t>
            </w: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(95% CI)</w:t>
            </w:r>
          </w:p>
        </w:tc>
        <w:tc>
          <w:tcPr>
            <w:tcW w:w="316" w:type="pct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3FC4F094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Absolute</w:t>
            </w: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(95% CI)</w:t>
            </w:r>
          </w:p>
        </w:tc>
        <w:tc>
          <w:tcPr>
            <w:tcW w:w="583" w:type="pct"/>
            <w:vMerge w:val="continue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124FA0BA">
            <w:pPr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</w:p>
        </w:tc>
      </w:tr>
      <w:tr w14:paraId="14CD2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1"/>
          <w:wAfter w:w="5" w:type="pct"/>
          <w:cantSplit/>
        </w:trPr>
        <w:tc>
          <w:tcPr>
            <w:tcW w:w="4994" w:type="pct"/>
            <w:gridSpan w:val="23"/>
            <w:shd w:val="clear" w:color="auto" w:fill="FFFFFF"/>
            <w:vAlign w:val="center"/>
          </w:tcPr>
          <w:p w14:paraId="715CFE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Biliary colic</w:t>
            </w:r>
          </w:p>
        </w:tc>
      </w:tr>
      <w:tr w14:paraId="1740C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</w:trPr>
        <w:tc>
          <w:tcPr>
            <w:tcW w:w="2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426ED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3</w:t>
            </w:r>
          </w:p>
        </w:tc>
        <w:tc>
          <w:tcPr>
            <w:tcW w:w="26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943A7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randomized trials</w:t>
            </w:r>
          </w:p>
        </w:tc>
        <w:tc>
          <w:tcPr>
            <w:tcW w:w="326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A3140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BFE5E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DDEDAF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3D108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55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57D2F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9141B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14/316 (4.4%) 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F096C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34/319 (10.7%) </w:t>
            </w:r>
          </w:p>
        </w:tc>
        <w:tc>
          <w:tcPr>
            <w:tcW w:w="38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26257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RR 0.43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(0.24 to 0.78)</w:t>
            </w:r>
          </w:p>
        </w:tc>
        <w:tc>
          <w:tcPr>
            <w:tcW w:w="3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A17B9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61 fewer per 1,000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(from 81 fewer to 23 fewer)</w:t>
            </w:r>
          </w:p>
        </w:tc>
        <w:tc>
          <w:tcPr>
            <w:tcW w:w="5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9F7D4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lang w:val="en-US"/>
              </w:rPr>
            </w:pPr>
            <w:r>
              <w:rPr>
                <w:rFonts w:hint="default" w:ascii="GRADE-quality" w:hAnsi="GRADE-quality" w:eastAsia="GRADE-quality" w:cs="GRADE-quality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⨁⨁◯◯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</w:tr>
      <w:tr w14:paraId="428A7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1"/>
          <w:wAfter w:w="5" w:type="pct"/>
          <w:cantSplit/>
        </w:trPr>
        <w:tc>
          <w:tcPr>
            <w:tcW w:w="4994" w:type="pct"/>
            <w:gridSpan w:val="23"/>
            <w:shd w:val="clear" w:color="auto" w:fill="FFFFFF"/>
            <w:vAlign w:val="center"/>
          </w:tcPr>
          <w:p w14:paraId="55DE64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Acute cholecystitis</w:t>
            </w:r>
          </w:p>
        </w:tc>
      </w:tr>
      <w:tr w14:paraId="3F476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</w:trPr>
        <w:tc>
          <w:tcPr>
            <w:tcW w:w="2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2710A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3</w:t>
            </w:r>
          </w:p>
        </w:tc>
        <w:tc>
          <w:tcPr>
            <w:tcW w:w="26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53D4D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randomized trials</w:t>
            </w:r>
          </w:p>
        </w:tc>
        <w:tc>
          <w:tcPr>
            <w:tcW w:w="326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722A8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DEAE3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C2487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45B8F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Very 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b,c</w:t>
            </w:r>
          </w:p>
        </w:tc>
        <w:tc>
          <w:tcPr>
            <w:tcW w:w="55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4F9E5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AA27B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8/316 (2.5%) 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4BB8D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23/319 (7.2%) </w:t>
            </w:r>
          </w:p>
        </w:tc>
        <w:tc>
          <w:tcPr>
            <w:tcW w:w="38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A3A39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RR 0.47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(0.21 to 1.02)</w:t>
            </w:r>
          </w:p>
        </w:tc>
        <w:tc>
          <w:tcPr>
            <w:tcW w:w="3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0ECD3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38 fewer per 1,000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(from 57 fewer to 1 more)</w:t>
            </w:r>
          </w:p>
        </w:tc>
        <w:tc>
          <w:tcPr>
            <w:tcW w:w="5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6F436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lang w:val="en-US"/>
              </w:rPr>
            </w:pPr>
            <w:r>
              <w:rPr>
                <w:rFonts w:hint="default" w:ascii="GRADE-quality" w:hAnsi="GRADE-quality" w:eastAsia="GRADE-quality" w:cs="GRADE-quality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⨁⨁◯ ◯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</w:tr>
      <w:tr w14:paraId="6CF14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1"/>
          <w:wAfter w:w="5" w:type="pct"/>
          <w:cantSplit/>
        </w:trPr>
        <w:tc>
          <w:tcPr>
            <w:tcW w:w="4994" w:type="pct"/>
            <w:gridSpan w:val="23"/>
            <w:shd w:val="clear" w:color="auto" w:fill="FFFFFF"/>
            <w:vAlign w:val="center"/>
          </w:tcPr>
          <w:p w14:paraId="196DDB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Acute pancreatitis</w:t>
            </w:r>
          </w:p>
        </w:tc>
      </w:tr>
      <w:tr w14:paraId="29F78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</w:trPr>
        <w:tc>
          <w:tcPr>
            <w:tcW w:w="2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AB9C5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4</w:t>
            </w:r>
          </w:p>
        </w:tc>
        <w:tc>
          <w:tcPr>
            <w:tcW w:w="26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20DDF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randomized trials</w:t>
            </w:r>
          </w:p>
        </w:tc>
        <w:tc>
          <w:tcPr>
            <w:tcW w:w="326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C3882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5FFCC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1FC012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5792D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b,d</w:t>
            </w:r>
          </w:p>
        </w:tc>
        <w:tc>
          <w:tcPr>
            <w:tcW w:w="55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7AF2D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61B62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4/340 (1.2%) 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63F07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4/337 (1.2%) </w:t>
            </w:r>
          </w:p>
        </w:tc>
        <w:tc>
          <w:tcPr>
            <w:tcW w:w="38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6D0D8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RR 0.98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(0.26 to 3.79)</w:t>
            </w:r>
          </w:p>
        </w:tc>
        <w:tc>
          <w:tcPr>
            <w:tcW w:w="3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38064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0 fewer per 1,000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(from 9 fewer to 33 more)</w:t>
            </w:r>
          </w:p>
        </w:tc>
        <w:tc>
          <w:tcPr>
            <w:tcW w:w="5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2FB53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GRADE-quality" w:hAnsi="GRADE-quality" w:eastAsia="GRADE-quality" w:cs="GRADE-quality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⨁⨁◯◯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</w:tr>
      <w:tr w14:paraId="43F42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1"/>
          <w:wAfter w:w="5" w:type="pct"/>
          <w:cantSplit/>
        </w:trPr>
        <w:tc>
          <w:tcPr>
            <w:tcW w:w="4994" w:type="pct"/>
            <w:gridSpan w:val="23"/>
            <w:shd w:val="clear" w:color="auto" w:fill="FFFFFF"/>
            <w:vAlign w:val="center"/>
          </w:tcPr>
          <w:p w14:paraId="7BDED5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CBD stones</w:t>
            </w:r>
          </w:p>
        </w:tc>
      </w:tr>
      <w:tr w14:paraId="6D390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</w:trPr>
        <w:tc>
          <w:tcPr>
            <w:tcW w:w="2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79C60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4</w:t>
            </w:r>
          </w:p>
        </w:tc>
        <w:tc>
          <w:tcPr>
            <w:tcW w:w="26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DEB3E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randomized trials</w:t>
            </w:r>
          </w:p>
        </w:tc>
        <w:tc>
          <w:tcPr>
            <w:tcW w:w="326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398818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0F623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5D7F9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A0778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very 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b,e</w:t>
            </w:r>
          </w:p>
        </w:tc>
        <w:tc>
          <w:tcPr>
            <w:tcW w:w="55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F1A16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1376B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2/340 (0.6%) 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AE076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8/337 (2.4%) </w:t>
            </w:r>
          </w:p>
        </w:tc>
        <w:tc>
          <w:tcPr>
            <w:tcW w:w="38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E3F9B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RR 0.32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(0.09 to 1.18)</w:t>
            </w:r>
          </w:p>
        </w:tc>
        <w:tc>
          <w:tcPr>
            <w:tcW w:w="3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6312E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16 fewer per 1,000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(from 22 fewer to 4 more)</w:t>
            </w:r>
          </w:p>
        </w:tc>
        <w:tc>
          <w:tcPr>
            <w:tcW w:w="5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4BE4B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GRADE-quality" w:hAnsi="GRADE-quality" w:eastAsia="GRADE-quality" w:cs="GRADE-quality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⨁⨁◯◯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</w:tr>
      <w:tr w14:paraId="69FDD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1"/>
          <w:wAfter w:w="5" w:type="pct"/>
          <w:cantSplit/>
        </w:trPr>
        <w:tc>
          <w:tcPr>
            <w:tcW w:w="4994" w:type="pct"/>
            <w:gridSpan w:val="23"/>
            <w:shd w:val="clear" w:color="auto" w:fill="FFFFFF"/>
            <w:vAlign w:val="center"/>
          </w:tcPr>
          <w:p w14:paraId="4E3872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Overall gallstone complications</w:t>
            </w:r>
          </w:p>
        </w:tc>
      </w:tr>
      <w:tr w14:paraId="0BC40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</w:trPr>
        <w:tc>
          <w:tcPr>
            <w:tcW w:w="2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6A057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4</w:t>
            </w:r>
          </w:p>
        </w:tc>
        <w:tc>
          <w:tcPr>
            <w:tcW w:w="26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E3F0F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randomized trials</w:t>
            </w:r>
          </w:p>
        </w:tc>
        <w:tc>
          <w:tcPr>
            <w:tcW w:w="326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ED8AF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659B7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f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38180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F0235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55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A9B96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5F256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17/340 (5.0%) 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59D3D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45/337 (13.4%) </w:t>
            </w:r>
          </w:p>
        </w:tc>
        <w:tc>
          <w:tcPr>
            <w:tcW w:w="38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6701E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RR 0.40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(0.23 to 0.69)</w:t>
            </w:r>
          </w:p>
        </w:tc>
        <w:tc>
          <w:tcPr>
            <w:tcW w:w="3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45D9B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80 fewer per 1,000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(from 103 fewer to 41 fewer)</w:t>
            </w:r>
          </w:p>
        </w:tc>
        <w:tc>
          <w:tcPr>
            <w:tcW w:w="5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6922A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GRADE-quality" w:hAnsi="GRADE-quality" w:eastAsia="GRADE-quality" w:cs="GRADE-quality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⨁⨁◯◯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</w:tr>
      <w:tr w14:paraId="05ED0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1"/>
          <w:wAfter w:w="5" w:type="pct"/>
          <w:cantSplit/>
        </w:trPr>
        <w:tc>
          <w:tcPr>
            <w:tcW w:w="4994" w:type="pct"/>
            <w:gridSpan w:val="23"/>
            <w:shd w:val="clear" w:color="auto" w:fill="FFFFFF"/>
            <w:vAlign w:val="center"/>
          </w:tcPr>
          <w:p w14:paraId="7F0E88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Bile duct injury</w:t>
            </w:r>
          </w:p>
        </w:tc>
      </w:tr>
      <w:tr w14:paraId="6996F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</w:trPr>
        <w:tc>
          <w:tcPr>
            <w:tcW w:w="2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AC4CB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3</w:t>
            </w:r>
          </w:p>
        </w:tc>
        <w:tc>
          <w:tcPr>
            <w:tcW w:w="26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776BA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randomized trials</w:t>
            </w:r>
          </w:p>
        </w:tc>
        <w:tc>
          <w:tcPr>
            <w:tcW w:w="326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CD23D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24717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474BA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628DBD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very 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b,g</w:t>
            </w:r>
          </w:p>
        </w:tc>
        <w:tc>
          <w:tcPr>
            <w:tcW w:w="55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D789D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FE0E4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4/316 (1.3%) 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8E566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5/319 (1.6%) </w:t>
            </w:r>
          </w:p>
        </w:tc>
        <w:tc>
          <w:tcPr>
            <w:tcW w:w="38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7814A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RR 1.04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(0.11 to 9.87)</w:t>
            </w:r>
          </w:p>
        </w:tc>
        <w:tc>
          <w:tcPr>
            <w:tcW w:w="3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EA680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3 fewer per 1,000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(from 12 fewer to 32 more)</w:t>
            </w:r>
          </w:p>
        </w:tc>
        <w:tc>
          <w:tcPr>
            <w:tcW w:w="5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597AD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GRADE-quality" w:hAnsi="GRADE-quality" w:eastAsia="GRADE-quality" w:cs="GRADE-quality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⨁⨁◯◯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</w:tr>
      <w:tr w14:paraId="6A8DA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1"/>
          <w:wAfter w:w="5" w:type="pct"/>
          <w:cantSplit/>
        </w:trPr>
        <w:tc>
          <w:tcPr>
            <w:tcW w:w="4994" w:type="pct"/>
            <w:gridSpan w:val="23"/>
            <w:shd w:val="clear" w:color="auto" w:fill="FFFFFF"/>
            <w:vAlign w:val="center"/>
          </w:tcPr>
          <w:p w14:paraId="50C290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Intraabdominal leakage</w:t>
            </w:r>
          </w:p>
        </w:tc>
      </w:tr>
      <w:tr w14:paraId="62630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</w:trPr>
        <w:tc>
          <w:tcPr>
            <w:tcW w:w="2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E3D31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3</w:t>
            </w:r>
          </w:p>
        </w:tc>
        <w:tc>
          <w:tcPr>
            <w:tcW w:w="26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EA8D5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randomized trials</w:t>
            </w:r>
          </w:p>
        </w:tc>
        <w:tc>
          <w:tcPr>
            <w:tcW w:w="326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A6AE4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EBABE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A1D51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00926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very 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b,h</w:t>
            </w:r>
          </w:p>
        </w:tc>
        <w:tc>
          <w:tcPr>
            <w:tcW w:w="55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DEDD0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D3A28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4/316 (1.3%) 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7DBAE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5/319 (1.6%) </w:t>
            </w:r>
          </w:p>
        </w:tc>
        <w:tc>
          <w:tcPr>
            <w:tcW w:w="38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742BA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RR 0.82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(0.22 to 3.01)</w:t>
            </w:r>
          </w:p>
        </w:tc>
        <w:tc>
          <w:tcPr>
            <w:tcW w:w="3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53FC7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3 fewer per 1,000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(from 12 fewer to 32 more)</w:t>
            </w:r>
          </w:p>
        </w:tc>
        <w:tc>
          <w:tcPr>
            <w:tcW w:w="5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2AE1D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GRADE-quality" w:hAnsi="GRADE-quality" w:eastAsia="GRADE-quality" w:cs="GRADE-quality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⨁⨁◯◯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</w:tr>
      <w:tr w14:paraId="168EE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1"/>
          <w:wAfter w:w="5" w:type="pct"/>
          <w:cantSplit/>
        </w:trPr>
        <w:tc>
          <w:tcPr>
            <w:tcW w:w="4994" w:type="pct"/>
            <w:gridSpan w:val="23"/>
            <w:shd w:val="clear" w:color="auto" w:fill="FFFFFF"/>
            <w:vAlign w:val="center"/>
          </w:tcPr>
          <w:p w14:paraId="7CC29E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wound infection</w:t>
            </w:r>
          </w:p>
        </w:tc>
      </w:tr>
      <w:tr w14:paraId="7DAC6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</w:trPr>
        <w:tc>
          <w:tcPr>
            <w:tcW w:w="2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1BCEC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3</w:t>
            </w:r>
          </w:p>
        </w:tc>
        <w:tc>
          <w:tcPr>
            <w:tcW w:w="26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01973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randomized trials</w:t>
            </w:r>
          </w:p>
        </w:tc>
        <w:tc>
          <w:tcPr>
            <w:tcW w:w="326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E5175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24AAB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BC8A6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565B1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very 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b,i</w:t>
            </w:r>
          </w:p>
        </w:tc>
        <w:tc>
          <w:tcPr>
            <w:tcW w:w="558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C4DC6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BA9C3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2/316 (0.6%) 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34A3D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1/319 (0.3%) </w:t>
            </w:r>
          </w:p>
        </w:tc>
        <w:tc>
          <w:tcPr>
            <w:tcW w:w="38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14B8B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RR 1.61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(0.20 to 12.95)</w:t>
            </w:r>
          </w:p>
        </w:tc>
        <w:tc>
          <w:tcPr>
            <w:tcW w:w="3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4FB46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2 more per 1,000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(from 3 fewer to 37 more)</w:t>
            </w:r>
          </w:p>
        </w:tc>
        <w:tc>
          <w:tcPr>
            <w:tcW w:w="5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36D08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GRADE-quality" w:hAnsi="GRADE-quality" w:eastAsia="GRADE-quality" w:cs="GRADE-quality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⨁⨁◯◯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</w:tr>
      <w:tr w14:paraId="42FFC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5000" w:type="pct"/>
            <w:gridSpan w:val="24"/>
            <w:shd w:val="clear" w:color="auto" w:fill="FFFFFF"/>
            <w:vAlign w:val="center"/>
          </w:tcPr>
          <w:p w14:paraId="3B105C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Overall surgical complications</w:t>
            </w:r>
          </w:p>
        </w:tc>
      </w:tr>
      <w:tr w14:paraId="46483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</w:trPr>
        <w:tc>
          <w:tcPr>
            <w:tcW w:w="20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B5D24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3</w:t>
            </w:r>
          </w:p>
        </w:tc>
        <w:tc>
          <w:tcPr>
            <w:tcW w:w="26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321B06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randomized trials</w:t>
            </w:r>
          </w:p>
        </w:tc>
        <w:tc>
          <w:tcPr>
            <w:tcW w:w="32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D3530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79E7C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f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CE25A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7AF36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5668C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39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F4708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59/316 (18.7%) </w:t>
            </w:r>
          </w:p>
        </w:tc>
        <w:tc>
          <w:tcPr>
            <w:tcW w:w="40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86388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23/319 (7.2%) </w:t>
            </w:r>
          </w:p>
        </w:tc>
        <w:tc>
          <w:tcPr>
            <w:tcW w:w="367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FAF5D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RR 2.56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(1.62 to 4.04)</w:t>
            </w:r>
          </w:p>
        </w:tc>
        <w:tc>
          <w:tcPr>
            <w:tcW w:w="321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9236E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112 more per 1,000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(from 45 more to 219 more)</w:t>
            </w:r>
          </w:p>
        </w:tc>
        <w:tc>
          <w:tcPr>
            <w:tcW w:w="5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34F62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GRADE-quality" w:hAnsi="GRADE-quality" w:eastAsia="GRADE-quality" w:cs="GRADE-quality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⨁⨁◯◯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</w:tr>
      <w:tr w14:paraId="6C9B8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  <w:tblHeader/>
        </w:trPr>
        <w:tc>
          <w:tcPr>
            <w:tcW w:w="2357" w:type="pct"/>
            <w:gridSpan w:val="13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57BBAC4F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Certainty assessment</w:t>
            </w:r>
          </w:p>
        </w:tc>
        <w:tc>
          <w:tcPr>
            <w:tcW w:w="802" w:type="pct"/>
            <w:gridSpan w:val="4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6CA83258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№ of patients</w:t>
            </w:r>
          </w:p>
        </w:tc>
        <w:tc>
          <w:tcPr>
            <w:tcW w:w="689" w:type="pct"/>
            <w:gridSpan w:val="4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69582C73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Effect</w:t>
            </w:r>
          </w:p>
        </w:tc>
        <w:tc>
          <w:tcPr>
            <w:tcW w:w="583" w:type="pct"/>
            <w:vMerge w:val="restart"/>
            <w:tcBorders>
              <w:top w:val="single" w:color="FFFFFF" w:sz="12" w:space="0"/>
              <w:left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070F4A30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Certainty</w:t>
            </w:r>
          </w:p>
        </w:tc>
      </w:tr>
      <w:tr w14:paraId="4797A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  <w:tblHeader/>
        </w:trPr>
        <w:tc>
          <w:tcPr>
            <w:tcW w:w="204" w:type="pct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547B8F7B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№ of studies</w:t>
            </w:r>
          </w:p>
        </w:tc>
        <w:tc>
          <w:tcPr>
            <w:tcW w:w="271" w:type="pct"/>
            <w:gridSpan w:val="4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012BC390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Study design</w:t>
            </w:r>
          </w:p>
        </w:tc>
        <w:tc>
          <w:tcPr>
            <w:tcW w:w="316" w:type="pct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2A954C0E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Risk of bias</w:t>
            </w:r>
          </w:p>
        </w:tc>
        <w:tc>
          <w:tcPr>
            <w:tcW w:w="334" w:type="pct"/>
            <w:gridSpan w:val="2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6A665C7A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Inconsistency</w:t>
            </w:r>
          </w:p>
        </w:tc>
        <w:tc>
          <w:tcPr>
            <w:tcW w:w="334" w:type="pct"/>
            <w:gridSpan w:val="2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159794C7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Indirectness</w:t>
            </w:r>
          </w:p>
        </w:tc>
        <w:tc>
          <w:tcPr>
            <w:tcW w:w="343" w:type="pct"/>
            <w:gridSpan w:val="2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62ABE09C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Imprecision</w:t>
            </w:r>
          </w:p>
        </w:tc>
        <w:tc>
          <w:tcPr>
            <w:tcW w:w="552" w:type="pct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6B6539F5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Other considerations</w:t>
            </w:r>
          </w:p>
        </w:tc>
        <w:tc>
          <w:tcPr>
            <w:tcW w:w="395" w:type="pct"/>
            <w:gridSpan w:val="2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4C6E542C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Cholecystectomy</w:t>
            </w:r>
          </w:p>
        </w:tc>
        <w:tc>
          <w:tcPr>
            <w:tcW w:w="406" w:type="pct"/>
            <w:gridSpan w:val="2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7AAF6C74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Conservative management</w:t>
            </w:r>
          </w:p>
        </w:tc>
        <w:tc>
          <w:tcPr>
            <w:tcW w:w="361" w:type="pct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28C77B67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Relative</w:t>
            </w: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(95% CI)</w:t>
            </w:r>
          </w:p>
        </w:tc>
        <w:tc>
          <w:tcPr>
            <w:tcW w:w="327" w:type="pct"/>
            <w:gridSpan w:val="3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6F0CEFCC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Absolute</w:t>
            </w: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(95% CI)</w:t>
            </w:r>
          </w:p>
        </w:tc>
        <w:tc>
          <w:tcPr>
            <w:tcW w:w="583" w:type="pct"/>
            <w:vMerge w:val="continue"/>
            <w:tcBorders>
              <w:left w:val="single" w:color="FFFFFF" w:sz="12" w:space="0"/>
              <w:right w:val="single" w:color="FFFFFF" w:sz="12" w:space="0"/>
            </w:tcBorders>
            <w:shd w:val="clear" w:color="auto" w:fill="2F5496"/>
            <w:vAlign w:val="center"/>
          </w:tcPr>
          <w:p w14:paraId="26149A4C">
            <w:pPr>
              <w:jc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</w:p>
        </w:tc>
      </w:tr>
      <w:tr w14:paraId="15C69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5000" w:type="pct"/>
            <w:gridSpan w:val="24"/>
            <w:shd w:val="clear" w:color="auto" w:fill="FFFFFF"/>
            <w:vAlign w:val="center"/>
          </w:tcPr>
          <w:p w14:paraId="691422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  <w:lang w:val="en-US"/>
              </w:rPr>
              <w:t>Patients who underwent surgery</w:t>
            </w:r>
          </w:p>
        </w:tc>
      </w:tr>
      <w:tr w14:paraId="442BC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</w:trPr>
        <w:tc>
          <w:tcPr>
            <w:tcW w:w="2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6C16A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4</w:t>
            </w:r>
          </w:p>
        </w:tc>
        <w:tc>
          <w:tcPr>
            <w:tcW w:w="271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2C827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randomized trials</w:t>
            </w:r>
          </w:p>
        </w:tc>
        <w:tc>
          <w:tcPr>
            <w:tcW w:w="3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737A3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9FF37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7D1DF6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4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5DFE3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9E3C0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39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70FC8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264/340 (77.6%) </w:t>
            </w:r>
          </w:p>
        </w:tc>
        <w:tc>
          <w:tcPr>
            <w:tcW w:w="40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0023DC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115/337 (34.1%) </w:t>
            </w:r>
          </w:p>
        </w:tc>
        <w:tc>
          <w:tcPr>
            <w:tcW w:w="3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71202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RR 2.24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(1.76 to 2.87)</w:t>
            </w:r>
          </w:p>
        </w:tc>
        <w:tc>
          <w:tcPr>
            <w:tcW w:w="32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597E3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399 more per 1,000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(from 293 more to 522 more)</w:t>
            </w:r>
          </w:p>
        </w:tc>
        <w:tc>
          <w:tcPr>
            <w:tcW w:w="5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60FD1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lang w:val="en-US"/>
              </w:rPr>
            </w:pPr>
            <w:r>
              <w:rPr>
                <w:rFonts w:hint="default" w:ascii="GRADE-quality" w:hAnsi="GRADE-quality" w:eastAsia="GRADE-quality" w:cs="GRADE-quality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⨁⨁⨁◯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Moderate</w:t>
            </w:r>
          </w:p>
        </w:tc>
      </w:tr>
      <w:tr w14:paraId="30477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5000" w:type="pct"/>
            <w:gridSpan w:val="24"/>
            <w:shd w:val="clear" w:color="auto" w:fill="FFFFFF"/>
            <w:vAlign w:val="center"/>
          </w:tcPr>
          <w:p w14:paraId="7E7852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color w:val="000000"/>
                <w:sz w:val="13"/>
                <w:szCs w:val="13"/>
                <w:lang w:val="en-US"/>
              </w:rPr>
              <w:t>Mortality</w:t>
            </w:r>
          </w:p>
        </w:tc>
      </w:tr>
      <w:tr w14:paraId="7BB2A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2"/>
          <w:wAfter w:w="568" w:type="pct"/>
          <w:cantSplit/>
        </w:trPr>
        <w:tc>
          <w:tcPr>
            <w:tcW w:w="2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57425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4</w:t>
            </w:r>
          </w:p>
        </w:tc>
        <w:tc>
          <w:tcPr>
            <w:tcW w:w="271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F85DE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randomized trials</w:t>
            </w:r>
          </w:p>
        </w:tc>
        <w:tc>
          <w:tcPr>
            <w:tcW w:w="3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1EAB02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A2979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3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C04B3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j</w:t>
            </w:r>
          </w:p>
        </w:tc>
        <w:tc>
          <w:tcPr>
            <w:tcW w:w="34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0BA9E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  <w:vertAlign w:val="superscript"/>
                <w:lang w:val="en-US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very serious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b,k</w:t>
            </w:r>
          </w:p>
        </w:tc>
        <w:tc>
          <w:tcPr>
            <w:tcW w:w="5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413E1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39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4C98B8B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22/340 (6.5%) </w:t>
            </w:r>
          </w:p>
        </w:tc>
        <w:tc>
          <w:tcPr>
            <w:tcW w:w="40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2325BE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16/337 (4.7%) </w:t>
            </w:r>
          </w:p>
        </w:tc>
        <w:tc>
          <w:tcPr>
            <w:tcW w:w="3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5F7F5A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RR 1.39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(0.79 to 2.46)</w:t>
            </w:r>
          </w:p>
        </w:tc>
        <w:tc>
          <w:tcPr>
            <w:tcW w:w="32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6CD3FF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Arial Narrow" w:hAnsi="Arial Narrow" w:eastAsia="Arial Narrow" w:cs="Arial Narrow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19 more per 1,000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(from 10 fewer to 69 more)</w:t>
            </w:r>
          </w:p>
        </w:tc>
        <w:tc>
          <w:tcPr>
            <w:tcW w:w="5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top"/>
          </w:tcPr>
          <w:p w14:paraId="3EB3E2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 Narrow" w:hAnsi="Arial Narrow" w:eastAsia="Arial Narrow" w:cs="Arial Narrow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GRADE-quality" w:hAnsi="GRADE-quality" w:eastAsia="GRADE-quality" w:cs="GRADE-quality"/>
                <w:i w:val="0"/>
                <w:iCs w:val="0"/>
                <w:kern w:val="0"/>
                <w:sz w:val="21"/>
                <w:szCs w:val="21"/>
                <w:lang w:val="en-US" w:eastAsia="zh-CN" w:bidi="ar"/>
              </w:rPr>
              <w:t>⨁◯◯◯</w:t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V</w:t>
            </w:r>
            <w:bookmarkStart w:id="0" w:name="_GoBack"/>
            <w:bookmarkEnd w:id="0"/>
            <w:r>
              <w:rPr>
                <w:rFonts w:hint="default" w:ascii="Arial Narrow" w:hAnsi="Arial Narrow" w:eastAsia="Arial Narrow" w:cs="Arial Narrow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ery low</w:t>
            </w:r>
          </w:p>
        </w:tc>
      </w:tr>
    </w:tbl>
    <w:p w14:paraId="76195F5C">
      <w:pPr>
        <w:pStyle w:val="5"/>
        <w:keepNext w:val="0"/>
        <w:keepLines w:val="0"/>
        <w:widowControl/>
        <w:suppressLineNumbers w:val="0"/>
        <w:spacing w:line="140" w:lineRule="atLeas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sz w:val="14"/>
          <w:szCs w:val="14"/>
        </w:rPr>
        <w:t>CI:</w:t>
      </w: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sz w:val="14"/>
          <w:szCs w:val="14"/>
        </w:rPr>
        <w:t xml:space="preserve"> confidence interval; </w:t>
      </w:r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sz w:val="14"/>
          <w:szCs w:val="14"/>
        </w:rPr>
        <w:t>RR:</w:t>
      </w: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sz w:val="14"/>
          <w:szCs w:val="14"/>
        </w:rPr>
        <w:t xml:space="preserve"> risk ratio</w:t>
      </w:r>
    </w:p>
    <w:p w14:paraId="4E80925B">
      <w:pPr>
        <w:pStyle w:val="2"/>
        <w:keepNext w:val="0"/>
        <w:keepLines w:val="0"/>
        <w:widowControl/>
        <w:suppressLineNumbers w:val="0"/>
        <w:spacing w:line="140" w:lineRule="atLeas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pacing w:val="0"/>
        </w:rPr>
        <w:t>Explanations</w:t>
      </w:r>
    </w:p>
    <w:p w14:paraId="19C3E36C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a: subgroup difference</w:t>
      </w:r>
      <w:r>
        <w:rPr>
          <w:rFonts w:hint="default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s lead to clinical heterogeneity</w:t>
      </w:r>
    </w:p>
    <w:p w14:paraId="57A4B7ED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b: limited number of studies</w:t>
      </w:r>
    </w:p>
    <w:p w14:paraId="37ED79DB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sz w:val="14"/>
          <w:szCs w:val="14"/>
        </w:rPr>
      </w:pP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c. As the CI includes the trivial or no effect benefit, 0.47 [0.21 - 1.02]</w:t>
      </w:r>
    </w:p>
    <w:p w14:paraId="2F441BAA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sz w:val="14"/>
          <w:szCs w:val="14"/>
        </w:rPr>
      </w:pP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d. Wide CI that includes the trivial effect in both directions, 0.98 [0.26 - 3.79]</w:t>
      </w:r>
    </w:p>
    <w:p w14:paraId="14BD1967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e. As the CI includes the trivial or no effect benefit, 0.32 [0.09 - 1.18]</w:t>
      </w:r>
    </w:p>
    <w:p w14:paraId="0C6DC1EF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f: clinical heterogeniety</w:t>
      </w:r>
      <w:r>
        <w:rPr>
          <w:rFonts w:hint="default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 xml:space="preserve"> due to different outcomes definition</w:t>
      </w:r>
    </w:p>
    <w:p w14:paraId="3860B691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 xml:space="preserve">g. Wide CI that includes both important benefit and harm, 1.04 [0.11 - 9.87] </w:t>
      </w:r>
    </w:p>
    <w:p w14:paraId="0FD7B04A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 xml:space="preserve">h: Wide CI that includes the trivial effect in both directions, 0.82 [0.22 - 3.01] </w:t>
      </w:r>
    </w:p>
    <w:p w14:paraId="211BAF5C">
      <w:pPr>
        <w:keepNext w:val="0"/>
        <w:keepLines w:val="0"/>
        <w:widowControl/>
        <w:numPr>
          <w:ilvl w:val="0"/>
          <w:numId w:val="1"/>
        </w:numPr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Wide CI that includes both important benefit and harm, 1.61 [0.20 - 12.95]</w:t>
      </w:r>
    </w:p>
    <w:p w14:paraId="209C53E7">
      <w:pPr>
        <w:keepNext w:val="0"/>
        <w:keepLines w:val="0"/>
        <w:widowControl/>
        <w:numPr>
          <w:numId w:val="0"/>
        </w:numPr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j: clinical heterogeneity due to different follow up duration</w:t>
      </w:r>
    </w:p>
    <w:p w14:paraId="64C99D5B">
      <w:pPr>
        <w:keepNext w:val="0"/>
        <w:keepLines w:val="0"/>
        <w:widowControl/>
        <w:numPr>
          <w:ilvl w:val="0"/>
          <w:numId w:val="0"/>
        </w:numPr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k</w:t>
      </w: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: Wide CI that includes the trivial effect in both directions, 1.39 [0.79 - 2.46]</w:t>
      </w:r>
    </w:p>
    <w:p w14:paraId="57018690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Arial Narrow" w:hAnsi="Arial Narrow" w:eastAsia="Arial Narrow" w:cs="Arial Narrow"/>
          <w:i w:val="0"/>
          <w:iCs w:val="0"/>
          <w:color w:val="000000"/>
          <w:spacing w:val="0"/>
          <w:sz w:val="14"/>
          <w:szCs w:val="14"/>
        </w:rPr>
      </w:pPr>
    </w:p>
    <w:sectPr>
      <w:pgSz w:w="15840" w:h="12240" w:orient="landscape"/>
      <w:pgMar w:top="720" w:right="720" w:bottom="720" w:left="7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GRADE-qualit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3C1F8A"/>
    <w:multiLevelType w:val="singleLevel"/>
    <w:tmpl w:val="6A3C1F8A"/>
    <w:lvl w:ilvl="0" w:tentative="0">
      <w:start w:val="1"/>
      <w:numFmt w:val="lowerRoman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A20D8"/>
    <w:rsid w:val="102775CB"/>
    <w:rsid w:val="1344798E"/>
    <w:rsid w:val="215454E3"/>
    <w:rsid w:val="68971C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1"/>
      <w:szCs w:val="22"/>
    </w:rPr>
  </w:style>
  <w:style w:type="paragraph" w:styleId="2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589</Words>
  <Characters>2828</Characters>
  <TotalTime>7</TotalTime>
  <ScaleCrop>false</ScaleCrop>
  <LinksUpToDate>false</LinksUpToDate>
  <CharactersWithSpaces>3200</CharactersWithSpaces>
  <Application>WPS Office_12.1.0.26372_F1E327BC-269C-435d-A152-05C5408002CA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2026-05-27T11:38:00Z</dcterms:created>
  <dc:creator>LAPTOP WORLD</dc:creator>
  <cp:lastModifiedBy>LAPTOP WORLD</cp:lastModifiedBy>
  <dcterms:modified xsi:type="dcterms:W3CDTF">2026-05-28T13:55:15Z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eyJoZGlkIjoiMWEwNzlhZDBjMDUxNDkyOGEyYzI0OTYzNTgzYWI1MDkifQ==</vt:lpwstr>
  </property>
  <property fmtid="{D5CDD505-2E9C-101B-9397-08002B2CF9AE}" pid="3" name="KSOProductBuildVer">
    <vt:lpwstr>1033-12.1.0.26372</vt:lpwstr>
  </property>
  <property fmtid="{D5CDD505-2E9C-101B-9397-08002B2CF9AE}" pid="4" name="ICV">
    <vt:lpwstr>433010DDF8364ABEBC8F2E17B38E9CF5_13</vt:lpwstr>
  </property>
</Properties>
</file>