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19DAD" w14:textId="77777777" w:rsidR="008468E4" w:rsidRPr="00592751" w:rsidRDefault="008468E4" w:rsidP="008468E4">
      <w:pPr>
        <w:spacing w:beforeLines="50" w:before="156"/>
        <w:rPr>
          <w:rFonts w:ascii="Times New Roman" w:hAnsi="Times New Roman" w:cs="Times New Roman"/>
          <w:sz w:val="22"/>
          <w:szCs w:val="22"/>
        </w:rPr>
      </w:pPr>
      <w:r w:rsidRPr="00592751">
        <w:rPr>
          <w:rFonts w:ascii="Times New Roman" w:hAnsi="Times New Roman" w:cs="Times New Roman" w:hint="eastAsia"/>
          <w:b/>
          <w:bCs/>
          <w:sz w:val="22"/>
          <w:szCs w:val="22"/>
        </w:rPr>
        <w:t>Supplementary Materials</w:t>
      </w:r>
    </w:p>
    <w:p w14:paraId="2E9AD682" w14:textId="77777777" w:rsidR="008468E4" w:rsidRPr="00592751" w:rsidRDefault="008468E4" w:rsidP="008468E4">
      <w:pPr>
        <w:spacing w:beforeLines="50" w:before="156"/>
        <w:rPr>
          <w:rFonts w:ascii="Times New Roman" w:hAnsi="Times New Roman" w:cs="Times New Roman"/>
          <w:sz w:val="22"/>
          <w:szCs w:val="22"/>
        </w:rPr>
      </w:pPr>
      <w:r w:rsidRPr="00592751">
        <w:rPr>
          <w:rFonts w:ascii="Times New Roman" w:hAnsi="Times New Roman" w:cs="Times New Roman"/>
          <w:b/>
          <w:bCs/>
          <w:sz w:val="22"/>
          <w:szCs w:val="22"/>
        </w:rPr>
        <w:t>Table S1</w:t>
      </w:r>
      <w:r w:rsidRPr="00592751">
        <w:rPr>
          <w:rFonts w:ascii="Times New Roman" w:hAnsi="Times New Roman" w:cs="Times New Roman" w:hint="eastAsia"/>
          <w:b/>
          <w:bCs/>
          <w:sz w:val="22"/>
          <w:szCs w:val="22"/>
        </w:rPr>
        <w:t>. TRIPOD+AI Checklist</w:t>
      </w:r>
      <w:r w:rsidRPr="00592751">
        <w:rPr>
          <w:rFonts w:ascii="Times New Roman" w:hAnsi="Times New Roman" w:cs="Times New Roman" w:hint="eastAsia"/>
          <w:sz w:val="22"/>
          <w:szCs w:val="22"/>
        </w:rPr>
        <w:t xml:space="preserve">. </w:t>
      </w:r>
      <w:r w:rsidRPr="00592751">
        <w:rPr>
          <w:rFonts w:ascii="Times New Roman" w:hAnsi="Times New Roman" w:cs="Times New Roman"/>
          <w:sz w:val="22"/>
          <w:szCs w:val="22"/>
        </w:rPr>
        <w:t>The following checklist details adherence to the TRIPOD+AI Statement (Collins GS, et al. BMJ 2024;</w:t>
      </w:r>
      <w:proofErr w:type="gramStart"/>
      <w:r w:rsidRPr="00592751">
        <w:rPr>
          <w:rFonts w:ascii="Times New Roman" w:hAnsi="Times New Roman" w:cs="Times New Roman"/>
          <w:sz w:val="22"/>
          <w:szCs w:val="22"/>
        </w:rPr>
        <w:t>385:e</w:t>
      </w:r>
      <w:proofErr w:type="gramEnd"/>
      <w:r w:rsidRPr="00592751">
        <w:rPr>
          <w:rFonts w:ascii="Times New Roman" w:hAnsi="Times New Roman" w:cs="Times New Roman"/>
          <w:sz w:val="22"/>
          <w:szCs w:val="22"/>
        </w:rPr>
        <w:t>078378). Items marked “Fully adhered” were completely addressed in the manuscript. Items marked “Partially adhered” were addressed but with limitations noted. Items marked “Not adhered” were not addressed. Items marked “Not applicable” were irrelevant to this study.</w:t>
      </w:r>
    </w:p>
    <w:tbl>
      <w:tblPr>
        <w:tblW w:w="0" w:type="auto"/>
        <w:tblBorders>
          <w:top w:val="single" w:sz="8" w:space="0" w:color="auto"/>
          <w:bottom w:val="single" w:sz="8" w:space="0" w:color="auto"/>
        </w:tblBorders>
        <w:shd w:val="clear" w:color="auto" w:fill="FFFFFF"/>
        <w:tblCellMar>
          <w:left w:w="0" w:type="dxa"/>
          <w:right w:w="0" w:type="dxa"/>
        </w:tblCellMar>
        <w:tblLook w:val="04A0" w:firstRow="1" w:lastRow="0" w:firstColumn="1" w:lastColumn="0" w:noHBand="0" w:noVBand="1"/>
      </w:tblPr>
      <w:tblGrid>
        <w:gridCol w:w="531"/>
        <w:gridCol w:w="3089"/>
        <w:gridCol w:w="1011"/>
        <w:gridCol w:w="3675"/>
      </w:tblGrid>
      <w:tr w:rsidR="008468E4" w:rsidRPr="00592751" w14:paraId="492D436E" w14:textId="77777777" w:rsidTr="00427488">
        <w:trPr>
          <w:tblHeader/>
        </w:trPr>
        <w:tc>
          <w:tcPr>
            <w:tcW w:w="0" w:type="auto"/>
            <w:tcBorders>
              <w:tl2br w:val="nil"/>
              <w:tr2bl w:val="nil"/>
            </w:tcBorders>
            <w:shd w:val="clear" w:color="auto" w:fill="FFFFFF"/>
            <w:tcMar>
              <w:top w:w="75" w:type="dxa"/>
              <w:left w:w="120" w:type="dxa"/>
              <w:bottom w:w="75" w:type="dxa"/>
              <w:right w:w="120" w:type="dxa"/>
            </w:tcMar>
          </w:tcPr>
          <w:p w14:paraId="0523F8D8"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Item</w:t>
            </w:r>
          </w:p>
        </w:tc>
        <w:tc>
          <w:tcPr>
            <w:tcW w:w="0" w:type="auto"/>
            <w:tcBorders>
              <w:tl2br w:val="nil"/>
              <w:tr2bl w:val="nil"/>
            </w:tcBorders>
            <w:shd w:val="clear" w:color="auto" w:fill="FFFFFF"/>
            <w:tcMar>
              <w:top w:w="75" w:type="dxa"/>
              <w:left w:w="120" w:type="dxa"/>
              <w:bottom w:w="75" w:type="dxa"/>
              <w:right w:w="120" w:type="dxa"/>
            </w:tcMar>
          </w:tcPr>
          <w:p w14:paraId="500E321C"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TRIPOD+AI Topic</w:t>
            </w:r>
          </w:p>
        </w:tc>
        <w:tc>
          <w:tcPr>
            <w:tcW w:w="0" w:type="auto"/>
            <w:tcBorders>
              <w:tl2br w:val="nil"/>
              <w:tr2bl w:val="nil"/>
            </w:tcBorders>
            <w:shd w:val="clear" w:color="auto" w:fill="FFFFFF"/>
            <w:tcMar>
              <w:top w:w="75" w:type="dxa"/>
              <w:left w:w="120" w:type="dxa"/>
              <w:bottom w:w="75" w:type="dxa"/>
              <w:right w:w="120" w:type="dxa"/>
            </w:tcMar>
          </w:tcPr>
          <w:p w14:paraId="4BA54C7D"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Adherence</w:t>
            </w:r>
          </w:p>
        </w:tc>
        <w:tc>
          <w:tcPr>
            <w:tcW w:w="0" w:type="auto"/>
            <w:tcBorders>
              <w:tl2br w:val="nil"/>
              <w:tr2bl w:val="nil"/>
            </w:tcBorders>
            <w:shd w:val="clear" w:color="auto" w:fill="FFFFFF"/>
            <w:tcMar>
              <w:top w:w="75" w:type="dxa"/>
              <w:left w:w="120" w:type="dxa"/>
              <w:bottom w:w="75" w:type="dxa"/>
              <w:right w:w="120" w:type="dxa"/>
            </w:tcMar>
          </w:tcPr>
          <w:p w14:paraId="1F743BF7"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Location / Explanation</w:t>
            </w:r>
          </w:p>
        </w:tc>
      </w:tr>
      <w:tr w:rsidR="008468E4" w:rsidRPr="00592751" w14:paraId="7D072D94" w14:textId="77777777" w:rsidTr="00427488">
        <w:tc>
          <w:tcPr>
            <w:tcW w:w="0" w:type="auto"/>
            <w:tcBorders>
              <w:tl2br w:val="nil"/>
              <w:tr2bl w:val="nil"/>
            </w:tcBorders>
            <w:shd w:val="clear" w:color="auto" w:fill="FFFFFF"/>
            <w:tcMar>
              <w:top w:w="75" w:type="dxa"/>
              <w:left w:w="120" w:type="dxa"/>
              <w:bottom w:w="75" w:type="dxa"/>
              <w:right w:w="120" w:type="dxa"/>
            </w:tcMar>
          </w:tcPr>
          <w:p w14:paraId="68809E7D"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1</w:t>
            </w:r>
          </w:p>
        </w:tc>
        <w:tc>
          <w:tcPr>
            <w:tcW w:w="0" w:type="auto"/>
            <w:tcBorders>
              <w:tl2br w:val="nil"/>
              <w:tr2bl w:val="nil"/>
            </w:tcBorders>
            <w:shd w:val="clear" w:color="auto" w:fill="FFFFFF"/>
            <w:tcMar>
              <w:top w:w="75" w:type="dxa"/>
              <w:left w:w="120" w:type="dxa"/>
              <w:bottom w:w="75" w:type="dxa"/>
              <w:right w:w="120" w:type="dxa"/>
            </w:tcMar>
          </w:tcPr>
          <w:p w14:paraId="294CFED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Title identifies study as development/validation of a prediction model, specifies target population, outcome, and predictors</w:t>
            </w:r>
          </w:p>
        </w:tc>
        <w:tc>
          <w:tcPr>
            <w:tcW w:w="0" w:type="auto"/>
            <w:tcBorders>
              <w:tl2br w:val="nil"/>
              <w:tr2bl w:val="nil"/>
            </w:tcBorders>
            <w:shd w:val="clear" w:color="auto" w:fill="FFFFFF"/>
            <w:tcMar>
              <w:top w:w="75" w:type="dxa"/>
              <w:left w:w="120" w:type="dxa"/>
              <w:bottom w:w="75" w:type="dxa"/>
              <w:right w:w="120" w:type="dxa"/>
            </w:tcMar>
          </w:tcPr>
          <w:p w14:paraId="09D991B8"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7AB7ECDF"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Title: “Development and Validation of a Nomogram and Preoperative Early-Recurrence Score for Pancreatic Ductal Adenocarcinoma”</w:t>
            </w:r>
          </w:p>
        </w:tc>
      </w:tr>
      <w:tr w:rsidR="008468E4" w:rsidRPr="00592751" w14:paraId="096A2E2D" w14:textId="77777777" w:rsidTr="00427488">
        <w:tc>
          <w:tcPr>
            <w:tcW w:w="0" w:type="auto"/>
            <w:tcBorders>
              <w:tl2br w:val="nil"/>
              <w:tr2bl w:val="nil"/>
            </w:tcBorders>
            <w:shd w:val="clear" w:color="auto" w:fill="FFFFFF"/>
            <w:tcMar>
              <w:top w:w="75" w:type="dxa"/>
              <w:left w:w="120" w:type="dxa"/>
              <w:bottom w:w="75" w:type="dxa"/>
              <w:right w:w="120" w:type="dxa"/>
            </w:tcMar>
          </w:tcPr>
          <w:p w14:paraId="176C8FA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2</w:t>
            </w:r>
          </w:p>
        </w:tc>
        <w:tc>
          <w:tcPr>
            <w:tcW w:w="0" w:type="auto"/>
            <w:tcBorders>
              <w:tl2br w:val="nil"/>
              <w:tr2bl w:val="nil"/>
            </w:tcBorders>
            <w:shd w:val="clear" w:color="auto" w:fill="FFFFFF"/>
            <w:tcMar>
              <w:top w:w="75" w:type="dxa"/>
              <w:left w:w="120" w:type="dxa"/>
              <w:bottom w:w="75" w:type="dxa"/>
              <w:right w:w="120" w:type="dxa"/>
            </w:tcMar>
          </w:tcPr>
          <w:p w14:paraId="3AD01AD7"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Structured abstract with background, methods, results, conclusions</w:t>
            </w:r>
          </w:p>
        </w:tc>
        <w:tc>
          <w:tcPr>
            <w:tcW w:w="0" w:type="auto"/>
            <w:tcBorders>
              <w:tl2br w:val="nil"/>
              <w:tr2bl w:val="nil"/>
            </w:tcBorders>
            <w:shd w:val="clear" w:color="auto" w:fill="FFFFFF"/>
            <w:tcMar>
              <w:top w:w="75" w:type="dxa"/>
              <w:left w:w="120" w:type="dxa"/>
              <w:bottom w:w="75" w:type="dxa"/>
              <w:right w:w="120" w:type="dxa"/>
            </w:tcMar>
          </w:tcPr>
          <w:p w14:paraId="5CA278C7"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60005FDB"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Abstract includes Background, Methods, Results, Conclusions</w:t>
            </w:r>
          </w:p>
        </w:tc>
      </w:tr>
      <w:tr w:rsidR="008468E4" w:rsidRPr="00592751" w14:paraId="24DFE8AA" w14:textId="77777777" w:rsidTr="00427488">
        <w:tc>
          <w:tcPr>
            <w:tcW w:w="0" w:type="auto"/>
            <w:tcBorders>
              <w:tl2br w:val="nil"/>
              <w:tr2bl w:val="nil"/>
            </w:tcBorders>
            <w:shd w:val="clear" w:color="auto" w:fill="FFFFFF"/>
            <w:tcMar>
              <w:top w:w="75" w:type="dxa"/>
              <w:left w:w="120" w:type="dxa"/>
              <w:bottom w:w="75" w:type="dxa"/>
              <w:right w:w="120" w:type="dxa"/>
            </w:tcMar>
          </w:tcPr>
          <w:p w14:paraId="497A311D"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3</w:t>
            </w:r>
          </w:p>
        </w:tc>
        <w:tc>
          <w:tcPr>
            <w:tcW w:w="0" w:type="auto"/>
            <w:tcBorders>
              <w:tl2br w:val="nil"/>
              <w:tr2bl w:val="nil"/>
            </w:tcBorders>
            <w:shd w:val="clear" w:color="auto" w:fill="FFFFFF"/>
            <w:tcMar>
              <w:top w:w="75" w:type="dxa"/>
              <w:left w:w="120" w:type="dxa"/>
              <w:bottom w:w="75" w:type="dxa"/>
              <w:right w:w="120" w:type="dxa"/>
            </w:tcMar>
          </w:tcPr>
          <w:p w14:paraId="6FBB0B4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Background explains medical context, existing evidence on prediction models, and rationale/objectives</w:t>
            </w:r>
          </w:p>
        </w:tc>
        <w:tc>
          <w:tcPr>
            <w:tcW w:w="0" w:type="auto"/>
            <w:tcBorders>
              <w:tl2br w:val="nil"/>
              <w:tr2bl w:val="nil"/>
            </w:tcBorders>
            <w:shd w:val="clear" w:color="auto" w:fill="FFFFFF"/>
            <w:tcMar>
              <w:top w:w="75" w:type="dxa"/>
              <w:left w:w="120" w:type="dxa"/>
              <w:bottom w:w="75" w:type="dxa"/>
              <w:right w:w="120" w:type="dxa"/>
            </w:tcMar>
          </w:tcPr>
          <w:p w14:paraId="75ACE2FB"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048CB3F1"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Background section; limitations of AJCC stage and existing radiomics models discussed</w:t>
            </w:r>
          </w:p>
        </w:tc>
      </w:tr>
      <w:tr w:rsidR="008468E4" w:rsidRPr="00592751" w14:paraId="47B1DC75" w14:textId="77777777" w:rsidTr="00427488">
        <w:tc>
          <w:tcPr>
            <w:tcW w:w="0" w:type="auto"/>
            <w:tcBorders>
              <w:tl2br w:val="nil"/>
              <w:tr2bl w:val="nil"/>
            </w:tcBorders>
            <w:shd w:val="clear" w:color="auto" w:fill="FFFFFF"/>
            <w:tcMar>
              <w:top w:w="75" w:type="dxa"/>
              <w:left w:w="120" w:type="dxa"/>
              <w:bottom w:w="75" w:type="dxa"/>
              <w:right w:w="120" w:type="dxa"/>
            </w:tcMar>
          </w:tcPr>
          <w:p w14:paraId="3CED7981"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4</w:t>
            </w:r>
          </w:p>
        </w:tc>
        <w:tc>
          <w:tcPr>
            <w:tcW w:w="0" w:type="auto"/>
            <w:tcBorders>
              <w:tl2br w:val="nil"/>
              <w:tr2bl w:val="nil"/>
            </w:tcBorders>
            <w:shd w:val="clear" w:color="auto" w:fill="FFFFFF"/>
            <w:tcMar>
              <w:top w:w="75" w:type="dxa"/>
              <w:left w:w="120" w:type="dxa"/>
              <w:bottom w:w="75" w:type="dxa"/>
              <w:right w:w="120" w:type="dxa"/>
            </w:tcMar>
          </w:tcPr>
          <w:p w14:paraId="7D5B2918"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Source of data: study design, setting, dates, participant selection</w:t>
            </w:r>
          </w:p>
        </w:tc>
        <w:tc>
          <w:tcPr>
            <w:tcW w:w="0" w:type="auto"/>
            <w:tcBorders>
              <w:tl2br w:val="nil"/>
              <w:tr2bl w:val="nil"/>
            </w:tcBorders>
            <w:shd w:val="clear" w:color="auto" w:fill="FFFFFF"/>
            <w:tcMar>
              <w:top w:w="75" w:type="dxa"/>
              <w:left w:w="120" w:type="dxa"/>
              <w:bottom w:w="75" w:type="dxa"/>
              <w:right w:w="120" w:type="dxa"/>
            </w:tcMar>
          </w:tcPr>
          <w:p w14:paraId="2D4478C1"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36D9417B"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Methods: Study Design and Oversight; Participants and Eligibility (January 2018–June 2022, tertiary center)</w:t>
            </w:r>
          </w:p>
        </w:tc>
      </w:tr>
      <w:tr w:rsidR="008468E4" w:rsidRPr="00592751" w14:paraId="305A3A62" w14:textId="77777777" w:rsidTr="00427488">
        <w:tc>
          <w:tcPr>
            <w:tcW w:w="0" w:type="auto"/>
            <w:tcBorders>
              <w:tl2br w:val="nil"/>
              <w:tr2bl w:val="nil"/>
            </w:tcBorders>
            <w:shd w:val="clear" w:color="auto" w:fill="FFFFFF"/>
            <w:tcMar>
              <w:top w:w="75" w:type="dxa"/>
              <w:left w:w="120" w:type="dxa"/>
              <w:bottom w:w="75" w:type="dxa"/>
              <w:right w:w="120" w:type="dxa"/>
            </w:tcMar>
          </w:tcPr>
          <w:p w14:paraId="0D634701"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5</w:t>
            </w:r>
          </w:p>
        </w:tc>
        <w:tc>
          <w:tcPr>
            <w:tcW w:w="0" w:type="auto"/>
            <w:tcBorders>
              <w:tl2br w:val="nil"/>
              <w:tr2bl w:val="nil"/>
            </w:tcBorders>
            <w:shd w:val="clear" w:color="auto" w:fill="FFFFFF"/>
            <w:tcMar>
              <w:top w:w="75" w:type="dxa"/>
              <w:left w:w="120" w:type="dxa"/>
              <w:bottom w:w="75" w:type="dxa"/>
              <w:right w:w="120" w:type="dxa"/>
            </w:tcMar>
          </w:tcPr>
          <w:p w14:paraId="34A7A451"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Participants: eligibility criteria, treatment details, source of participants</w:t>
            </w:r>
          </w:p>
        </w:tc>
        <w:tc>
          <w:tcPr>
            <w:tcW w:w="0" w:type="auto"/>
            <w:tcBorders>
              <w:tl2br w:val="nil"/>
              <w:tr2bl w:val="nil"/>
            </w:tcBorders>
            <w:shd w:val="clear" w:color="auto" w:fill="FFFFFF"/>
            <w:tcMar>
              <w:top w:w="75" w:type="dxa"/>
              <w:left w:w="120" w:type="dxa"/>
              <w:bottom w:w="75" w:type="dxa"/>
              <w:right w:w="120" w:type="dxa"/>
            </w:tcMar>
          </w:tcPr>
          <w:p w14:paraId="1E577EAF"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1DA3CF7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 xml:space="preserve">Methods: Participants and Eligibility; consecutive patients, </w:t>
            </w:r>
            <w:proofErr w:type="spellStart"/>
            <w:r w:rsidRPr="00592751">
              <w:rPr>
                <w:rFonts w:ascii="Times New Roman" w:eastAsia="Segoe UI" w:hAnsi="Times New Roman" w:cs="Times New Roman"/>
                <w:bCs/>
                <w:spacing w:val="4"/>
                <w:kern w:val="0"/>
                <w:sz w:val="15"/>
                <w:szCs w:val="15"/>
                <w:lang w:bidi="ar"/>
              </w:rPr>
              <w:t>resectability</w:t>
            </w:r>
            <w:proofErr w:type="spellEnd"/>
            <w:r w:rsidRPr="00592751">
              <w:rPr>
                <w:rFonts w:ascii="Times New Roman" w:eastAsia="Segoe UI" w:hAnsi="Times New Roman" w:cs="Times New Roman"/>
                <w:bCs/>
                <w:spacing w:val="4"/>
                <w:kern w:val="0"/>
                <w:sz w:val="15"/>
                <w:szCs w:val="15"/>
                <w:lang w:bidi="ar"/>
              </w:rPr>
              <w:t xml:space="preserve"> criteria, exclusion criteria listed</w:t>
            </w:r>
          </w:p>
        </w:tc>
      </w:tr>
      <w:tr w:rsidR="008468E4" w:rsidRPr="00592751" w14:paraId="2BC38F0E" w14:textId="77777777" w:rsidTr="00427488">
        <w:tc>
          <w:tcPr>
            <w:tcW w:w="0" w:type="auto"/>
            <w:tcBorders>
              <w:tl2br w:val="nil"/>
              <w:tr2bl w:val="nil"/>
            </w:tcBorders>
            <w:shd w:val="clear" w:color="auto" w:fill="FFFFFF"/>
            <w:tcMar>
              <w:top w:w="75" w:type="dxa"/>
              <w:left w:w="120" w:type="dxa"/>
              <w:bottom w:w="75" w:type="dxa"/>
              <w:right w:w="120" w:type="dxa"/>
            </w:tcMar>
          </w:tcPr>
          <w:p w14:paraId="107E7FA5"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6</w:t>
            </w:r>
          </w:p>
        </w:tc>
        <w:tc>
          <w:tcPr>
            <w:tcW w:w="0" w:type="auto"/>
            <w:tcBorders>
              <w:tl2br w:val="nil"/>
              <w:tr2bl w:val="nil"/>
            </w:tcBorders>
            <w:shd w:val="clear" w:color="auto" w:fill="FFFFFF"/>
            <w:tcMar>
              <w:top w:w="75" w:type="dxa"/>
              <w:left w:w="120" w:type="dxa"/>
              <w:bottom w:w="75" w:type="dxa"/>
              <w:right w:w="120" w:type="dxa"/>
            </w:tcMar>
          </w:tcPr>
          <w:p w14:paraId="5FF39FB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Outcome: definition, timepoint, assessor blinding, competing risks</w:t>
            </w:r>
          </w:p>
        </w:tc>
        <w:tc>
          <w:tcPr>
            <w:tcW w:w="0" w:type="auto"/>
            <w:tcBorders>
              <w:tl2br w:val="nil"/>
              <w:tr2bl w:val="nil"/>
            </w:tcBorders>
            <w:shd w:val="clear" w:color="auto" w:fill="FFFFFF"/>
            <w:tcMar>
              <w:top w:w="75" w:type="dxa"/>
              <w:left w:w="120" w:type="dxa"/>
              <w:bottom w:w="75" w:type="dxa"/>
              <w:right w:w="120" w:type="dxa"/>
            </w:tcMar>
          </w:tcPr>
          <w:p w14:paraId="2042902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34A15195"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 xml:space="preserve">Methods: Outcomes and follow-up; early recurrence defined as </w:t>
            </w:r>
            <w:r w:rsidRPr="00592751">
              <w:rPr>
                <w:rFonts w:ascii="Times New Roman" w:eastAsia="Segoe UI" w:hAnsi="Times New Roman" w:cs="Times New Roman" w:hint="eastAsia"/>
                <w:bCs/>
                <w:spacing w:val="4"/>
                <w:kern w:val="0"/>
                <w:sz w:val="15"/>
                <w:szCs w:val="15"/>
                <w:lang w:bidi="ar"/>
              </w:rPr>
              <w:t>≤</w:t>
            </w:r>
            <w:r w:rsidRPr="00592751">
              <w:rPr>
                <w:rFonts w:ascii="Times New Roman" w:eastAsia="Segoe UI" w:hAnsi="Times New Roman" w:cs="Times New Roman"/>
                <w:bCs/>
                <w:spacing w:val="4"/>
                <w:kern w:val="0"/>
                <w:sz w:val="15"/>
                <w:szCs w:val="15"/>
                <w:lang w:bidi="ar"/>
              </w:rPr>
              <w:t>12 months; death without recurrence treated as competing event</w:t>
            </w:r>
          </w:p>
        </w:tc>
      </w:tr>
      <w:tr w:rsidR="008468E4" w:rsidRPr="00592751" w14:paraId="5C4CFE79" w14:textId="77777777" w:rsidTr="00427488">
        <w:tc>
          <w:tcPr>
            <w:tcW w:w="0" w:type="auto"/>
            <w:tcBorders>
              <w:tl2br w:val="nil"/>
              <w:tr2bl w:val="nil"/>
            </w:tcBorders>
            <w:shd w:val="clear" w:color="auto" w:fill="FFFFFF"/>
            <w:tcMar>
              <w:top w:w="75" w:type="dxa"/>
              <w:left w:w="120" w:type="dxa"/>
              <w:bottom w:w="75" w:type="dxa"/>
              <w:right w:w="120" w:type="dxa"/>
            </w:tcMar>
          </w:tcPr>
          <w:p w14:paraId="0853E255"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7</w:t>
            </w:r>
          </w:p>
        </w:tc>
        <w:tc>
          <w:tcPr>
            <w:tcW w:w="0" w:type="auto"/>
            <w:tcBorders>
              <w:tl2br w:val="nil"/>
              <w:tr2bl w:val="nil"/>
            </w:tcBorders>
            <w:shd w:val="clear" w:color="auto" w:fill="FFFFFF"/>
            <w:tcMar>
              <w:top w:w="75" w:type="dxa"/>
              <w:left w:w="120" w:type="dxa"/>
              <w:bottom w:w="75" w:type="dxa"/>
              <w:right w:w="120" w:type="dxa"/>
            </w:tcMar>
          </w:tcPr>
          <w:p w14:paraId="151E8CFB"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Predictors: definitions, assessment time, predictor assessment blinding, selection approach</w:t>
            </w:r>
          </w:p>
        </w:tc>
        <w:tc>
          <w:tcPr>
            <w:tcW w:w="0" w:type="auto"/>
            <w:tcBorders>
              <w:tl2br w:val="nil"/>
              <w:tr2bl w:val="nil"/>
            </w:tcBorders>
            <w:shd w:val="clear" w:color="auto" w:fill="FFFFFF"/>
            <w:tcMar>
              <w:top w:w="75" w:type="dxa"/>
              <w:left w:w="120" w:type="dxa"/>
              <w:bottom w:w="75" w:type="dxa"/>
              <w:right w:w="120" w:type="dxa"/>
            </w:tcMar>
          </w:tcPr>
          <w:p w14:paraId="50133234"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0B79D780"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Methods: Predictor definitions and blinding; CA19-9 within 14 days, CT within 30 days; radiologists blinded to outcomes</w:t>
            </w:r>
          </w:p>
        </w:tc>
      </w:tr>
      <w:tr w:rsidR="008468E4" w:rsidRPr="00592751" w14:paraId="6E52FA94" w14:textId="77777777" w:rsidTr="00427488">
        <w:tc>
          <w:tcPr>
            <w:tcW w:w="0" w:type="auto"/>
            <w:tcBorders>
              <w:tl2br w:val="nil"/>
              <w:tr2bl w:val="nil"/>
            </w:tcBorders>
            <w:shd w:val="clear" w:color="auto" w:fill="FFFFFF"/>
            <w:tcMar>
              <w:top w:w="75" w:type="dxa"/>
              <w:left w:w="120" w:type="dxa"/>
              <w:bottom w:w="75" w:type="dxa"/>
              <w:right w:w="120" w:type="dxa"/>
            </w:tcMar>
          </w:tcPr>
          <w:p w14:paraId="10CB51E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8</w:t>
            </w:r>
          </w:p>
        </w:tc>
        <w:tc>
          <w:tcPr>
            <w:tcW w:w="0" w:type="auto"/>
            <w:tcBorders>
              <w:tl2br w:val="nil"/>
              <w:tr2bl w:val="nil"/>
            </w:tcBorders>
            <w:shd w:val="clear" w:color="auto" w:fill="FFFFFF"/>
            <w:tcMar>
              <w:top w:w="75" w:type="dxa"/>
              <w:left w:w="120" w:type="dxa"/>
              <w:bottom w:w="75" w:type="dxa"/>
              <w:right w:w="120" w:type="dxa"/>
            </w:tcMar>
          </w:tcPr>
          <w:p w14:paraId="631204F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Sample size: rationale for development and validation sample size</w:t>
            </w:r>
          </w:p>
        </w:tc>
        <w:tc>
          <w:tcPr>
            <w:tcW w:w="0" w:type="auto"/>
            <w:tcBorders>
              <w:tl2br w:val="nil"/>
              <w:tr2bl w:val="nil"/>
            </w:tcBorders>
            <w:shd w:val="clear" w:color="auto" w:fill="FFFFFF"/>
            <w:tcMar>
              <w:top w:w="75" w:type="dxa"/>
              <w:left w:w="120" w:type="dxa"/>
              <w:bottom w:w="75" w:type="dxa"/>
              <w:right w:w="120" w:type="dxa"/>
            </w:tcMar>
          </w:tcPr>
          <w:p w14:paraId="4555C08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Partially adhered</w:t>
            </w:r>
          </w:p>
        </w:tc>
        <w:tc>
          <w:tcPr>
            <w:tcW w:w="0" w:type="auto"/>
            <w:tcBorders>
              <w:tl2br w:val="nil"/>
              <w:tr2bl w:val="nil"/>
            </w:tcBorders>
            <w:shd w:val="clear" w:color="auto" w:fill="FFFFFF"/>
            <w:tcMar>
              <w:top w:w="75" w:type="dxa"/>
              <w:left w:w="120" w:type="dxa"/>
              <w:bottom w:w="75" w:type="dxa"/>
              <w:right w:w="120" w:type="dxa"/>
            </w:tcMar>
          </w:tcPr>
          <w:p w14:paraId="05C8402F"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Methods: Sample size and EPV; EPV</w:t>
            </w:r>
            <w:r w:rsidRPr="00592751">
              <w:rPr>
                <w:rFonts w:ascii="Times New Roman" w:eastAsia="Segoe UI" w:hAnsi="Times New Roman" w:cs="Times New Roman" w:hint="eastAsia"/>
                <w:bCs/>
                <w:spacing w:val="4"/>
                <w:kern w:val="0"/>
                <w:sz w:val="15"/>
                <w:szCs w:val="15"/>
                <w:lang w:bidi="ar"/>
              </w:rPr>
              <w:t>≈</w:t>
            </w:r>
            <w:r w:rsidRPr="00592751">
              <w:rPr>
                <w:rFonts w:ascii="Times New Roman" w:eastAsia="Segoe UI" w:hAnsi="Times New Roman" w:cs="Times New Roman"/>
                <w:bCs/>
                <w:spacing w:val="4"/>
                <w:kern w:val="0"/>
                <w:sz w:val="15"/>
                <w:szCs w:val="15"/>
                <w:lang w:bidi="ar"/>
              </w:rPr>
              <w:t xml:space="preserve">10 discussed (68 events, </w:t>
            </w:r>
            <w:r w:rsidRPr="00592751">
              <w:rPr>
                <w:rFonts w:ascii="Times New Roman" w:eastAsia="Segoe UI" w:hAnsi="Times New Roman" w:cs="Times New Roman" w:hint="eastAsia"/>
                <w:bCs/>
                <w:spacing w:val="4"/>
                <w:kern w:val="0"/>
                <w:sz w:val="15"/>
                <w:szCs w:val="15"/>
                <w:lang w:bidi="ar"/>
              </w:rPr>
              <w:t>≤</w:t>
            </w:r>
            <w:r w:rsidRPr="00592751">
              <w:rPr>
                <w:rFonts w:ascii="Times New Roman" w:eastAsia="Segoe UI" w:hAnsi="Times New Roman" w:cs="Times New Roman"/>
                <w:bCs/>
                <w:spacing w:val="4"/>
                <w:kern w:val="0"/>
                <w:sz w:val="15"/>
                <w:szCs w:val="15"/>
                <w:lang w:bidi="ar"/>
              </w:rPr>
              <w:t>6–7 degrees of freedom), but formal sample-size calculation (e.g., based on anticipated C-statistic) was not reported</w:t>
            </w:r>
          </w:p>
        </w:tc>
      </w:tr>
      <w:tr w:rsidR="008468E4" w:rsidRPr="00592751" w14:paraId="4C3ECEE7" w14:textId="77777777" w:rsidTr="00427488">
        <w:tc>
          <w:tcPr>
            <w:tcW w:w="0" w:type="auto"/>
            <w:tcBorders>
              <w:tl2br w:val="nil"/>
              <w:tr2bl w:val="nil"/>
            </w:tcBorders>
            <w:shd w:val="clear" w:color="auto" w:fill="FFFFFF"/>
            <w:tcMar>
              <w:top w:w="75" w:type="dxa"/>
              <w:left w:w="120" w:type="dxa"/>
              <w:bottom w:w="75" w:type="dxa"/>
              <w:right w:w="120" w:type="dxa"/>
            </w:tcMar>
          </w:tcPr>
          <w:p w14:paraId="0063DFC1"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9</w:t>
            </w:r>
          </w:p>
        </w:tc>
        <w:tc>
          <w:tcPr>
            <w:tcW w:w="0" w:type="auto"/>
            <w:tcBorders>
              <w:tl2br w:val="nil"/>
              <w:tr2bl w:val="nil"/>
            </w:tcBorders>
            <w:shd w:val="clear" w:color="auto" w:fill="FFFFFF"/>
            <w:tcMar>
              <w:top w:w="75" w:type="dxa"/>
              <w:left w:w="120" w:type="dxa"/>
              <w:bottom w:w="75" w:type="dxa"/>
              <w:right w:w="120" w:type="dxa"/>
            </w:tcMar>
          </w:tcPr>
          <w:p w14:paraId="128B9674"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Missing data: handling of missing predictor/outcome data</w:t>
            </w:r>
          </w:p>
        </w:tc>
        <w:tc>
          <w:tcPr>
            <w:tcW w:w="0" w:type="auto"/>
            <w:tcBorders>
              <w:tl2br w:val="nil"/>
              <w:tr2bl w:val="nil"/>
            </w:tcBorders>
            <w:shd w:val="clear" w:color="auto" w:fill="FFFFFF"/>
            <w:tcMar>
              <w:top w:w="75" w:type="dxa"/>
              <w:left w:w="120" w:type="dxa"/>
              <w:bottom w:w="75" w:type="dxa"/>
              <w:right w:w="120" w:type="dxa"/>
            </w:tcMar>
          </w:tcPr>
          <w:p w14:paraId="1017A17C"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Not adhered</w:t>
            </w:r>
          </w:p>
        </w:tc>
        <w:tc>
          <w:tcPr>
            <w:tcW w:w="0" w:type="auto"/>
            <w:tcBorders>
              <w:tl2br w:val="nil"/>
              <w:tr2bl w:val="nil"/>
            </w:tcBorders>
            <w:shd w:val="clear" w:color="auto" w:fill="FFFFFF"/>
            <w:tcMar>
              <w:top w:w="75" w:type="dxa"/>
              <w:left w:w="120" w:type="dxa"/>
              <w:bottom w:w="75" w:type="dxa"/>
              <w:right w:w="120" w:type="dxa"/>
            </w:tcMar>
          </w:tcPr>
          <w:p w14:paraId="759ABC82"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Not reported in the main text; although the R package mice was listed among analysis tools, the manuscript does not state whether multiple imputation or complete-case analysis was used</w:t>
            </w:r>
          </w:p>
        </w:tc>
      </w:tr>
      <w:tr w:rsidR="008468E4" w:rsidRPr="00592751" w14:paraId="40370579" w14:textId="77777777" w:rsidTr="00427488">
        <w:tc>
          <w:tcPr>
            <w:tcW w:w="0" w:type="auto"/>
            <w:tcBorders>
              <w:tl2br w:val="nil"/>
              <w:tr2bl w:val="nil"/>
            </w:tcBorders>
            <w:shd w:val="clear" w:color="auto" w:fill="FFFFFF"/>
            <w:tcMar>
              <w:top w:w="75" w:type="dxa"/>
              <w:left w:w="120" w:type="dxa"/>
              <w:bottom w:w="75" w:type="dxa"/>
              <w:right w:w="120" w:type="dxa"/>
            </w:tcMar>
          </w:tcPr>
          <w:p w14:paraId="209453C1"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lastRenderedPageBreak/>
              <w:t>10</w:t>
            </w:r>
          </w:p>
        </w:tc>
        <w:tc>
          <w:tcPr>
            <w:tcW w:w="0" w:type="auto"/>
            <w:tcBorders>
              <w:tl2br w:val="nil"/>
              <w:tr2bl w:val="nil"/>
            </w:tcBorders>
            <w:shd w:val="clear" w:color="auto" w:fill="FFFFFF"/>
            <w:tcMar>
              <w:top w:w="75" w:type="dxa"/>
              <w:left w:w="120" w:type="dxa"/>
              <w:bottom w:w="75" w:type="dxa"/>
              <w:right w:w="120" w:type="dxa"/>
            </w:tcMar>
          </w:tcPr>
          <w:p w14:paraId="755DD2CD"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Model specification: model type and coding of predictors</w:t>
            </w:r>
          </w:p>
        </w:tc>
        <w:tc>
          <w:tcPr>
            <w:tcW w:w="0" w:type="auto"/>
            <w:tcBorders>
              <w:tl2br w:val="nil"/>
              <w:tr2bl w:val="nil"/>
            </w:tcBorders>
            <w:shd w:val="clear" w:color="auto" w:fill="FFFFFF"/>
            <w:tcMar>
              <w:top w:w="75" w:type="dxa"/>
              <w:left w:w="120" w:type="dxa"/>
              <w:bottom w:w="75" w:type="dxa"/>
              <w:right w:w="120" w:type="dxa"/>
            </w:tcMar>
          </w:tcPr>
          <w:p w14:paraId="2B6CEB7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0C9160B0"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Methods: Primary model; penalized logistic regression (ridge/L2), log2 CA19-9, binary CT features; restricted cubic splines considered</w:t>
            </w:r>
          </w:p>
        </w:tc>
      </w:tr>
      <w:tr w:rsidR="008468E4" w:rsidRPr="00592751" w14:paraId="2F4E2297" w14:textId="77777777" w:rsidTr="00427488">
        <w:tc>
          <w:tcPr>
            <w:tcW w:w="0" w:type="auto"/>
            <w:tcBorders>
              <w:tl2br w:val="nil"/>
              <w:tr2bl w:val="nil"/>
            </w:tcBorders>
            <w:shd w:val="clear" w:color="auto" w:fill="FFFFFF"/>
            <w:tcMar>
              <w:top w:w="75" w:type="dxa"/>
              <w:left w:w="120" w:type="dxa"/>
              <w:bottom w:w="75" w:type="dxa"/>
              <w:right w:w="120" w:type="dxa"/>
            </w:tcMar>
          </w:tcPr>
          <w:p w14:paraId="19D9BC04"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11</w:t>
            </w:r>
          </w:p>
        </w:tc>
        <w:tc>
          <w:tcPr>
            <w:tcW w:w="0" w:type="auto"/>
            <w:tcBorders>
              <w:tl2br w:val="nil"/>
              <w:tr2bl w:val="nil"/>
            </w:tcBorders>
            <w:shd w:val="clear" w:color="auto" w:fill="FFFFFF"/>
            <w:tcMar>
              <w:top w:w="75" w:type="dxa"/>
              <w:left w:w="120" w:type="dxa"/>
              <w:bottom w:w="75" w:type="dxa"/>
              <w:right w:w="120" w:type="dxa"/>
            </w:tcMar>
          </w:tcPr>
          <w:p w14:paraId="510E9CC0"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Model development: predictor selection, model-building procedure</w:t>
            </w:r>
          </w:p>
        </w:tc>
        <w:tc>
          <w:tcPr>
            <w:tcW w:w="0" w:type="auto"/>
            <w:tcBorders>
              <w:tl2br w:val="nil"/>
              <w:tr2bl w:val="nil"/>
            </w:tcBorders>
            <w:shd w:val="clear" w:color="auto" w:fill="FFFFFF"/>
            <w:tcMar>
              <w:top w:w="75" w:type="dxa"/>
              <w:left w:w="120" w:type="dxa"/>
              <w:bottom w:w="75" w:type="dxa"/>
              <w:right w:w="120" w:type="dxa"/>
            </w:tcMar>
          </w:tcPr>
          <w:p w14:paraId="38A04D8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78CB6E2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Methods: Primary model; 10-fold cross-validation for λ tuning; final functional forms selected by AIC under cross-validation</w:t>
            </w:r>
          </w:p>
        </w:tc>
      </w:tr>
      <w:tr w:rsidR="008468E4" w:rsidRPr="00592751" w14:paraId="17254109" w14:textId="77777777" w:rsidTr="00427488">
        <w:tc>
          <w:tcPr>
            <w:tcW w:w="0" w:type="auto"/>
            <w:tcBorders>
              <w:tl2br w:val="nil"/>
              <w:tr2bl w:val="nil"/>
            </w:tcBorders>
            <w:shd w:val="clear" w:color="auto" w:fill="FFFFFF"/>
            <w:tcMar>
              <w:top w:w="75" w:type="dxa"/>
              <w:left w:w="120" w:type="dxa"/>
              <w:bottom w:w="75" w:type="dxa"/>
              <w:right w:w="120" w:type="dxa"/>
            </w:tcMar>
          </w:tcPr>
          <w:p w14:paraId="6391D2E5"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12</w:t>
            </w:r>
          </w:p>
        </w:tc>
        <w:tc>
          <w:tcPr>
            <w:tcW w:w="0" w:type="auto"/>
            <w:tcBorders>
              <w:tl2br w:val="nil"/>
              <w:tr2bl w:val="nil"/>
            </w:tcBorders>
            <w:shd w:val="clear" w:color="auto" w:fill="FFFFFF"/>
            <w:tcMar>
              <w:top w:w="75" w:type="dxa"/>
              <w:left w:w="120" w:type="dxa"/>
              <w:bottom w:w="75" w:type="dxa"/>
              <w:right w:w="120" w:type="dxa"/>
            </w:tcMar>
          </w:tcPr>
          <w:p w14:paraId="6C548570"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Internal validation: approach to assess overfitting and optimism</w:t>
            </w:r>
          </w:p>
        </w:tc>
        <w:tc>
          <w:tcPr>
            <w:tcW w:w="0" w:type="auto"/>
            <w:tcBorders>
              <w:tl2br w:val="nil"/>
              <w:tr2bl w:val="nil"/>
            </w:tcBorders>
            <w:shd w:val="clear" w:color="auto" w:fill="FFFFFF"/>
            <w:tcMar>
              <w:top w:w="75" w:type="dxa"/>
              <w:left w:w="120" w:type="dxa"/>
              <w:bottom w:w="75" w:type="dxa"/>
              <w:right w:w="120" w:type="dxa"/>
            </w:tcMar>
          </w:tcPr>
          <w:p w14:paraId="0190094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0DBFEE4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Methods: Internal validation; bootstrap resampling (B=1000) with optimism correction</w:t>
            </w:r>
          </w:p>
        </w:tc>
      </w:tr>
      <w:tr w:rsidR="008468E4" w:rsidRPr="00592751" w14:paraId="45AF0769" w14:textId="77777777" w:rsidTr="00427488">
        <w:tc>
          <w:tcPr>
            <w:tcW w:w="0" w:type="auto"/>
            <w:tcBorders>
              <w:tl2br w:val="nil"/>
              <w:tr2bl w:val="nil"/>
            </w:tcBorders>
            <w:shd w:val="clear" w:color="auto" w:fill="FFFFFF"/>
            <w:tcMar>
              <w:top w:w="75" w:type="dxa"/>
              <w:left w:w="120" w:type="dxa"/>
              <w:bottom w:w="75" w:type="dxa"/>
              <w:right w:w="120" w:type="dxa"/>
            </w:tcMar>
          </w:tcPr>
          <w:p w14:paraId="0B3CC56F"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13</w:t>
            </w:r>
          </w:p>
        </w:tc>
        <w:tc>
          <w:tcPr>
            <w:tcW w:w="0" w:type="auto"/>
            <w:tcBorders>
              <w:tl2br w:val="nil"/>
              <w:tr2bl w:val="nil"/>
            </w:tcBorders>
            <w:shd w:val="clear" w:color="auto" w:fill="FFFFFF"/>
            <w:tcMar>
              <w:top w:w="75" w:type="dxa"/>
              <w:left w:w="120" w:type="dxa"/>
              <w:bottom w:w="75" w:type="dxa"/>
              <w:right w:w="120" w:type="dxa"/>
            </w:tcMar>
          </w:tcPr>
          <w:p w14:paraId="356EF646"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External validation: independent data for validation</w:t>
            </w:r>
          </w:p>
        </w:tc>
        <w:tc>
          <w:tcPr>
            <w:tcW w:w="0" w:type="auto"/>
            <w:tcBorders>
              <w:tl2br w:val="nil"/>
              <w:tr2bl w:val="nil"/>
            </w:tcBorders>
            <w:shd w:val="clear" w:color="auto" w:fill="FFFFFF"/>
            <w:tcMar>
              <w:top w:w="75" w:type="dxa"/>
              <w:left w:w="120" w:type="dxa"/>
              <w:bottom w:w="75" w:type="dxa"/>
              <w:right w:w="120" w:type="dxa"/>
            </w:tcMar>
          </w:tcPr>
          <w:p w14:paraId="7CEAAD6F"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520C874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Methods: Internal test and temporal validation; temporal cohort (July–December 2022, n=32)</w:t>
            </w:r>
          </w:p>
        </w:tc>
      </w:tr>
      <w:tr w:rsidR="008468E4" w:rsidRPr="00592751" w14:paraId="1045A0AF" w14:textId="77777777" w:rsidTr="00427488">
        <w:tc>
          <w:tcPr>
            <w:tcW w:w="0" w:type="auto"/>
            <w:tcBorders>
              <w:tl2br w:val="nil"/>
              <w:tr2bl w:val="nil"/>
            </w:tcBorders>
            <w:shd w:val="clear" w:color="auto" w:fill="FFFFFF"/>
            <w:tcMar>
              <w:top w:w="75" w:type="dxa"/>
              <w:left w:w="120" w:type="dxa"/>
              <w:bottom w:w="75" w:type="dxa"/>
              <w:right w:w="120" w:type="dxa"/>
            </w:tcMar>
          </w:tcPr>
          <w:p w14:paraId="66BC25B4"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14</w:t>
            </w:r>
          </w:p>
        </w:tc>
        <w:tc>
          <w:tcPr>
            <w:tcW w:w="0" w:type="auto"/>
            <w:tcBorders>
              <w:tl2br w:val="nil"/>
              <w:tr2bl w:val="nil"/>
            </w:tcBorders>
            <w:shd w:val="clear" w:color="auto" w:fill="FFFFFF"/>
            <w:tcMar>
              <w:top w:w="75" w:type="dxa"/>
              <w:left w:w="120" w:type="dxa"/>
              <w:bottom w:w="75" w:type="dxa"/>
              <w:right w:w="120" w:type="dxa"/>
            </w:tcMar>
          </w:tcPr>
          <w:p w14:paraId="5AFF4D12"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Performance measures: discrimination, calibration, clinical utility</w:t>
            </w:r>
          </w:p>
        </w:tc>
        <w:tc>
          <w:tcPr>
            <w:tcW w:w="0" w:type="auto"/>
            <w:tcBorders>
              <w:tl2br w:val="nil"/>
              <w:tr2bl w:val="nil"/>
            </w:tcBorders>
            <w:shd w:val="clear" w:color="auto" w:fill="FFFFFF"/>
            <w:tcMar>
              <w:top w:w="75" w:type="dxa"/>
              <w:left w:w="120" w:type="dxa"/>
              <w:bottom w:w="75" w:type="dxa"/>
              <w:right w:w="120" w:type="dxa"/>
            </w:tcMar>
          </w:tcPr>
          <w:p w14:paraId="0F3C8DD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211A7D4C"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Methods: Calibration and discrimination; AUC, DeLong CIs, calibration slope/intercept, Brier score, DCA</w:t>
            </w:r>
          </w:p>
        </w:tc>
      </w:tr>
      <w:tr w:rsidR="008468E4" w:rsidRPr="00592751" w14:paraId="227B61AD" w14:textId="77777777" w:rsidTr="00427488">
        <w:tc>
          <w:tcPr>
            <w:tcW w:w="0" w:type="auto"/>
            <w:tcBorders>
              <w:tl2br w:val="nil"/>
              <w:tr2bl w:val="nil"/>
            </w:tcBorders>
            <w:shd w:val="clear" w:color="auto" w:fill="FFFFFF"/>
            <w:tcMar>
              <w:top w:w="75" w:type="dxa"/>
              <w:left w:w="120" w:type="dxa"/>
              <w:bottom w:w="75" w:type="dxa"/>
              <w:right w:w="120" w:type="dxa"/>
            </w:tcMar>
          </w:tcPr>
          <w:p w14:paraId="5A320568"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15</w:t>
            </w:r>
          </w:p>
        </w:tc>
        <w:tc>
          <w:tcPr>
            <w:tcW w:w="0" w:type="auto"/>
            <w:tcBorders>
              <w:tl2br w:val="nil"/>
              <w:tr2bl w:val="nil"/>
            </w:tcBorders>
            <w:shd w:val="clear" w:color="auto" w:fill="FFFFFF"/>
            <w:tcMar>
              <w:top w:w="75" w:type="dxa"/>
              <w:left w:w="120" w:type="dxa"/>
              <w:bottom w:w="75" w:type="dxa"/>
              <w:right w:w="120" w:type="dxa"/>
            </w:tcMar>
          </w:tcPr>
          <w:p w14:paraId="4C064A96"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Results — Participant flow: numbers, exclusions, cohort allocation</w:t>
            </w:r>
          </w:p>
        </w:tc>
        <w:tc>
          <w:tcPr>
            <w:tcW w:w="0" w:type="auto"/>
            <w:tcBorders>
              <w:tl2br w:val="nil"/>
              <w:tr2bl w:val="nil"/>
            </w:tcBorders>
            <w:shd w:val="clear" w:color="auto" w:fill="FFFFFF"/>
            <w:tcMar>
              <w:top w:w="75" w:type="dxa"/>
              <w:left w:w="120" w:type="dxa"/>
              <w:bottom w:w="75" w:type="dxa"/>
              <w:right w:w="120" w:type="dxa"/>
            </w:tcMar>
          </w:tcPr>
          <w:p w14:paraId="2868343C"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40A8B02C"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Figure 1; Results: Baseline characteristics</w:t>
            </w:r>
          </w:p>
        </w:tc>
      </w:tr>
      <w:tr w:rsidR="008468E4" w:rsidRPr="00592751" w14:paraId="53505D6C" w14:textId="77777777" w:rsidTr="00427488">
        <w:tc>
          <w:tcPr>
            <w:tcW w:w="0" w:type="auto"/>
            <w:tcBorders>
              <w:tl2br w:val="nil"/>
              <w:tr2bl w:val="nil"/>
            </w:tcBorders>
            <w:shd w:val="clear" w:color="auto" w:fill="FFFFFF"/>
            <w:tcMar>
              <w:top w:w="75" w:type="dxa"/>
              <w:left w:w="120" w:type="dxa"/>
              <w:bottom w:w="75" w:type="dxa"/>
              <w:right w:w="120" w:type="dxa"/>
            </w:tcMar>
          </w:tcPr>
          <w:p w14:paraId="725EED95"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16</w:t>
            </w:r>
          </w:p>
        </w:tc>
        <w:tc>
          <w:tcPr>
            <w:tcW w:w="0" w:type="auto"/>
            <w:tcBorders>
              <w:tl2br w:val="nil"/>
              <w:tr2bl w:val="nil"/>
            </w:tcBorders>
            <w:shd w:val="clear" w:color="auto" w:fill="FFFFFF"/>
            <w:tcMar>
              <w:top w:w="75" w:type="dxa"/>
              <w:left w:w="120" w:type="dxa"/>
              <w:bottom w:w="75" w:type="dxa"/>
              <w:right w:w="120" w:type="dxa"/>
            </w:tcMar>
          </w:tcPr>
          <w:p w14:paraId="3ECD4EC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Results — Participant characteristics: descriptive statistics</w:t>
            </w:r>
          </w:p>
        </w:tc>
        <w:tc>
          <w:tcPr>
            <w:tcW w:w="0" w:type="auto"/>
            <w:tcBorders>
              <w:tl2br w:val="nil"/>
              <w:tr2bl w:val="nil"/>
            </w:tcBorders>
            <w:shd w:val="clear" w:color="auto" w:fill="FFFFFF"/>
            <w:tcMar>
              <w:top w:w="75" w:type="dxa"/>
              <w:left w:w="120" w:type="dxa"/>
              <w:bottom w:w="75" w:type="dxa"/>
              <w:right w:w="120" w:type="dxa"/>
            </w:tcMar>
          </w:tcPr>
          <w:p w14:paraId="65535C64"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4A0C4218"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Table 1, Table 2</w:t>
            </w:r>
          </w:p>
        </w:tc>
      </w:tr>
      <w:tr w:rsidR="008468E4" w:rsidRPr="00592751" w14:paraId="060AAE4B" w14:textId="77777777" w:rsidTr="00427488">
        <w:tc>
          <w:tcPr>
            <w:tcW w:w="0" w:type="auto"/>
            <w:tcBorders>
              <w:tl2br w:val="nil"/>
              <w:tr2bl w:val="nil"/>
            </w:tcBorders>
            <w:shd w:val="clear" w:color="auto" w:fill="FFFFFF"/>
            <w:tcMar>
              <w:top w:w="75" w:type="dxa"/>
              <w:left w:w="120" w:type="dxa"/>
              <w:bottom w:w="75" w:type="dxa"/>
              <w:right w:w="120" w:type="dxa"/>
            </w:tcMar>
          </w:tcPr>
          <w:p w14:paraId="4D1CD5BF"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17</w:t>
            </w:r>
          </w:p>
        </w:tc>
        <w:tc>
          <w:tcPr>
            <w:tcW w:w="0" w:type="auto"/>
            <w:tcBorders>
              <w:tl2br w:val="nil"/>
              <w:tr2bl w:val="nil"/>
            </w:tcBorders>
            <w:shd w:val="clear" w:color="auto" w:fill="FFFFFF"/>
            <w:tcMar>
              <w:top w:w="75" w:type="dxa"/>
              <w:left w:w="120" w:type="dxa"/>
              <w:bottom w:w="75" w:type="dxa"/>
              <w:right w:w="120" w:type="dxa"/>
            </w:tcMar>
          </w:tcPr>
          <w:p w14:paraId="6640CE3C"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Results — Univariable analysis: association of each predictor with outcome</w:t>
            </w:r>
          </w:p>
        </w:tc>
        <w:tc>
          <w:tcPr>
            <w:tcW w:w="0" w:type="auto"/>
            <w:tcBorders>
              <w:tl2br w:val="nil"/>
              <w:tr2bl w:val="nil"/>
            </w:tcBorders>
            <w:shd w:val="clear" w:color="auto" w:fill="FFFFFF"/>
            <w:tcMar>
              <w:top w:w="75" w:type="dxa"/>
              <w:left w:w="120" w:type="dxa"/>
              <w:bottom w:w="75" w:type="dxa"/>
              <w:right w:w="120" w:type="dxa"/>
            </w:tcMar>
          </w:tcPr>
          <w:p w14:paraId="5F34C96F"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072087E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Table 3 (univariable and multivariable coefficients)</w:t>
            </w:r>
          </w:p>
        </w:tc>
      </w:tr>
      <w:tr w:rsidR="008468E4" w:rsidRPr="00592751" w14:paraId="1F12331F" w14:textId="77777777" w:rsidTr="00427488">
        <w:tc>
          <w:tcPr>
            <w:tcW w:w="0" w:type="auto"/>
            <w:tcBorders>
              <w:tl2br w:val="nil"/>
              <w:tr2bl w:val="nil"/>
            </w:tcBorders>
            <w:shd w:val="clear" w:color="auto" w:fill="FFFFFF"/>
            <w:tcMar>
              <w:top w:w="75" w:type="dxa"/>
              <w:left w:w="120" w:type="dxa"/>
              <w:bottom w:w="75" w:type="dxa"/>
              <w:right w:w="120" w:type="dxa"/>
            </w:tcMar>
          </w:tcPr>
          <w:p w14:paraId="62CD3302"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18</w:t>
            </w:r>
          </w:p>
        </w:tc>
        <w:tc>
          <w:tcPr>
            <w:tcW w:w="0" w:type="auto"/>
            <w:tcBorders>
              <w:tl2br w:val="nil"/>
              <w:tr2bl w:val="nil"/>
            </w:tcBorders>
            <w:shd w:val="clear" w:color="auto" w:fill="FFFFFF"/>
            <w:tcMar>
              <w:top w:w="75" w:type="dxa"/>
              <w:left w:w="120" w:type="dxa"/>
              <w:bottom w:w="75" w:type="dxa"/>
              <w:right w:w="120" w:type="dxa"/>
            </w:tcMar>
          </w:tcPr>
          <w:p w14:paraId="752AC3AB"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Results — Model specification: complete prediction model presented</w:t>
            </w:r>
          </w:p>
        </w:tc>
        <w:tc>
          <w:tcPr>
            <w:tcW w:w="0" w:type="auto"/>
            <w:tcBorders>
              <w:tl2br w:val="nil"/>
              <w:tr2bl w:val="nil"/>
            </w:tcBorders>
            <w:shd w:val="clear" w:color="auto" w:fill="FFFFFF"/>
            <w:tcMar>
              <w:top w:w="75" w:type="dxa"/>
              <w:left w:w="120" w:type="dxa"/>
              <w:bottom w:w="75" w:type="dxa"/>
              <w:right w:w="120" w:type="dxa"/>
            </w:tcMar>
          </w:tcPr>
          <w:p w14:paraId="04A15F3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3DCDE68B"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Figure 3 (nomogram); ERS linear predictor and probability formulas provided</w:t>
            </w:r>
          </w:p>
        </w:tc>
      </w:tr>
      <w:tr w:rsidR="008468E4" w:rsidRPr="00592751" w14:paraId="14DED322" w14:textId="77777777" w:rsidTr="00427488">
        <w:tc>
          <w:tcPr>
            <w:tcW w:w="0" w:type="auto"/>
            <w:tcBorders>
              <w:tl2br w:val="nil"/>
              <w:tr2bl w:val="nil"/>
            </w:tcBorders>
            <w:shd w:val="clear" w:color="auto" w:fill="FFFFFF"/>
            <w:tcMar>
              <w:top w:w="75" w:type="dxa"/>
              <w:left w:w="120" w:type="dxa"/>
              <w:bottom w:w="75" w:type="dxa"/>
              <w:right w:w="120" w:type="dxa"/>
            </w:tcMar>
          </w:tcPr>
          <w:p w14:paraId="183FF0D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19</w:t>
            </w:r>
          </w:p>
        </w:tc>
        <w:tc>
          <w:tcPr>
            <w:tcW w:w="0" w:type="auto"/>
            <w:tcBorders>
              <w:tl2br w:val="nil"/>
              <w:tr2bl w:val="nil"/>
            </w:tcBorders>
            <w:shd w:val="clear" w:color="auto" w:fill="FFFFFF"/>
            <w:tcMar>
              <w:top w:w="75" w:type="dxa"/>
              <w:left w:w="120" w:type="dxa"/>
              <w:bottom w:w="75" w:type="dxa"/>
              <w:right w:w="120" w:type="dxa"/>
            </w:tcMar>
          </w:tcPr>
          <w:p w14:paraId="680689D8"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Results — Model performance: discrimination, calibration, clinical utility</w:t>
            </w:r>
          </w:p>
        </w:tc>
        <w:tc>
          <w:tcPr>
            <w:tcW w:w="0" w:type="auto"/>
            <w:tcBorders>
              <w:tl2br w:val="nil"/>
              <w:tr2bl w:val="nil"/>
            </w:tcBorders>
            <w:shd w:val="clear" w:color="auto" w:fill="FFFFFF"/>
            <w:tcMar>
              <w:top w:w="75" w:type="dxa"/>
              <w:left w:w="120" w:type="dxa"/>
              <w:bottom w:w="75" w:type="dxa"/>
              <w:right w:w="120" w:type="dxa"/>
            </w:tcMar>
          </w:tcPr>
          <w:p w14:paraId="5DE31057"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6AF6B085"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Results: Discrimination, Calibration, Clinical utility; AUCs, calibration plots, DCA figures</w:t>
            </w:r>
          </w:p>
        </w:tc>
      </w:tr>
      <w:tr w:rsidR="008468E4" w:rsidRPr="00592751" w14:paraId="6868BFB9" w14:textId="77777777" w:rsidTr="00427488">
        <w:tc>
          <w:tcPr>
            <w:tcW w:w="0" w:type="auto"/>
            <w:tcBorders>
              <w:tl2br w:val="nil"/>
              <w:tr2bl w:val="nil"/>
            </w:tcBorders>
            <w:shd w:val="clear" w:color="auto" w:fill="FFFFFF"/>
            <w:tcMar>
              <w:top w:w="75" w:type="dxa"/>
              <w:left w:w="120" w:type="dxa"/>
              <w:bottom w:w="75" w:type="dxa"/>
              <w:right w:w="120" w:type="dxa"/>
            </w:tcMar>
          </w:tcPr>
          <w:p w14:paraId="435679B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20</w:t>
            </w:r>
          </w:p>
        </w:tc>
        <w:tc>
          <w:tcPr>
            <w:tcW w:w="0" w:type="auto"/>
            <w:tcBorders>
              <w:tl2br w:val="nil"/>
              <w:tr2bl w:val="nil"/>
            </w:tcBorders>
            <w:shd w:val="clear" w:color="auto" w:fill="FFFFFF"/>
            <w:tcMar>
              <w:top w:w="75" w:type="dxa"/>
              <w:left w:w="120" w:type="dxa"/>
              <w:bottom w:w="75" w:type="dxa"/>
              <w:right w:w="120" w:type="dxa"/>
            </w:tcMar>
          </w:tcPr>
          <w:p w14:paraId="678874C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Results — Model validation: performance in validation cohorts</w:t>
            </w:r>
          </w:p>
        </w:tc>
        <w:tc>
          <w:tcPr>
            <w:tcW w:w="0" w:type="auto"/>
            <w:tcBorders>
              <w:tl2br w:val="nil"/>
              <w:tr2bl w:val="nil"/>
            </w:tcBorders>
            <w:shd w:val="clear" w:color="auto" w:fill="FFFFFF"/>
            <w:tcMar>
              <w:top w:w="75" w:type="dxa"/>
              <w:left w:w="120" w:type="dxa"/>
              <w:bottom w:w="75" w:type="dxa"/>
              <w:right w:w="120" w:type="dxa"/>
            </w:tcMar>
          </w:tcPr>
          <w:p w14:paraId="78F54744"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74BBEC64"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Results: Internal test and temporal validation; Table 4, Table 5, Figure 4</w:t>
            </w:r>
          </w:p>
        </w:tc>
      </w:tr>
      <w:tr w:rsidR="008468E4" w:rsidRPr="00592751" w14:paraId="0F3C994D" w14:textId="77777777" w:rsidTr="00427488">
        <w:tc>
          <w:tcPr>
            <w:tcW w:w="0" w:type="auto"/>
            <w:tcBorders>
              <w:tl2br w:val="nil"/>
              <w:tr2bl w:val="nil"/>
            </w:tcBorders>
            <w:shd w:val="clear" w:color="auto" w:fill="FFFFFF"/>
            <w:tcMar>
              <w:top w:w="75" w:type="dxa"/>
              <w:left w:w="120" w:type="dxa"/>
              <w:bottom w:w="75" w:type="dxa"/>
              <w:right w:w="120" w:type="dxa"/>
            </w:tcMar>
          </w:tcPr>
          <w:p w14:paraId="158FFEBE"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21</w:t>
            </w:r>
          </w:p>
        </w:tc>
        <w:tc>
          <w:tcPr>
            <w:tcW w:w="0" w:type="auto"/>
            <w:tcBorders>
              <w:tl2br w:val="nil"/>
              <w:tr2bl w:val="nil"/>
            </w:tcBorders>
            <w:shd w:val="clear" w:color="auto" w:fill="FFFFFF"/>
            <w:tcMar>
              <w:top w:w="75" w:type="dxa"/>
              <w:left w:w="120" w:type="dxa"/>
              <w:bottom w:w="75" w:type="dxa"/>
              <w:right w:w="120" w:type="dxa"/>
            </w:tcMar>
          </w:tcPr>
          <w:p w14:paraId="502C6D07"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Results — Model updating: updated model if performed</w:t>
            </w:r>
          </w:p>
        </w:tc>
        <w:tc>
          <w:tcPr>
            <w:tcW w:w="0" w:type="auto"/>
            <w:tcBorders>
              <w:tl2br w:val="nil"/>
              <w:tr2bl w:val="nil"/>
            </w:tcBorders>
            <w:shd w:val="clear" w:color="auto" w:fill="FFFFFF"/>
            <w:tcMar>
              <w:top w:w="75" w:type="dxa"/>
              <w:left w:w="120" w:type="dxa"/>
              <w:bottom w:w="75" w:type="dxa"/>
              <w:right w:w="120" w:type="dxa"/>
            </w:tcMar>
          </w:tcPr>
          <w:p w14:paraId="535F939D"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Not applicable</w:t>
            </w:r>
          </w:p>
        </w:tc>
        <w:tc>
          <w:tcPr>
            <w:tcW w:w="0" w:type="auto"/>
            <w:tcBorders>
              <w:tl2br w:val="nil"/>
              <w:tr2bl w:val="nil"/>
            </w:tcBorders>
            <w:shd w:val="clear" w:color="auto" w:fill="FFFFFF"/>
            <w:tcMar>
              <w:top w:w="75" w:type="dxa"/>
              <w:left w:w="120" w:type="dxa"/>
              <w:bottom w:w="75" w:type="dxa"/>
              <w:right w:w="120" w:type="dxa"/>
            </w:tcMar>
          </w:tcPr>
          <w:p w14:paraId="14AEC15C"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No model updating was performed</w:t>
            </w:r>
          </w:p>
        </w:tc>
      </w:tr>
      <w:tr w:rsidR="008468E4" w:rsidRPr="00592751" w14:paraId="369D3FAF" w14:textId="77777777" w:rsidTr="00427488">
        <w:tc>
          <w:tcPr>
            <w:tcW w:w="0" w:type="auto"/>
            <w:tcBorders>
              <w:tl2br w:val="nil"/>
              <w:tr2bl w:val="nil"/>
            </w:tcBorders>
            <w:shd w:val="clear" w:color="auto" w:fill="FFFFFF"/>
            <w:tcMar>
              <w:top w:w="75" w:type="dxa"/>
              <w:left w:w="120" w:type="dxa"/>
              <w:bottom w:w="75" w:type="dxa"/>
              <w:right w:w="120" w:type="dxa"/>
            </w:tcMar>
          </w:tcPr>
          <w:p w14:paraId="22D1DF4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22</w:t>
            </w:r>
          </w:p>
        </w:tc>
        <w:tc>
          <w:tcPr>
            <w:tcW w:w="0" w:type="auto"/>
            <w:tcBorders>
              <w:tl2br w:val="nil"/>
              <w:tr2bl w:val="nil"/>
            </w:tcBorders>
            <w:shd w:val="clear" w:color="auto" w:fill="FFFFFF"/>
            <w:tcMar>
              <w:top w:w="75" w:type="dxa"/>
              <w:left w:w="120" w:type="dxa"/>
              <w:bottom w:w="75" w:type="dxa"/>
              <w:right w:w="120" w:type="dxa"/>
            </w:tcMar>
          </w:tcPr>
          <w:p w14:paraId="686EE155"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Discussion — Limitations: sources of bias, generalizability, applicability</w:t>
            </w:r>
          </w:p>
        </w:tc>
        <w:tc>
          <w:tcPr>
            <w:tcW w:w="0" w:type="auto"/>
            <w:tcBorders>
              <w:tl2br w:val="nil"/>
              <w:tr2bl w:val="nil"/>
            </w:tcBorders>
            <w:shd w:val="clear" w:color="auto" w:fill="FFFFFF"/>
            <w:tcMar>
              <w:top w:w="75" w:type="dxa"/>
              <w:left w:w="120" w:type="dxa"/>
              <w:bottom w:w="75" w:type="dxa"/>
              <w:right w:w="120" w:type="dxa"/>
            </w:tcMar>
          </w:tcPr>
          <w:p w14:paraId="00C76B7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7D72C284"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Discussion: Limitations; single-center design, CA19-9 pitfalls, sample size, scanner heterogeneity discussed</w:t>
            </w:r>
          </w:p>
        </w:tc>
      </w:tr>
      <w:tr w:rsidR="008468E4" w:rsidRPr="00592751" w14:paraId="304A82F3" w14:textId="77777777" w:rsidTr="00427488">
        <w:tc>
          <w:tcPr>
            <w:tcW w:w="0" w:type="auto"/>
            <w:tcBorders>
              <w:tl2br w:val="nil"/>
              <w:tr2bl w:val="nil"/>
            </w:tcBorders>
            <w:shd w:val="clear" w:color="auto" w:fill="FFFFFF"/>
            <w:tcMar>
              <w:top w:w="75" w:type="dxa"/>
              <w:left w:w="120" w:type="dxa"/>
              <w:bottom w:w="75" w:type="dxa"/>
              <w:right w:w="120" w:type="dxa"/>
            </w:tcMar>
          </w:tcPr>
          <w:p w14:paraId="49A0FA02"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23</w:t>
            </w:r>
          </w:p>
        </w:tc>
        <w:tc>
          <w:tcPr>
            <w:tcW w:w="0" w:type="auto"/>
            <w:tcBorders>
              <w:tl2br w:val="nil"/>
              <w:tr2bl w:val="nil"/>
            </w:tcBorders>
            <w:shd w:val="clear" w:color="auto" w:fill="FFFFFF"/>
            <w:tcMar>
              <w:top w:w="75" w:type="dxa"/>
              <w:left w:w="120" w:type="dxa"/>
              <w:bottom w:w="75" w:type="dxa"/>
              <w:right w:w="120" w:type="dxa"/>
            </w:tcMar>
          </w:tcPr>
          <w:p w14:paraId="3FA40BF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Discussion — Interpretation: comparison with existing models and clinical context</w:t>
            </w:r>
          </w:p>
        </w:tc>
        <w:tc>
          <w:tcPr>
            <w:tcW w:w="0" w:type="auto"/>
            <w:tcBorders>
              <w:tl2br w:val="nil"/>
              <w:tr2bl w:val="nil"/>
            </w:tcBorders>
            <w:shd w:val="clear" w:color="auto" w:fill="FFFFFF"/>
            <w:tcMar>
              <w:top w:w="75" w:type="dxa"/>
              <w:left w:w="120" w:type="dxa"/>
              <w:bottom w:w="75" w:type="dxa"/>
              <w:right w:w="120" w:type="dxa"/>
            </w:tcMar>
          </w:tcPr>
          <w:p w14:paraId="136C22DB"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3681E567"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Discussion: Preoperative prediction of early recurrence; comparison with AJCC, radiomics, and deep-learning models</w:t>
            </w:r>
          </w:p>
        </w:tc>
      </w:tr>
      <w:tr w:rsidR="008468E4" w:rsidRPr="00592751" w14:paraId="6D49ED40" w14:textId="77777777" w:rsidTr="00427488">
        <w:tc>
          <w:tcPr>
            <w:tcW w:w="0" w:type="auto"/>
            <w:tcBorders>
              <w:tl2br w:val="nil"/>
              <w:tr2bl w:val="nil"/>
            </w:tcBorders>
            <w:shd w:val="clear" w:color="auto" w:fill="FFFFFF"/>
            <w:tcMar>
              <w:top w:w="75" w:type="dxa"/>
              <w:left w:w="120" w:type="dxa"/>
              <w:bottom w:w="75" w:type="dxa"/>
              <w:right w:w="120" w:type="dxa"/>
            </w:tcMar>
          </w:tcPr>
          <w:p w14:paraId="358E78A6"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24</w:t>
            </w:r>
          </w:p>
        </w:tc>
        <w:tc>
          <w:tcPr>
            <w:tcW w:w="0" w:type="auto"/>
            <w:tcBorders>
              <w:tl2br w:val="nil"/>
              <w:tr2bl w:val="nil"/>
            </w:tcBorders>
            <w:shd w:val="clear" w:color="auto" w:fill="FFFFFF"/>
            <w:tcMar>
              <w:top w:w="75" w:type="dxa"/>
              <w:left w:w="120" w:type="dxa"/>
              <w:bottom w:w="75" w:type="dxa"/>
              <w:right w:w="120" w:type="dxa"/>
            </w:tcMar>
          </w:tcPr>
          <w:p w14:paraId="35B7400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Discussion — Implications: practical use, future research, policy</w:t>
            </w:r>
          </w:p>
        </w:tc>
        <w:tc>
          <w:tcPr>
            <w:tcW w:w="0" w:type="auto"/>
            <w:tcBorders>
              <w:tl2br w:val="nil"/>
              <w:tr2bl w:val="nil"/>
            </w:tcBorders>
            <w:shd w:val="clear" w:color="auto" w:fill="FFFFFF"/>
            <w:tcMar>
              <w:top w:w="75" w:type="dxa"/>
              <w:left w:w="120" w:type="dxa"/>
              <w:bottom w:w="75" w:type="dxa"/>
              <w:right w:w="120" w:type="dxa"/>
            </w:tcMar>
          </w:tcPr>
          <w:p w14:paraId="521F866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1E74436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Discussion: Clinical implications; neoadjuvant selection, surveillance intensity, trial enrichment</w:t>
            </w:r>
          </w:p>
        </w:tc>
      </w:tr>
      <w:tr w:rsidR="008468E4" w:rsidRPr="00592751" w14:paraId="68FCD1D3" w14:textId="77777777" w:rsidTr="00427488">
        <w:tc>
          <w:tcPr>
            <w:tcW w:w="0" w:type="auto"/>
            <w:tcBorders>
              <w:tl2br w:val="nil"/>
              <w:tr2bl w:val="nil"/>
            </w:tcBorders>
            <w:shd w:val="clear" w:color="auto" w:fill="FFFFFF"/>
            <w:tcMar>
              <w:top w:w="75" w:type="dxa"/>
              <w:left w:w="120" w:type="dxa"/>
              <w:bottom w:w="75" w:type="dxa"/>
              <w:right w:w="120" w:type="dxa"/>
            </w:tcMar>
          </w:tcPr>
          <w:p w14:paraId="481FAA9C"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25</w:t>
            </w:r>
          </w:p>
        </w:tc>
        <w:tc>
          <w:tcPr>
            <w:tcW w:w="0" w:type="auto"/>
            <w:tcBorders>
              <w:tl2br w:val="nil"/>
              <w:tr2bl w:val="nil"/>
            </w:tcBorders>
            <w:shd w:val="clear" w:color="auto" w:fill="FFFFFF"/>
            <w:tcMar>
              <w:top w:w="75" w:type="dxa"/>
              <w:left w:w="120" w:type="dxa"/>
              <w:bottom w:w="75" w:type="dxa"/>
              <w:right w:w="120" w:type="dxa"/>
            </w:tcMar>
          </w:tcPr>
          <w:p w14:paraId="01E0EDFB"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Supplementary information: availability of supplementary materials</w:t>
            </w:r>
          </w:p>
        </w:tc>
        <w:tc>
          <w:tcPr>
            <w:tcW w:w="0" w:type="auto"/>
            <w:tcBorders>
              <w:tl2br w:val="nil"/>
              <w:tr2bl w:val="nil"/>
            </w:tcBorders>
            <w:shd w:val="clear" w:color="auto" w:fill="FFFFFF"/>
            <w:tcMar>
              <w:top w:w="75" w:type="dxa"/>
              <w:left w:w="120" w:type="dxa"/>
              <w:bottom w:w="75" w:type="dxa"/>
              <w:right w:w="120" w:type="dxa"/>
            </w:tcMar>
          </w:tcPr>
          <w:p w14:paraId="2D16585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Partially adhered</w:t>
            </w:r>
          </w:p>
        </w:tc>
        <w:tc>
          <w:tcPr>
            <w:tcW w:w="0" w:type="auto"/>
            <w:tcBorders>
              <w:tl2br w:val="nil"/>
              <w:tr2bl w:val="nil"/>
            </w:tcBorders>
            <w:shd w:val="clear" w:color="auto" w:fill="FFFFFF"/>
            <w:tcMar>
              <w:top w:w="75" w:type="dxa"/>
              <w:left w:w="120" w:type="dxa"/>
              <w:bottom w:w="75" w:type="dxa"/>
              <w:right w:w="120" w:type="dxa"/>
            </w:tcMar>
          </w:tcPr>
          <w:p w14:paraId="4D4847F1"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Inter-reader agreement (Cohen’s κ) was referenced as being in the supplement, but the supplementary document was not provided with this submission</w:t>
            </w:r>
          </w:p>
        </w:tc>
      </w:tr>
      <w:tr w:rsidR="008468E4" w:rsidRPr="00592751" w14:paraId="745F3262" w14:textId="77777777" w:rsidTr="00427488">
        <w:tc>
          <w:tcPr>
            <w:tcW w:w="0" w:type="auto"/>
            <w:tcBorders>
              <w:tl2br w:val="nil"/>
              <w:tr2bl w:val="nil"/>
            </w:tcBorders>
            <w:shd w:val="clear" w:color="auto" w:fill="FFFFFF"/>
            <w:tcMar>
              <w:top w:w="75" w:type="dxa"/>
              <w:left w:w="120" w:type="dxa"/>
              <w:bottom w:w="75" w:type="dxa"/>
              <w:right w:w="120" w:type="dxa"/>
            </w:tcMar>
          </w:tcPr>
          <w:p w14:paraId="460A6D5C"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26</w:t>
            </w:r>
          </w:p>
        </w:tc>
        <w:tc>
          <w:tcPr>
            <w:tcW w:w="0" w:type="auto"/>
            <w:tcBorders>
              <w:tl2br w:val="nil"/>
              <w:tr2bl w:val="nil"/>
            </w:tcBorders>
            <w:shd w:val="clear" w:color="auto" w:fill="FFFFFF"/>
            <w:tcMar>
              <w:top w:w="75" w:type="dxa"/>
              <w:left w:w="120" w:type="dxa"/>
              <w:bottom w:w="75" w:type="dxa"/>
              <w:right w:w="120" w:type="dxa"/>
            </w:tcMar>
          </w:tcPr>
          <w:p w14:paraId="191236DE"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Funding: sources of funding</w:t>
            </w:r>
          </w:p>
        </w:tc>
        <w:tc>
          <w:tcPr>
            <w:tcW w:w="0" w:type="auto"/>
            <w:tcBorders>
              <w:tl2br w:val="nil"/>
              <w:tr2bl w:val="nil"/>
            </w:tcBorders>
            <w:shd w:val="clear" w:color="auto" w:fill="FFFFFF"/>
            <w:tcMar>
              <w:top w:w="75" w:type="dxa"/>
              <w:left w:w="120" w:type="dxa"/>
              <w:bottom w:w="75" w:type="dxa"/>
              <w:right w:w="120" w:type="dxa"/>
            </w:tcMar>
          </w:tcPr>
          <w:p w14:paraId="6ACFB152"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3CD28C5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Declarations: Funding listed as “Not applicable”</w:t>
            </w:r>
          </w:p>
        </w:tc>
      </w:tr>
      <w:tr w:rsidR="008468E4" w:rsidRPr="00592751" w14:paraId="175E12D6" w14:textId="77777777" w:rsidTr="00427488">
        <w:tc>
          <w:tcPr>
            <w:tcW w:w="0" w:type="auto"/>
            <w:tcBorders>
              <w:tl2br w:val="nil"/>
              <w:tr2bl w:val="nil"/>
            </w:tcBorders>
            <w:shd w:val="clear" w:color="auto" w:fill="FFFFFF"/>
            <w:tcMar>
              <w:top w:w="75" w:type="dxa"/>
              <w:left w:w="120" w:type="dxa"/>
              <w:bottom w:w="75" w:type="dxa"/>
              <w:right w:w="120" w:type="dxa"/>
            </w:tcMar>
          </w:tcPr>
          <w:p w14:paraId="031CC3B4"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27</w:t>
            </w:r>
          </w:p>
        </w:tc>
        <w:tc>
          <w:tcPr>
            <w:tcW w:w="0" w:type="auto"/>
            <w:tcBorders>
              <w:tl2br w:val="nil"/>
              <w:tr2bl w:val="nil"/>
            </w:tcBorders>
            <w:shd w:val="clear" w:color="auto" w:fill="FFFFFF"/>
            <w:tcMar>
              <w:top w:w="75" w:type="dxa"/>
              <w:left w:w="120" w:type="dxa"/>
              <w:bottom w:w="75" w:type="dxa"/>
              <w:right w:w="120" w:type="dxa"/>
            </w:tcMar>
          </w:tcPr>
          <w:p w14:paraId="018C8BA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Other information: registration, protocol, data sharing</w:t>
            </w:r>
          </w:p>
        </w:tc>
        <w:tc>
          <w:tcPr>
            <w:tcW w:w="0" w:type="auto"/>
            <w:tcBorders>
              <w:tl2br w:val="nil"/>
              <w:tr2bl w:val="nil"/>
            </w:tcBorders>
            <w:shd w:val="clear" w:color="auto" w:fill="FFFFFF"/>
            <w:tcMar>
              <w:top w:w="75" w:type="dxa"/>
              <w:left w:w="120" w:type="dxa"/>
              <w:bottom w:w="75" w:type="dxa"/>
              <w:right w:w="120" w:type="dxa"/>
            </w:tcMar>
          </w:tcPr>
          <w:p w14:paraId="07D69FE0"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4FC017CE"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Declarations: Ethics approval, data availability, and code availability statements provided</w:t>
            </w:r>
          </w:p>
        </w:tc>
      </w:tr>
      <w:tr w:rsidR="008468E4" w:rsidRPr="00592751" w14:paraId="35A6FD63" w14:textId="77777777" w:rsidTr="00427488">
        <w:tc>
          <w:tcPr>
            <w:tcW w:w="0" w:type="auto"/>
            <w:tcBorders>
              <w:tl2br w:val="nil"/>
              <w:tr2bl w:val="nil"/>
            </w:tcBorders>
            <w:shd w:val="clear" w:color="auto" w:fill="FFFFFF"/>
            <w:tcMar>
              <w:top w:w="75" w:type="dxa"/>
              <w:left w:w="120" w:type="dxa"/>
              <w:bottom w:w="75" w:type="dxa"/>
              <w:right w:w="120" w:type="dxa"/>
            </w:tcMar>
          </w:tcPr>
          <w:p w14:paraId="0F054EFF"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AI1</w:t>
            </w:r>
          </w:p>
        </w:tc>
        <w:tc>
          <w:tcPr>
            <w:tcW w:w="0" w:type="auto"/>
            <w:tcBorders>
              <w:tl2br w:val="nil"/>
              <w:tr2bl w:val="nil"/>
            </w:tcBorders>
            <w:shd w:val="clear" w:color="auto" w:fill="FFFFFF"/>
            <w:tcMar>
              <w:top w:w="75" w:type="dxa"/>
              <w:left w:w="120" w:type="dxa"/>
              <w:bottom w:w="75" w:type="dxa"/>
              <w:right w:w="120" w:type="dxa"/>
            </w:tcMar>
          </w:tcPr>
          <w:p w14:paraId="59B44967"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Data preprocessing and feature engineering</w:t>
            </w:r>
          </w:p>
        </w:tc>
        <w:tc>
          <w:tcPr>
            <w:tcW w:w="0" w:type="auto"/>
            <w:tcBorders>
              <w:tl2br w:val="nil"/>
              <w:tr2bl w:val="nil"/>
            </w:tcBorders>
            <w:shd w:val="clear" w:color="auto" w:fill="FFFFFF"/>
            <w:tcMar>
              <w:top w:w="75" w:type="dxa"/>
              <w:left w:w="120" w:type="dxa"/>
              <w:bottom w:w="75" w:type="dxa"/>
              <w:right w:w="120" w:type="dxa"/>
            </w:tcMar>
          </w:tcPr>
          <w:p w14:paraId="7470DA2B"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286E9716"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 xml:space="preserve">Methods: CA19-9 log2 transformation with small constant; prespecified CT features (necrosis </w:t>
            </w:r>
            <w:r w:rsidRPr="00592751">
              <w:rPr>
                <w:rFonts w:ascii="Times New Roman" w:eastAsia="Segoe UI" w:hAnsi="Times New Roman" w:cs="Times New Roman" w:hint="eastAsia"/>
                <w:bCs/>
                <w:spacing w:val="4"/>
                <w:kern w:val="0"/>
                <w:sz w:val="15"/>
                <w:szCs w:val="15"/>
                <w:lang w:bidi="ar"/>
              </w:rPr>
              <w:t>≥</w:t>
            </w:r>
            <w:r w:rsidRPr="00592751">
              <w:rPr>
                <w:rFonts w:ascii="Times New Roman" w:eastAsia="Segoe UI" w:hAnsi="Times New Roman" w:cs="Times New Roman"/>
                <w:bCs/>
                <w:spacing w:val="4"/>
                <w:kern w:val="0"/>
                <w:sz w:val="15"/>
                <w:szCs w:val="15"/>
                <w:lang w:bidi="ar"/>
              </w:rPr>
              <w:t>30%, peritumoral invasion)</w:t>
            </w:r>
          </w:p>
        </w:tc>
      </w:tr>
      <w:tr w:rsidR="008468E4" w:rsidRPr="00592751" w14:paraId="50FA2093" w14:textId="77777777" w:rsidTr="00427488">
        <w:tc>
          <w:tcPr>
            <w:tcW w:w="0" w:type="auto"/>
            <w:tcBorders>
              <w:tl2br w:val="nil"/>
              <w:tr2bl w:val="nil"/>
            </w:tcBorders>
            <w:shd w:val="clear" w:color="auto" w:fill="FFFFFF"/>
            <w:tcMar>
              <w:top w:w="75" w:type="dxa"/>
              <w:left w:w="120" w:type="dxa"/>
              <w:bottom w:w="75" w:type="dxa"/>
              <w:right w:w="120" w:type="dxa"/>
            </w:tcMar>
          </w:tcPr>
          <w:p w14:paraId="625382FF"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AI2</w:t>
            </w:r>
          </w:p>
        </w:tc>
        <w:tc>
          <w:tcPr>
            <w:tcW w:w="0" w:type="auto"/>
            <w:tcBorders>
              <w:tl2br w:val="nil"/>
              <w:tr2bl w:val="nil"/>
            </w:tcBorders>
            <w:shd w:val="clear" w:color="auto" w:fill="FFFFFF"/>
            <w:tcMar>
              <w:top w:w="75" w:type="dxa"/>
              <w:left w:w="120" w:type="dxa"/>
              <w:bottom w:w="75" w:type="dxa"/>
              <w:right w:w="120" w:type="dxa"/>
            </w:tcMar>
          </w:tcPr>
          <w:p w14:paraId="38D56E24"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Model class and architecture</w:t>
            </w:r>
          </w:p>
        </w:tc>
        <w:tc>
          <w:tcPr>
            <w:tcW w:w="0" w:type="auto"/>
            <w:tcBorders>
              <w:tl2br w:val="nil"/>
              <w:tr2bl w:val="nil"/>
            </w:tcBorders>
            <w:shd w:val="clear" w:color="auto" w:fill="FFFFFF"/>
            <w:tcMar>
              <w:top w:w="75" w:type="dxa"/>
              <w:left w:w="120" w:type="dxa"/>
              <w:bottom w:w="75" w:type="dxa"/>
              <w:right w:w="120" w:type="dxa"/>
            </w:tcMar>
          </w:tcPr>
          <w:p w14:paraId="6EEF3E6E"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6B3AFC9E"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 xml:space="preserve">Methods: Penalized logistic regression (ridge/L2) using </w:t>
            </w:r>
            <w:proofErr w:type="spellStart"/>
            <w:r w:rsidRPr="00592751">
              <w:rPr>
                <w:rFonts w:ascii="Times New Roman" w:eastAsia="Segoe UI" w:hAnsi="Times New Roman" w:cs="Times New Roman"/>
                <w:bCs/>
                <w:spacing w:val="4"/>
                <w:kern w:val="0"/>
                <w:sz w:val="15"/>
                <w:szCs w:val="15"/>
                <w:lang w:bidi="ar"/>
              </w:rPr>
              <w:t>glmnet</w:t>
            </w:r>
            <w:proofErr w:type="spellEnd"/>
            <w:r w:rsidRPr="00592751">
              <w:rPr>
                <w:rFonts w:ascii="Times New Roman" w:eastAsia="Segoe UI" w:hAnsi="Times New Roman" w:cs="Times New Roman"/>
                <w:bCs/>
                <w:spacing w:val="4"/>
                <w:kern w:val="0"/>
                <w:sz w:val="15"/>
                <w:szCs w:val="15"/>
                <w:lang w:bidi="ar"/>
              </w:rPr>
              <w:t>; linear predictor and sigmoid probability specified</w:t>
            </w:r>
          </w:p>
        </w:tc>
      </w:tr>
      <w:tr w:rsidR="008468E4" w:rsidRPr="00592751" w14:paraId="6931ED31" w14:textId="77777777" w:rsidTr="00427488">
        <w:tc>
          <w:tcPr>
            <w:tcW w:w="0" w:type="auto"/>
            <w:tcBorders>
              <w:tl2br w:val="nil"/>
              <w:tr2bl w:val="nil"/>
            </w:tcBorders>
            <w:shd w:val="clear" w:color="auto" w:fill="FFFFFF"/>
            <w:tcMar>
              <w:top w:w="75" w:type="dxa"/>
              <w:left w:w="120" w:type="dxa"/>
              <w:bottom w:w="75" w:type="dxa"/>
              <w:right w:w="120" w:type="dxa"/>
            </w:tcMar>
          </w:tcPr>
          <w:p w14:paraId="26C085E4"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AI3</w:t>
            </w:r>
          </w:p>
        </w:tc>
        <w:tc>
          <w:tcPr>
            <w:tcW w:w="0" w:type="auto"/>
            <w:tcBorders>
              <w:tl2br w:val="nil"/>
              <w:tr2bl w:val="nil"/>
            </w:tcBorders>
            <w:shd w:val="clear" w:color="auto" w:fill="FFFFFF"/>
            <w:tcMar>
              <w:top w:w="75" w:type="dxa"/>
              <w:left w:w="120" w:type="dxa"/>
              <w:bottom w:w="75" w:type="dxa"/>
              <w:right w:w="120" w:type="dxa"/>
            </w:tcMar>
          </w:tcPr>
          <w:p w14:paraId="42DD312D"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Hyperparameter optimization</w:t>
            </w:r>
          </w:p>
        </w:tc>
        <w:tc>
          <w:tcPr>
            <w:tcW w:w="0" w:type="auto"/>
            <w:tcBorders>
              <w:tl2br w:val="nil"/>
              <w:tr2bl w:val="nil"/>
            </w:tcBorders>
            <w:shd w:val="clear" w:color="auto" w:fill="FFFFFF"/>
            <w:tcMar>
              <w:top w:w="75" w:type="dxa"/>
              <w:left w:w="120" w:type="dxa"/>
              <w:bottom w:w="75" w:type="dxa"/>
              <w:right w:w="120" w:type="dxa"/>
            </w:tcMar>
          </w:tcPr>
          <w:p w14:paraId="3AB471C6"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377D9E62"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Methods: Tuning parameter λ chosen by 10-fold cross-validation in the training set</w:t>
            </w:r>
          </w:p>
        </w:tc>
      </w:tr>
      <w:tr w:rsidR="008468E4" w:rsidRPr="00592751" w14:paraId="603FC56C" w14:textId="77777777" w:rsidTr="00427488">
        <w:tc>
          <w:tcPr>
            <w:tcW w:w="0" w:type="auto"/>
            <w:tcBorders>
              <w:tl2br w:val="nil"/>
              <w:tr2bl w:val="nil"/>
            </w:tcBorders>
            <w:shd w:val="clear" w:color="auto" w:fill="FFFFFF"/>
            <w:tcMar>
              <w:top w:w="75" w:type="dxa"/>
              <w:left w:w="120" w:type="dxa"/>
              <w:bottom w:w="75" w:type="dxa"/>
              <w:right w:w="120" w:type="dxa"/>
            </w:tcMar>
          </w:tcPr>
          <w:p w14:paraId="3B65579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AI4</w:t>
            </w:r>
          </w:p>
        </w:tc>
        <w:tc>
          <w:tcPr>
            <w:tcW w:w="0" w:type="auto"/>
            <w:tcBorders>
              <w:tl2br w:val="nil"/>
              <w:tr2bl w:val="nil"/>
            </w:tcBorders>
            <w:shd w:val="clear" w:color="auto" w:fill="FFFFFF"/>
            <w:tcMar>
              <w:top w:w="75" w:type="dxa"/>
              <w:left w:w="120" w:type="dxa"/>
              <w:bottom w:w="75" w:type="dxa"/>
              <w:right w:w="120" w:type="dxa"/>
            </w:tcMar>
          </w:tcPr>
          <w:p w14:paraId="39DE90E1"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Model selection and internal validation strategy</w:t>
            </w:r>
          </w:p>
        </w:tc>
        <w:tc>
          <w:tcPr>
            <w:tcW w:w="0" w:type="auto"/>
            <w:tcBorders>
              <w:tl2br w:val="nil"/>
              <w:tr2bl w:val="nil"/>
            </w:tcBorders>
            <w:shd w:val="clear" w:color="auto" w:fill="FFFFFF"/>
            <w:tcMar>
              <w:top w:w="75" w:type="dxa"/>
              <w:left w:w="120" w:type="dxa"/>
              <w:bottom w:w="75" w:type="dxa"/>
              <w:right w:w="120" w:type="dxa"/>
            </w:tcMar>
          </w:tcPr>
          <w:p w14:paraId="2A68CAB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113603E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Methods: Bootstrap resampling (B=1000) with full pipeline refitting; optimism-corrected metrics reported</w:t>
            </w:r>
          </w:p>
        </w:tc>
      </w:tr>
      <w:tr w:rsidR="008468E4" w:rsidRPr="00592751" w14:paraId="427A5500" w14:textId="77777777" w:rsidTr="00427488">
        <w:tc>
          <w:tcPr>
            <w:tcW w:w="0" w:type="auto"/>
            <w:tcBorders>
              <w:tl2br w:val="nil"/>
              <w:tr2bl w:val="nil"/>
            </w:tcBorders>
            <w:shd w:val="clear" w:color="auto" w:fill="FFFFFF"/>
            <w:tcMar>
              <w:top w:w="75" w:type="dxa"/>
              <w:left w:w="120" w:type="dxa"/>
              <w:bottom w:w="75" w:type="dxa"/>
              <w:right w:w="120" w:type="dxa"/>
            </w:tcMar>
          </w:tcPr>
          <w:p w14:paraId="0985B5A7"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AI5</w:t>
            </w:r>
          </w:p>
        </w:tc>
        <w:tc>
          <w:tcPr>
            <w:tcW w:w="0" w:type="auto"/>
            <w:tcBorders>
              <w:tl2br w:val="nil"/>
              <w:tr2bl w:val="nil"/>
            </w:tcBorders>
            <w:shd w:val="clear" w:color="auto" w:fill="FFFFFF"/>
            <w:tcMar>
              <w:top w:w="75" w:type="dxa"/>
              <w:left w:w="120" w:type="dxa"/>
              <w:bottom w:w="75" w:type="dxa"/>
              <w:right w:w="120" w:type="dxa"/>
            </w:tcMar>
          </w:tcPr>
          <w:p w14:paraId="69966CFB"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Software, packages, and code availability</w:t>
            </w:r>
          </w:p>
        </w:tc>
        <w:tc>
          <w:tcPr>
            <w:tcW w:w="0" w:type="auto"/>
            <w:tcBorders>
              <w:tl2br w:val="nil"/>
              <w:tr2bl w:val="nil"/>
            </w:tcBorders>
            <w:shd w:val="clear" w:color="auto" w:fill="FFFFFF"/>
            <w:tcMar>
              <w:top w:w="75" w:type="dxa"/>
              <w:left w:w="120" w:type="dxa"/>
              <w:bottom w:w="75" w:type="dxa"/>
              <w:right w:w="120" w:type="dxa"/>
            </w:tcMar>
          </w:tcPr>
          <w:p w14:paraId="4ADFC48E"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Partially adhered</w:t>
            </w:r>
          </w:p>
        </w:tc>
        <w:tc>
          <w:tcPr>
            <w:tcW w:w="0" w:type="auto"/>
            <w:tcBorders>
              <w:tl2br w:val="nil"/>
              <w:tr2bl w:val="nil"/>
            </w:tcBorders>
            <w:shd w:val="clear" w:color="auto" w:fill="FFFFFF"/>
            <w:tcMar>
              <w:top w:w="75" w:type="dxa"/>
              <w:left w:w="120" w:type="dxa"/>
              <w:bottom w:w="75" w:type="dxa"/>
              <w:right w:w="120" w:type="dxa"/>
            </w:tcMar>
          </w:tcPr>
          <w:p w14:paraId="05846098"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Methods: R v4.3 and packages listed; Declarations: Code available upon request, but not deposited in a public repository</w:t>
            </w:r>
          </w:p>
        </w:tc>
      </w:tr>
      <w:tr w:rsidR="008468E4" w:rsidRPr="00592751" w14:paraId="1BDCC6E8" w14:textId="77777777" w:rsidTr="00427488">
        <w:tc>
          <w:tcPr>
            <w:tcW w:w="0" w:type="auto"/>
            <w:tcBorders>
              <w:tl2br w:val="nil"/>
              <w:tr2bl w:val="nil"/>
            </w:tcBorders>
            <w:shd w:val="clear" w:color="auto" w:fill="FFFFFF"/>
            <w:tcMar>
              <w:top w:w="75" w:type="dxa"/>
              <w:left w:w="120" w:type="dxa"/>
              <w:bottom w:w="75" w:type="dxa"/>
              <w:right w:w="120" w:type="dxa"/>
            </w:tcMar>
          </w:tcPr>
          <w:p w14:paraId="6A1BBA2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AI6</w:t>
            </w:r>
          </w:p>
        </w:tc>
        <w:tc>
          <w:tcPr>
            <w:tcW w:w="0" w:type="auto"/>
            <w:tcBorders>
              <w:tl2br w:val="nil"/>
              <w:tr2bl w:val="nil"/>
            </w:tcBorders>
            <w:shd w:val="clear" w:color="auto" w:fill="FFFFFF"/>
            <w:tcMar>
              <w:top w:w="75" w:type="dxa"/>
              <w:left w:w="120" w:type="dxa"/>
              <w:bottom w:w="75" w:type="dxa"/>
              <w:right w:w="120" w:type="dxa"/>
            </w:tcMar>
          </w:tcPr>
          <w:p w14:paraId="44C1BCF1"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Model interpretability and explainability</w:t>
            </w:r>
          </w:p>
        </w:tc>
        <w:tc>
          <w:tcPr>
            <w:tcW w:w="0" w:type="auto"/>
            <w:tcBorders>
              <w:tl2br w:val="nil"/>
              <w:tr2bl w:val="nil"/>
            </w:tcBorders>
            <w:shd w:val="clear" w:color="auto" w:fill="FFFFFF"/>
            <w:tcMar>
              <w:top w:w="75" w:type="dxa"/>
              <w:left w:w="120" w:type="dxa"/>
              <w:bottom w:w="75" w:type="dxa"/>
              <w:right w:w="120" w:type="dxa"/>
            </w:tcMar>
          </w:tcPr>
          <w:p w14:paraId="577A41A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Fully adhered</w:t>
            </w:r>
          </w:p>
        </w:tc>
        <w:tc>
          <w:tcPr>
            <w:tcW w:w="0" w:type="auto"/>
            <w:tcBorders>
              <w:tl2br w:val="nil"/>
              <w:tr2bl w:val="nil"/>
            </w:tcBorders>
            <w:shd w:val="clear" w:color="auto" w:fill="FFFFFF"/>
            <w:tcMar>
              <w:top w:w="75" w:type="dxa"/>
              <w:left w:w="120" w:type="dxa"/>
              <w:bottom w:w="75" w:type="dxa"/>
              <w:right w:w="120" w:type="dxa"/>
            </w:tcMar>
          </w:tcPr>
          <w:p w14:paraId="083607FA"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Figure 3 (point-based nomogram); adjusted ORs with 95% CIs; human-readable CT phenotypes</w:t>
            </w:r>
          </w:p>
        </w:tc>
      </w:tr>
      <w:tr w:rsidR="008468E4" w:rsidRPr="00592751" w14:paraId="395B0761" w14:textId="77777777" w:rsidTr="00427488">
        <w:tc>
          <w:tcPr>
            <w:tcW w:w="0" w:type="auto"/>
            <w:tcBorders>
              <w:tl2br w:val="nil"/>
              <w:tr2bl w:val="nil"/>
            </w:tcBorders>
            <w:shd w:val="clear" w:color="auto" w:fill="FFFFFF"/>
            <w:tcMar>
              <w:top w:w="75" w:type="dxa"/>
              <w:left w:w="120" w:type="dxa"/>
              <w:bottom w:w="75" w:type="dxa"/>
              <w:right w:w="120" w:type="dxa"/>
            </w:tcMar>
          </w:tcPr>
          <w:p w14:paraId="7FC777E3"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AI7</w:t>
            </w:r>
          </w:p>
        </w:tc>
        <w:tc>
          <w:tcPr>
            <w:tcW w:w="0" w:type="auto"/>
            <w:tcBorders>
              <w:tl2br w:val="nil"/>
              <w:tr2bl w:val="nil"/>
            </w:tcBorders>
            <w:shd w:val="clear" w:color="auto" w:fill="FFFFFF"/>
            <w:tcMar>
              <w:top w:w="75" w:type="dxa"/>
              <w:left w:w="120" w:type="dxa"/>
              <w:bottom w:w="75" w:type="dxa"/>
              <w:right w:w="120" w:type="dxa"/>
            </w:tcMar>
          </w:tcPr>
          <w:p w14:paraId="224F35DB"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Fairness and bias evaluation</w:t>
            </w:r>
          </w:p>
        </w:tc>
        <w:tc>
          <w:tcPr>
            <w:tcW w:w="0" w:type="auto"/>
            <w:tcBorders>
              <w:tl2br w:val="nil"/>
              <w:tr2bl w:val="nil"/>
            </w:tcBorders>
            <w:shd w:val="clear" w:color="auto" w:fill="FFFFFF"/>
            <w:tcMar>
              <w:top w:w="75" w:type="dxa"/>
              <w:left w:w="120" w:type="dxa"/>
              <w:bottom w:w="75" w:type="dxa"/>
              <w:right w:w="120" w:type="dxa"/>
            </w:tcMar>
          </w:tcPr>
          <w:p w14:paraId="53D1C5BC"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Not adhered</w:t>
            </w:r>
          </w:p>
        </w:tc>
        <w:tc>
          <w:tcPr>
            <w:tcW w:w="0" w:type="auto"/>
            <w:tcBorders>
              <w:tl2br w:val="nil"/>
              <w:tr2bl w:val="nil"/>
            </w:tcBorders>
            <w:shd w:val="clear" w:color="auto" w:fill="FFFFFF"/>
            <w:tcMar>
              <w:top w:w="75" w:type="dxa"/>
              <w:left w:w="120" w:type="dxa"/>
              <w:bottom w:w="75" w:type="dxa"/>
              <w:right w:w="120" w:type="dxa"/>
            </w:tcMar>
          </w:tcPr>
          <w:p w14:paraId="319B9976"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No formal evaluation of algorithmic fairness (e.g., across sex, age, or tumor location subgroups) was performed</w:t>
            </w:r>
          </w:p>
        </w:tc>
      </w:tr>
      <w:tr w:rsidR="008468E4" w14:paraId="2DCCC937" w14:textId="77777777" w:rsidTr="00427488">
        <w:tc>
          <w:tcPr>
            <w:tcW w:w="0" w:type="auto"/>
            <w:tcBorders>
              <w:tl2br w:val="nil"/>
              <w:tr2bl w:val="nil"/>
            </w:tcBorders>
            <w:shd w:val="clear" w:color="auto" w:fill="FFFFFF"/>
            <w:tcMar>
              <w:top w:w="75" w:type="dxa"/>
              <w:left w:w="120" w:type="dxa"/>
              <w:bottom w:w="75" w:type="dxa"/>
              <w:right w:w="120" w:type="dxa"/>
            </w:tcMar>
          </w:tcPr>
          <w:p w14:paraId="7436E0F6"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Style w:val="Strong"/>
                <w:rFonts w:ascii="Times New Roman" w:eastAsia="Segoe UI" w:hAnsi="Times New Roman" w:cs="Times New Roman"/>
                <w:b w:val="0"/>
                <w:bCs/>
                <w:spacing w:val="4"/>
                <w:kern w:val="0"/>
                <w:sz w:val="15"/>
                <w:szCs w:val="15"/>
                <w:lang w:bidi="ar"/>
              </w:rPr>
              <w:t>AI8</w:t>
            </w:r>
          </w:p>
        </w:tc>
        <w:tc>
          <w:tcPr>
            <w:tcW w:w="0" w:type="auto"/>
            <w:tcBorders>
              <w:tl2br w:val="nil"/>
              <w:tr2bl w:val="nil"/>
            </w:tcBorders>
            <w:shd w:val="clear" w:color="auto" w:fill="FFFFFF"/>
            <w:tcMar>
              <w:top w:w="75" w:type="dxa"/>
              <w:left w:w="120" w:type="dxa"/>
              <w:bottom w:w="75" w:type="dxa"/>
              <w:right w:w="120" w:type="dxa"/>
            </w:tcMar>
          </w:tcPr>
          <w:p w14:paraId="78613D91"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Model updating and monitoring plan</w:t>
            </w:r>
          </w:p>
        </w:tc>
        <w:tc>
          <w:tcPr>
            <w:tcW w:w="0" w:type="auto"/>
            <w:tcBorders>
              <w:tl2br w:val="nil"/>
              <w:tr2bl w:val="nil"/>
            </w:tcBorders>
            <w:shd w:val="clear" w:color="auto" w:fill="FFFFFF"/>
            <w:tcMar>
              <w:top w:w="75" w:type="dxa"/>
              <w:left w:w="120" w:type="dxa"/>
              <w:bottom w:w="75" w:type="dxa"/>
              <w:right w:w="120" w:type="dxa"/>
            </w:tcMar>
          </w:tcPr>
          <w:p w14:paraId="4583DBC9" w14:textId="77777777" w:rsidR="008468E4" w:rsidRPr="00592751"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Not applicable</w:t>
            </w:r>
          </w:p>
        </w:tc>
        <w:tc>
          <w:tcPr>
            <w:tcW w:w="0" w:type="auto"/>
            <w:tcBorders>
              <w:tl2br w:val="nil"/>
              <w:tr2bl w:val="nil"/>
            </w:tcBorders>
            <w:shd w:val="clear" w:color="auto" w:fill="FFFFFF"/>
            <w:tcMar>
              <w:top w:w="75" w:type="dxa"/>
              <w:left w:w="120" w:type="dxa"/>
              <w:bottom w:w="75" w:type="dxa"/>
              <w:right w:w="120" w:type="dxa"/>
            </w:tcMar>
          </w:tcPr>
          <w:p w14:paraId="6E938E73" w14:textId="77777777" w:rsidR="008468E4" w:rsidRPr="00427488" w:rsidRDefault="008468E4" w:rsidP="00427488">
            <w:pPr>
              <w:widowControl/>
              <w:spacing w:after="0" w:line="165" w:lineRule="atLeast"/>
              <w:jc w:val="left"/>
              <w:textAlignment w:val="top"/>
              <w:rPr>
                <w:rFonts w:ascii="Times New Roman" w:eastAsia="Segoe UI" w:hAnsi="Times New Roman" w:cs="Times New Roman"/>
                <w:bCs/>
                <w:spacing w:val="4"/>
                <w:sz w:val="15"/>
                <w:szCs w:val="15"/>
              </w:rPr>
            </w:pPr>
            <w:r w:rsidRPr="00592751">
              <w:rPr>
                <w:rFonts w:ascii="Times New Roman" w:eastAsia="Segoe UI" w:hAnsi="Times New Roman" w:cs="Times New Roman"/>
                <w:bCs/>
                <w:spacing w:val="4"/>
                <w:kern w:val="0"/>
                <w:sz w:val="15"/>
                <w:szCs w:val="15"/>
                <w:lang w:bidi="ar"/>
              </w:rPr>
              <w:t>No prospective updating or monitoring plan was specified</w:t>
            </w:r>
          </w:p>
        </w:tc>
      </w:tr>
    </w:tbl>
    <w:p w14:paraId="24500B23" w14:textId="77777777" w:rsidR="008468E4" w:rsidRDefault="008468E4" w:rsidP="008468E4">
      <w:pPr>
        <w:spacing w:beforeLines="50" w:before="156"/>
        <w:rPr>
          <w:rFonts w:ascii="Times New Roman" w:hAnsi="Times New Roman" w:cs="Times New Roman"/>
          <w:sz w:val="22"/>
          <w:szCs w:val="22"/>
        </w:rPr>
      </w:pPr>
    </w:p>
    <w:p w14:paraId="72BBEF2F" w14:textId="77777777" w:rsidR="004A5B1E" w:rsidRPr="008468E4" w:rsidRDefault="004A5B1E"/>
    <w:sectPr w:rsidR="004A5B1E" w:rsidRPr="008468E4" w:rsidSect="008468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8121F" w14:textId="77777777" w:rsidR="00D63E2E" w:rsidRDefault="00D63E2E" w:rsidP="00D30F79">
      <w:pPr>
        <w:spacing w:after="0" w:line="240" w:lineRule="auto"/>
      </w:pPr>
      <w:r>
        <w:separator/>
      </w:r>
    </w:p>
  </w:endnote>
  <w:endnote w:type="continuationSeparator" w:id="0">
    <w:p w14:paraId="3D9381EC" w14:textId="77777777" w:rsidR="00D63E2E" w:rsidRDefault="00D63E2E" w:rsidP="00D30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330DE" w14:textId="77777777" w:rsidR="00D63E2E" w:rsidRDefault="00D63E2E" w:rsidP="00D30F79">
      <w:pPr>
        <w:spacing w:after="0" w:line="240" w:lineRule="auto"/>
      </w:pPr>
      <w:r>
        <w:separator/>
      </w:r>
    </w:p>
  </w:footnote>
  <w:footnote w:type="continuationSeparator" w:id="0">
    <w:p w14:paraId="097B5F35" w14:textId="77777777" w:rsidR="00D63E2E" w:rsidRDefault="00D63E2E" w:rsidP="00D30F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B1E"/>
    <w:rsid w:val="00052268"/>
    <w:rsid w:val="004A5B1E"/>
    <w:rsid w:val="00592751"/>
    <w:rsid w:val="0084677F"/>
    <w:rsid w:val="008468E4"/>
    <w:rsid w:val="00D30F79"/>
    <w:rsid w:val="00D63E2E"/>
    <w:rsid w:val="00F451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406A1672-0696-4E5B-A646-F5712C4E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8E4"/>
    <w:pPr>
      <w:widowControl w:val="0"/>
      <w:jc w:val="both"/>
    </w:pPr>
    <w:rPr>
      <w:sz w:val="21"/>
      <w14:ligatures w14:val="none"/>
    </w:rPr>
  </w:style>
  <w:style w:type="paragraph" w:styleId="Heading1">
    <w:name w:val="heading 1"/>
    <w:basedOn w:val="Normal"/>
    <w:next w:val="Normal"/>
    <w:link w:val="Heading1Char"/>
    <w:uiPriority w:val="9"/>
    <w:qFormat/>
    <w:rsid w:val="004A5B1E"/>
    <w:pPr>
      <w:keepNext/>
      <w:keepLines/>
      <w:spacing w:before="480" w:after="80"/>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Heading2">
    <w:name w:val="heading 2"/>
    <w:basedOn w:val="Normal"/>
    <w:next w:val="Normal"/>
    <w:link w:val="Heading2Char"/>
    <w:uiPriority w:val="9"/>
    <w:semiHidden/>
    <w:unhideWhenUsed/>
    <w:qFormat/>
    <w:rsid w:val="004A5B1E"/>
    <w:pPr>
      <w:keepNext/>
      <w:keepLines/>
      <w:spacing w:before="160" w:after="80"/>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Heading3">
    <w:name w:val="heading 3"/>
    <w:basedOn w:val="Normal"/>
    <w:next w:val="Normal"/>
    <w:link w:val="Heading3Char"/>
    <w:uiPriority w:val="9"/>
    <w:semiHidden/>
    <w:unhideWhenUsed/>
    <w:qFormat/>
    <w:rsid w:val="004A5B1E"/>
    <w:pPr>
      <w:keepNext/>
      <w:keepLines/>
      <w:spacing w:before="160" w:after="80"/>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Heading4">
    <w:name w:val="heading 4"/>
    <w:basedOn w:val="Normal"/>
    <w:next w:val="Normal"/>
    <w:link w:val="Heading4Char"/>
    <w:uiPriority w:val="9"/>
    <w:semiHidden/>
    <w:unhideWhenUsed/>
    <w:qFormat/>
    <w:rsid w:val="004A5B1E"/>
    <w:pPr>
      <w:keepNext/>
      <w:keepLines/>
      <w:spacing w:before="80" w:after="40"/>
      <w:jc w:val="left"/>
      <w:outlineLvl w:val="3"/>
    </w:pPr>
    <w:rPr>
      <w:rFonts w:cstheme="majorBidi"/>
      <w:color w:val="2F5496" w:themeColor="accent1" w:themeShade="BF"/>
      <w:sz w:val="28"/>
      <w:szCs w:val="28"/>
      <w14:ligatures w14:val="standardContextual"/>
    </w:rPr>
  </w:style>
  <w:style w:type="paragraph" w:styleId="Heading5">
    <w:name w:val="heading 5"/>
    <w:basedOn w:val="Normal"/>
    <w:next w:val="Normal"/>
    <w:link w:val="Heading5Char"/>
    <w:uiPriority w:val="9"/>
    <w:semiHidden/>
    <w:unhideWhenUsed/>
    <w:qFormat/>
    <w:rsid w:val="004A5B1E"/>
    <w:pPr>
      <w:keepNext/>
      <w:keepLines/>
      <w:spacing w:before="80" w:after="40"/>
      <w:jc w:val="left"/>
      <w:outlineLvl w:val="4"/>
    </w:pPr>
    <w:rPr>
      <w:rFonts w:cstheme="majorBidi"/>
      <w:color w:val="2F5496" w:themeColor="accent1" w:themeShade="BF"/>
      <w:sz w:val="24"/>
      <w14:ligatures w14:val="standardContextual"/>
    </w:rPr>
  </w:style>
  <w:style w:type="paragraph" w:styleId="Heading6">
    <w:name w:val="heading 6"/>
    <w:basedOn w:val="Normal"/>
    <w:next w:val="Normal"/>
    <w:link w:val="Heading6Char"/>
    <w:uiPriority w:val="9"/>
    <w:semiHidden/>
    <w:unhideWhenUsed/>
    <w:qFormat/>
    <w:rsid w:val="004A5B1E"/>
    <w:pPr>
      <w:keepNext/>
      <w:keepLines/>
      <w:spacing w:before="40" w:after="0"/>
      <w:jc w:val="left"/>
      <w:outlineLvl w:val="5"/>
    </w:pPr>
    <w:rPr>
      <w:rFonts w:cstheme="majorBidi"/>
      <w:b/>
      <w:bCs/>
      <w:color w:val="2F5496" w:themeColor="accent1" w:themeShade="BF"/>
      <w:sz w:val="22"/>
      <w14:ligatures w14:val="standardContextual"/>
    </w:rPr>
  </w:style>
  <w:style w:type="paragraph" w:styleId="Heading7">
    <w:name w:val="heading 7"/>
    <w:basedOn w:val="Normal"/>
    <w:next w:val="Normal"/>
    <w:link w:val="Heading7Char"/>
    <w:uiPriority w:val="9"/>
    <w:semiHidden/>
    <w:unhideWhenUsed/>
    <w:qFormat/>
    <w:rsid w:val="004A5B1E"/>
    <w:pPr>
      <w:keepNext/>
      <w:keepLines/>
      <w:spacing w:before="40" w:after="0"/>
      <w:jc w:val="left"/>
      <w:outlineLvl w:val="6"/>
    </w:pPr>
    <w:rPr>
      <w:rFonts w:cstheme="majorBidi"/>
      <w:b/>
      <w:bCs/>
      <w:color w:val="595959" w:themeColor="text1" w:themeTint="A6"/>
      <w:sz w:val="22"/>
      <w14:ligatures w14:val="standardContextual"/>
    </w:rPr>
  </w:style>
  <w:style w:type="paragraph" w:styleId="Heading8">
    <w:name w:val="heading 8"/>
    <w:basedOn w:val="Normal"/>
    <w:next w:val="Normal"/>
    <w:link w:val="Heading8Char"/>
    <w:uiPriority w:val="9"/>
    <w:semiHidden/>
    <w:unhideWhenUsed/>
    <w:qFormat/>
    <w:rsid w:val="004A5B1E"/>
    <w:pPr>
      <w:keepNext/>
      <w:keepLines/>
      <w:spacing w:after="0"/>
      <w:jc w:val="left"/>
      <w:outlineLvl w:val="7"/>
    </w:pPr>
    <w:rPr>
      <w:rFonts w:cstheme="majorBidi"/>
      <w:color w:val="595959" w:themeColor="text1" w:themeTint="A6"/>
      <w:sz w:val="22"/>
      <w14:ligatures w14:val="standardContextual"/>
    </w:rPr>
  </w:style>
  <w:style w:type="paragraph" w:styleId="Heading9">
    <w:name w:val="heading 9"/>
    <w:basedOn w:val="Normal"/>
    <w:next w:val="Normal"/>
    <w:link w:val="Heading9Char"/>
    <w:uiPriority w:val="9"/>
    <w:semiHidden/>
    <w:unhideWhenUsed/>
    <w:qFormat/>
    <w:rsid w:val="004A5B1E"/>
    <w:pPr>
      <w:keepNext/>
      <w:keepLines/>
      <w:spacing w:after="0"/>
      <w:jc w:val="left"/>
      <w:outlineLvl w:val="8"/>
    </w:pPr>
    <w:rPr>
      <w:rFonts w:eastAsiaTheme="majorEastAsia" w:cstheme="majorBidi"/>
      <w:color w:val="595959" w:themeColor="text1" w:themeTint="A6"/>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B1E"/>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4A5B1E"/>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4A5B1E"/>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4A5B1E"/>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4A5B1E"/>
    <w:rPr>
      <w:rFonts w:cstheme="majorBidi"/>
      <w:color w:val="2F5496" w:themeColor="accent1" w:themeShade="BF"/>
      <w:sz w:val="24"/>
    </w:rPr>
  </w:style>
  <w:style w:type="character" w:customStyle="1" w:styleId="Heading6Char">
    <w:name w:val="Heading 6 Char"/>
    <w:basedOn w:val="DefaultParagraphFont"/>
    <w:link w:val="Heading6"/>
    <w:uiPriority w:val="9"/>
    <w:semiHidden/>
    <w:rsid w:val="004A5B1E"/>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4A5B1E"/>
    <w:rPr>
      <w:rFonts w:cstheme="majorBidi"/>
      <w:b/>
      <w:bCs/>
      <w:color w:val="595959" w:themeColor="text1" w:themeTint="A6"/>
    </w:rPr>
  </w:style>
  <w:style w:type="character" w:customStyle="1" w:styleId="Heading8Char">
    <w:name w:val="Heading 8 Char"/>
    <w:basedOn w:val="DefaultParagraphFont"/>
    <w:link w:val="Heading8"/>
    <w:uiPriority w:val="9"/>
    <w:semiHidden/>
    <w:rsid w:val="004A5B1E"/>
    <w:rPr>
      <w:rFonts w:cstheme="majorBidi"/>
      <w:color w:val="595959" w:themeColor="text1" w:themeTint="A6"/>
    </w:rPr>
  </w:style>
  <w:style w:type="character" w:customStyle="1" w:styleId="Heading9Char">
    <w:name w:val="Heading 9 Char"/>
    <w:basedOn w:val="DefaultParagraphFont"/>
    <w:link w:val="Heading9"/>
    <w:uiPriority w:val="9"/>
    <w:semiHidden/>
    <w:rsid w:val="004A5B1E"/>
    <w:rPr>
      <w:rFonts w:eastAsiaTheme="majorEastAsia" w:cstheme="majorBidi"/>
      <w:color w:val="595959" w:themeColor="text1" w:themeTint="A6"/>
    </w:rPr>
  </w:style>
  <w:style w:type="paragraph" w:styleId="Title">
    <w:name w:val="Title"/>
    <w:basedOn w:val="Normal"/>
    <w:next w:val="Normal"/>
    <w:link w:val="TitleChar"/>
    <w:uiPriority w:val="10"/>
    <w:qFormat/>
    <w:rsid w:val="004A5B1E"/>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A5B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B1E"/>
    <w:pPr>
      <w:numPr>
        <w:ilvl w:val="1"/>
      </w:numPr>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4A5B1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4A5B1E"/>
    <w:pPr>
      <w:spacing w:before="160"/>
      <w:jc w:val="center"/>
    </w:pPr>
    <w:rPr>
      <w:i/>
      <w:iCs/>
      <w:color w:val="404040" w:themeColor="text1" w:themeTint="BF"/>
      <w:sz w:val="22"/>
      <w14:ligatures w14:val="standardContextual"/>
    </w:rPr>
  </w:style>
  <w:style w:type="character" w:customStyle="1" w:styleId="QuoteChar">
    <w:name w:val="Quote Char"/>
    <w:basedOn w:val="DefaultParagraphFont"/>
    <w:link w:val="Quote"/>
    <w:uiPriority w:val="29"/>
    <w:rsid w:val="004A5B1E"/>
    <w:rPr>
      <w:i/>
      <w:iCs/>
      <w:color w:val="404040" w:themeColor="text1" w:themeTint="BF"/>
    </w:rPr>
  </w:style>
  <w:style w:type="paragraph" w:styleId="ListParagraph">
    <w:name w:val="List Paragraph"/>
    <w:basedOn w:val="Normal"/>
    <w:uiPriority w:val="34"/>
    <w:qFormat/>
    <w:rsid w:val="004A5B1E"/>
    <w:pPr>
      <w:ind w:left="720"/>
      <w:contextualSpacing/>
      <w:jc w:val="left"/>
    </w:pPr>
    <w:rPr>
      <w:sz w:val="22"/>
      <w14:ligatures w14:val="standardContextual"/>
    </w:rPr>
  </w:style>
  <w:style w:type="character" w:styleId="IntenseEmphasis">
    <w:name w:val="Intense Emphasis"/>
    <w:basedOn w:val="DefaultParagraphFont"/>
    <w:uiPriority w:val="21"/>
    <w:qFormat/>
    <w:rsid w:val="004A5B1E"/>
    <w:rPr>
      <w:i/>
      <w:iCs/>
      <w:color w:val="2F5496" w:themeColor="accent1" w:themeShade="BF"/>
    </w:rPr>
  </w:style>
  <w:style w:type="paragraph" w:styleId="IntenseQuote">
    <w:name w:val="Intense Quote"/>
    <w:basedOn w:val="Normal"/>
    <w:next w:val="Normal"/>
    <w:link w:val="IntenseQuoteChar"/>
    <w:uiPriority w:val="30"/>
    <w:qFormat/>
    <w:rsid w:val="004A5B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 w:val="22"/>
      <w14:ligatures w14:val="standardContextual"/>
    </w:rPr>
  </w:style>
  <w:style w:type="character" w:customStyle="1" w:styleId="IntenseQuoteChar">
    <w:name w:val="Intense Quote Char"/>
    <w:basedOn w:val="DefaultParagraphFont"/>
    <w:link w:val="IntenseQuote"/>
    <w:uiPriority w:val="30"/>
    <w:rsid w:val="004A5B1E"/>
    <w:rPr>
      <w:i/>
      <w:iCs/>
      <w:color w:val="2F5496" w:themeColor="accent1" w:themeShade="BF"/>
    </w:rPr>
  </w:style>
  <w:style w:type="character" w:styleId="IntenseReference">
    <w:name w:val="Intense Reference"/>
    <w:basedOn w:val="DefaultParagraphFont"/>
    <w:uiPriority w:val="32"/>
    <w:qFormat/>
    <w:rsid w:val="004A5B1E"/>
    <w:rPr>
      <w:b/>
      <w:bCs/>
      <w:smallCaps/>
      <w:color w:val="2F5496" w:themeColor="accent1" w:themeShade="BF"/>
      <w:spacing w:val="5"/>
    </w:rPr>
  </w:style>
  <w:style w:type="paragraph" w:styleId="Header">
    <w:name w:val="header"/>
    <w:basedOn w:val="Normal"/>
    <w:link w:val="HeaderChar"/>
    <w:uiPriority w:val="99"/>
    <w:unhideWhenUsed/>
    <w:rsid w:val="00D30F79"/>
    <w:pPr>
      <w:tabs>
        <w:tab w:val="center" w:pos="4153"/>
        <w:tab w:val="right" w:pos="8306"/>
      </w:tabs>
      <w:snapToGrid w:val="0"/>
      <w:spacing w:line="240" w:lineRule="auto"/>
      <w:jc w:val="center"/>
    </w:pPr>
    <w:rPr>
      <w:sz w:val="18"/>
      <w:szCs w:val="18"/>
      <w14:ligatures w14:val="standardContextual"/>
    </w:rPr>
  </w:style>
  <w:style w:type="character" w:customStyle="1" w:styleId="HeaderChar">
    <w:name w:val="Header Char"/>
    <w:basedOn w:val="DefaultParagraphFont"/>
    <w:link w:val="Header"/>
    <w:uiPriority w:val="99"/>
    <w:rsid w:val="00D30F79"/>
    <w:rPr>
      <w:sz w:val="18"/>
      <w:szCs w:val="18"/>
    </w:rPr>
  </w:style>
  <w:style w:type="paragraph" w:styleId="Footer">
    <w:name w:val="footer"/>
    <w:basedOn w:val="Normal"/>
    <w:link w:val="FooterChar"/>
    <w:uiPriority w:val="99"/>
    <w:unhideWhenUsed/>
    <w:rsid w:val="00D30F79"/>
    <w:pPr>
      <w:tabs>
        <w:tab w:val="center" w:pos="4153"/>
        <w:tab w:val="right" w:pos="8306"/>
      </w:tabs>
      <w:snapToGrid w:val="0"/>
      <w:spacing w:line="240" w:lineRule="auto"/>
      <w:jc w:val="left"/>
    </w:pPr>
    <w:rPr>
      <w:sz w:val="18"/>
      <w:szCs w:val="18"/>
      <w14:ligatures w14:val="standardContextual"/>
    </w:rPr>
  </w:style>
  <w:style w:type="character" w:customStyle="1" w:styleId="FooterChar">
    <w:name w:val="Footer Char"/>
    <w:basedOn w:val="DefaultParagraphFont"/>
    <w:link w:val="Footer"/>
    <w:uiPriority w:val="99"/>
    <w:rsid w:val="00D30F79"/>
    <w:rPr>
      <w:sz w:val="18"/>
      <w:szCs w:val="18"/>
    </w:rPr>
  </w:style>
  <w:style w:type="character" w:styleId="Strong">
    <w:name w:val="Strong"/>
    <w:basedOn w:val="DefaultParagraphFont"/>
    <w:qFormat/>
    <w:rsid w:val="008468E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1003</Words>
  <Characters>5723</Characters>
  <Application>Microsoft Office Word</Application>
  <DocSecurity>0</DocSecurity>
  <Lines>47</Lines>
  <Paragraphs>13</Paragraphs>
  <ScaleCrop>false</ScaleCrop>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ovo len</dc:creator>
  <cp:keywords/>
  <dc:description/>
  <cp:lastModifiedBy>HP</cp:lastModifiedBy>
  <cp:revision>2</cp:revision>
  <dcterms:created xsi:type="dcterms:W3CDTF">2026-08-17T09:25:00Z</dcterms:created>
  <dcterms:modified xsi:type="dcterms:W3CDTF">2026-08-17T09:25:00Z</dcterms:modified>
</cp:coreProperties>
</file>