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206" w:rsidRDefault="00734206" w:rsidP="00734206">
      <w:pPr>
        <w:pBdr>
          <w:top w:val="nil"/>
          <w:left w:val="nil"/>
          <w:bottom w:val="nil"/>
          <w:right w:val="nil"/>
        </w:pBdr>
        <w:rPr>
          <w:color w:val="000000"/>
        </w:rPr>
      </w:pPr>
      <w:r>
        <w:rPr>
          <w:b/>
          <w:color w:val="000000"/>
        </w:rPr>
        <w:t xml:space="preserve">Supplementary Table 1. </w:t>
      </w:r>
      <w:r>
        <w:rPr>
          <w:color w:val="000000"/>
        </w:rPr>
        <w:t xml:space="preserve">Fine–Gray competing-risk regression analyses for cumulative incidence of recurrence </w:t>
      </w:r>
    </w:p>
    <w:p w:rsidR="00734206" w:rsidRDefault="00734206" w:rsidP="00734206">
      <w:pPr>
        <w:pBdr>
          <w:top w:val="nil"/>
          <w:left w:val="nil"/>
          <w:bottom w:val="nil"/>
          <w:right w:val="nil"/>
        </w:pBdr>
        <w:rPr>
          <w:color w:val="000000"/>
        </w:rPr>
      </w:pPr>
    </w:p>
    <w:p w:rsidR="00734206" w:rsidRDefault="00734206" w:rsidP="00734206">
      <w:pPr>
        <w:pBdr>
          <w:top w:val="nil"/>
          <w:left w:val="nil"/>
          <w:bottom w:val="nil"/>
          <w:right w:val="nil"/>
        </w:pBdr>
        <w:rPr>
          <w:color w:val="000000"/>
        </w:rPr>
      </w:pPr>
    </w:p>
    <w:tbl>
      <w:tblPr>
        <w:tblW w:w="967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436"/>
        <w:gridCol w:w="1985"/>
        <w:gridCol w:w="1134"/>
        <w:gridCol w:w="1984"/>
        <w:gridCol w:w="1134"/>
      </w:tblGrid>
      <w:tr w:rsidR="00734206" w:rsidTr="0023727F">
        <w:trPr>
          <w:trHeight w:val="230"/>
        </w:trPr>
        <w:tc>
          <w:tcPr>
            <w:tcW w:w="3436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rPr>
                <w:color w:val="000000"/>
                <w:sz w:val="20"/>
              </w:rPr>
            </w:pPr>
            <w:r>
              <w:rPr>
                <w:b/>
                <w:sz w:val="20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b/>
                <w:color w:val="000000"/>
                <w:sz w:val="20"/>
              </w:rPr>
              <w:t>Univariate analysis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b/>
                <w:color w:val="000000"/>
                <w:sz w:val="20"/>
              </w:rPr>
              <w:t>Multivariate analysis</w:t>
            </w:r>
          </w:p>
        </w:tc>
      </w:tr>
      <w:tr w:rsidR="00734206" w:rsidTr="0023727F">
        <w:trPr>
          <w:trHeight w:val="230"/>
        </w:trPr>
        <w:tc>
          <w:tcPr>
            <w:tcW w:w="3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/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SHR (95% CI)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P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SHR (95% CI)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P</w:t>
            </w:r>
          </w:p>
        </w:tc>
      </w:tr>
      <w:tr w:rsidR="00734206" w:rsidTr="0023727F">
        <w:trPr>
          <w:trHeight w:val="230"/>
        </w:trPr>
        <w:tc>
          <w:tcPr>
            <w:tcW w:w="34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Age (years)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0.984 (0.953–1.017)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0.352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0.999 (0.959–1.042)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ED7E7"/>
          </w:tcPr>
          <w:p w:rsidR="00734206" w:rsidRPr="005E5FD7" w:rsidRDefault="00734206" w:rsidP="0023727F">
            <w:pPr>
              <w:jc w:val="center"/>
              <w:rPr>
                <w:rFonts w:cs="Angsana New"/>
                <w:sz w:val="20"/>
              </w:rPr>
            </w:pPr>
            <w:r>
              <w:rPr>
                <w:sz w:val="20"/>
              </w:rPr>
              <w:t>0.9</w:t>
            </w:r>
            <w:r>
              <w:rPr>
                <w:rFonts w:cs="Angsana New"/>
                <w:sz w:val="20"/>
              </w:rPr>
              <w:t>85</w:t>
            </w:r>
          </w:p>
        </w:tc>
      </w:tr>
      <w:tr w:rsidR="00734206" w:rsidTr="0023727F">
        <w:trPr>
          <w:trHeight w:val="220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ASA PS classification (≥ III vs. &lt; III)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1.190 (0.412–3.436)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0.748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</w:p>
        </w:tc>
      </w:tr>
      <w:tr w:rsidR="00734206" w:rsidTr="0023727F">
        <w:trPr>
          <w:trHeight w:val="220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Sidedness (left vs. right)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1.627 (0.735–3.598)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0.230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Del="00C07E66" w:rsidRDefault="00734206" w:rsidP="0023727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Del="00C07E66" w:rsidRDefault="00734206" w:rsidP="0023727F">
            <w:pPr>
              <w:jc w:val="center"/>
              <w:rPr>
                <w:sz w:val="20"/>
              </w:rPr>
            </w:pPr>
          </w:p>
        </w:tc>
      </w:tr>
      <w:tr w:rsidR="00734206" w:rsidTr="0023727F">
        <w:trPr>
          <w:trHeight w:val="220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Pr="00B90FD8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rPr>
                <w:color w:val="000000"/>
                <w:sz w:val="20"/>
                <w:lang w:val="de-DE"/>
              </w:rPr>
            </w:pPr>
            <w:r w:rsidRPr="00B90FD8">
              <w:rPr>
                <w:color w:val="000000"/>
                <w:sz w:val="20"/>
                <w:lang w:val="de-DE"/>
              </w:rPr>
              <w:t>T stage (T4 vs. T3)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2.062</w:t>
            </w:r>
            <w:r>
              <w:rPr>
                <w:color w:val="000000"/>
                <w:sz w:val="20"/>
              </w:rPr>
              <w:t xml:space="preserve"> (</w:t>
            </w:r>
            <w:r>
              <w:rPr>
                <w:sz w:val="20"/>
              </w:rPr>
              <w:t>0.959–4.436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1.834 (0.815–4.126)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0.143</w:t>
            </w:r>
          </w:p>
        </w:tc>
      </w:tr>
      <w:tr w:rsidR="00734206" w:rsidTr="0023727F">
        <w:trPr>
          <w:trHeight w:val="26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Lymphovascular</w:t>
            </w:r>
            <w:proofErr w:type="spellEnd"/>
            <w:r>
              <w:rPr>
                <w:color w:val="000000"/>
                <w:sz w:val="20"/>
              </w:rPr>
              <w:t xml:space="preserve"> invasion 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0.750 (0.345–1.628)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0.467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jc w:val="center"/>
              <w:rPr>
                <w:sz w:val="20"/>
              </w:rPr>
            </w:pPr>
          </w:p>
        </w:tc>
      </w:tr>
      <w:tr w:rsidR="00734206" w:rsidTr="0023727F">
        <w:trPr>
          <w:trHeight w:val="23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Perineural</w:t>
            </w:r>
            <w:proofErr w:type="spellEnd"/>
            <w:r>
              <w:rPr>
                <w:sz w:val="20"/>
              </w:rPr>
              <w:t xml:space="preserve"> invasion 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1.473 (0.657–3.300)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0.347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3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High-grade histology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 xml:space="preserve"> 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0.705 (0.216–2.297)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0.562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3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Positive margins 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Pr="005E5FD7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cs="Angsana New"/>
                <w:color w:val="000000"/>
                <w:sz w:val="20"/>
                <w:vertAlign w:val="superscript"/>
              </w:rPr>
            </w:pPr>
            <w:r>
              <w:rPr>
                <w:rFonts w:cs="Angsana New"/>
                <w:color w:val="000000"/>
                <w:sz w:val="20"/>
              </w:rPr>
              <w:t>Not estimable</w:t>
            </w:r>
            <w:r>
              <w:rPr>
                <w:rFonts w:cs="Angsana New"/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3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Colonic obstruction 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1.019 (0.468–2.218)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0.963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3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Perforation 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0.781 (0.096–6.379)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0.818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3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Inadequate lymph node sampling 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1.895 (0.641–5.596)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0.248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39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 xml:space="preserve">≥Grade </w:t>
            </w:r>
            <w:proofErr w:type="spellStart"/>
            <w:r>
              <w:rPr>
                <w:sz w:val="20"/>
              </w:rPr>
              <w:t>IIIa</w:t>
            </w:r>
            <w:proofErr w:type="spellEnd"/>
            <w:r>
              <w:rPr>
                <w:sz w:val="20"/>
              </w:rPr>
              <w:t xml:space="preserve"> complications</w:t>
            </w:r>
            <w:r>
              <w:rPr>
                <w:sz w:val="20"/>
                <w:vertAlign w:val="superscript"/>
              </w:rPr>
              <w:t xml:space="preserve">3 </w:t>
            </w:r>
            <w:r>
              <w:rPr>
                <w:sz w:val="20"/>
              </w:rPr>
              <w:t>(yes vs. no)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1.921 (0.585–6.311)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0.282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1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Surgical approach (Laparoscopic</w:t>
            </w:r>
            <w:r w:rsidDel="00F2147A">
              <w:rPr>
                <w:sz w:val="20"/>
              </w:rPr>
              <w:t xml:space="preserve"> </w:t>
            </w:r>
            <w:r>
              <w:rPr>
                <w:sz w:val="20"/>
              </w:rPr>
              <w:t>vs. open)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0.680 (0.288–1.602)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0.377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tabs>
                <w:tab w:val="right" w:pos="2761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</w:p>
        </w:tc>
      </w:tr>
      <w:tr w:rsidR="00734206" w:rsidTr="0023727F">
        <w:trPr>
          <w:trHeight w:val="21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MMR status (</w:t>
            </w:r>
            <w:proofErr w:type="spellStart"/>
            <w:r>
              <w:rPr>
                <w:sz w:val="20"/>
              </w:rPr>
              <w:t>dMMR</w:t>
            </w:r>
            <w:proofErr w:type="spellEnd"/>
            <w:r>
              <w:rPr>
                <w:sz w:val="20"/>
              </w:rPr>
              <w:t xml:space="preserve"> vs. </w:t>
            </w:r>
            <w:proofErr w:type="spellStart"/>
            <w:r>
              <w:rPr>
                <w:sz w:val="20"/>
              </w:rPr>
              <w:t>pMMR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0.679 (0.198–2.326)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0.538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tabs>
                <w:tab w:val="right" w:pos="2761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0.657 (0.188–2.292)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0.510</w:t>
            </w:r>
          </w:p>
        </w:tc>
      </w:tr>
      <w:tr w:rsidR="00734206" w:rsidTr="0023727F">
        <w:trPr>
          <w:trHeight w:val="175"/>
        </w:trPr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ED7E7"/>
          </w:tcPr>
          <w:p w:rsidR="00734206" w:rsidRDefault="00734206" w:rsidP="0023727F">
            <w:pPr>
              <w:rPr>
                <w:sz w:val="20"/>
              </w:rPr>
            </w:pPr>
            <w:r>
              <w:rPr>
                <w:sz w:val="20"/>
              </w:rPr>
              <w:t>Adjuvant chemotherapy (yes vs. no)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2.237 (0.984–5.082)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ED7E7"/>
          </w:tcPr>
          <w:p w:rsidR="00734206" w:rsidRPr="00FD1782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  <w:vertAlign w:val="superscript"/>
              </w:rPr>
            </w:pPr>
            <w:r>
              <w:rPr>
                <w:color w:val="000000"/>
                <w:sz w:val="20"/>
              </w:rPr>
              <w:t>2.068 (0.774–5.522)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ED7E7"/>
          </w:tcPr>
          <w:p w:rsidR="00734206" w:rsidRDefault="00734206" w:rsidP="0023727F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0.147</w:t>
            </w:r>
          </w:p>
        </w:tc>
      </w:tr>
    </w:tbl>
    <w:p w:rsidR="00734206" w:rsidRDefault="00734206" w:rsidP="00734206">
      <w:pPr>
        <w:tabs>
          <w:tab w:val="left" w:pos="3969"/>
        </w:tabs>
        <w:rPr>
          <w:sz w:val="20"/>
        </w:rPr>
      </w:pPr>
      <w:r>
        <w:rPr>
          <w:sz w:val="20"/>
        </w:rPr>
        <w:t xml:space="preserve">ASA PS, American Society of Anesthesiologists physical status; CI, confidence interval; </w:t>
      </w:r>
      <w:proofErr w:type="spellStart"/>
      <w:r>
        <w:rPr>
          <w:sz w:val="20"/>
        </w:rPr>
        <w:t>dMMR</w:t>
      </w:r>
      <w:proofErr w:type="spellEnd"/>
      <w:r>
        <w:rPr>
          <w:sz w:val="20"/>
        </w:rPr>
        <w:t xml:space="preserve">, mismatch repair–deficient; MMR, mismatch repair; </w:t>
      </w:r>
      <w:proofErr w:type="spellStart"/>
      <w:r>
        <w:rPr>
          <w:sz w:val="20"/>
        </w:rPr>
        <w:t>pMMR</w:t>
      </w:r>
      <w:proofErr w:type="spellEnd"/>
      <w:r>
        <w:rPr>
          <w:sz w:val="20"/>
        </w:rPr>
        <w:t xml:space="preserve">, mismatch repair–proficient; SHR, </w:t>
      </w:r>
      <w:proofErr w:type="spellStart"/>
      <w:r>
        <w:rPr>
          <w:sz w:val="20"/>
        </w:rPr>
        <w:t>subdistribution</w:t>
      </w:r>
      <w:proofErr w:type="spellEnd"/>
      <w:r>
        <w:rPr>
          <w:sz w:val="20"/>
        </w:rPr>
        <w:t xml:space="preserve"> hazard ratio.</w:t>
      </w:r>
    </w:p>
    <w:p w:rsidR="00734206" w:rsidRDefault="00734206" w:rsidP="00734206">
      <w:pPr>
        <w:tabs>
          <w:tab w:val="left" w:pos="3969"/>
        </w:tabs>
        <w:rPr>
          <w:sz w:val="20"/>
        </w:rPr>
      </w:pPr>
      <w:r>
        <w:rPr>
          <w:sz w:val="20"/>
        </w:rPr>
        <w:t xml:space="preserve">Death without documented recurrence </w:t>
      </w:r>
      <w:proofErr w:type="gramStart"/>
      <w:r>
        <w:rPr>
          <w:sz w:val="20"/>
        </w:rPr>
        <w:t>was treated</w:t>
      </w:r>
      <w:proofErr w:type="gramEnd"/>
      <w:r>
        <w:rPr>
          <w:sz w:val="20"/>
        </w:rPr>
        <w:t xml:space="preserve"> as a competing event.</w:t>
      </w:r>
    </w:p>
    <w:p w:rsidR="00734206" w:rsidRDefault="00734206" w:rsidP="00734206">
      <w:pPr>
        <w:tabs>
          <w:tab w:val="left" w:pos="3969"/>
        </w:tabs>
        <w:rPr>
          <w:sz w:val="20"/>
        </w:rPr>
      </w:pPr>
      <w:r>
        <w:rPr>
          <w:sz w:val="20"/>
        </w:rPr>
        <w:t>Given the limited number of recurrence events, the multivariable model included age, T stage, MMR status, and adjuvant chemotherapy.</w:t>
      </w:r>
    </w:p>
    <w:p w:rsidR="00734206" w:rsidRDefault="00734206" w:rsidP="00734206">
      <w:pPr>
        <w:rPr>
          <w:sz w:val="20"/>
        </w:rPr>
      </w:pPr>
      <w:r>
        <w:rPr>
          <w:vertAlign w:val="superscript"/>
        </w:rPr>
        <w:t>1</w:t>
      </w:r>
      <w:r>
        <w:rPr>
          <w:sz w:val="20"/>
        </w:rPr>
        <w:t>High-grade histology includes poorly differentiated and mucinous adenocarcinoma</w:t>
      </w:r>
    </w:p>
    <w:p w:rsidR="00734206" w:rsidRPr="005E5FD7" w:rsidRDefault="00734206" w:rsidP="00734206">
      <w:pPr>
        <w:tabs>
          <w:tab w:val="left" w:pos="3969"/>
        </w:tabs>
        <w:rPr>
          <w:color w:val="1C1D1E"/>
          <w:sz w:val="20"/>
          <w:shd w:val="clear" w:color="auto" w:fill="FFFFFF"/>
        </w:rPr>
      </w:pPr>
      <w:r>
        <w:rPr>
          <w:color w:val="1C1D1E"/>
          <w:sz w:val="20"/>
          <w:shd w:val="clear" w:color="auto" w:fill="FFFFFF"/>
          <w:vertAlign w:val="superscript"/>
        </w:rPr>
        <w:t>2</w:t>
      </w:r>
      <w:r>
        <w:rPr>
          <w:color w:val="1C1D1E"/>
          <w:sz w:val="20"/>
          <w:shd w:val="clear" w:color="auto" w:fill="FFFFFF"/>
        </w:rPr>
        <w:t xml:space="preserve">SHR </w:t>
      </w:r>
      <w:proofErr w:type="gramStart"/>
      <w:r>
        <w:rPr>
          <w:color w:val="1C1D1E"/>
          <w:sz w:val="20"/>
          <w:shd w:val="clear" w:color="auto" w:fill="FFFFFF"/>
        </w:rPr>
        <w:t>could not be estimated</w:t>
      </w:r>
      <w:proofErr w:type="gramEnd"/>
      <w:r>
        <w:rPr>
          <w:color w:val="1C1D1E"/>
          <w:sz w:val="20"/>
          <w:shd w:val="clear" w:color="auto" w:fill="FFFFFF"/>
        </w:rPr>
        <w:t xml:space="preserve"> because no recurrence events occurred among patients with positive margins.</w:t>
      </w:r>
    </w:p>
    <w:p w:rsidR="00734206" w:rsidRDefault="00734206" w:rsidP="00734206">
      <w:pPr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</w:rPr>
        <w:t xml:space="preserve">Postoperative complications </w:t>
      </w:r>
      <w:proofErr w:type="gramStart"/>
      <w:r>
        <w:rPr>
          <w:sz w:val="20"/>
        </w:rPr>
        <w:t>were categorized</w:t>
      </w:r>
      <w:proofErr w:type="gramEnd"/>
      <w:r>
        <w:rPr>
          <w:sz w:val="20"/>
        </w:rPr>
        <w:t xml:space="preserve"> using the </w:t>
      </w:r>
      <w:proofErr w:type="spellStart"/>
      <w:r>
        <w:rPr>
          <w:sz w:val="20"/>
        </w:rPr>
        <w:t>Clavien-Dindo</w:t>
      </w:r>
      <w:proofErr w:type="spellEnd"/>
      <w:r>
        <w:rPr>
          <w:sz w:val="20"/>
        </w:rPr>
        <w:t xml:space="preserve"> classification.</w:t>
      </w:r>
    </w:p>
    <w:p w:rsidR="00AD4A8C" w:rsidRDefault="00734206">
      <w:bookmarkStart w:id="0" w:name="_GoBack"/>
      <w:bookmarkEnd w:id="0"/>
    </w:p>
    <w:sectPr w:rsidR="00AD4A8C" w:rsidSect="00B4204F">
      <w:pgSz w:w="11906" w:h="16838"/>
      <w:pgMar w:top="1411" w:right="1411" w:bottom="1411" w:left="141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206"/>
    <w:rsid w:val="00734206"/>
    <w:rsid w:val="009C4175"/>
    <w:rsid w:val="00B4204F"/>
    <w:rsid w:val="00DC1559"/>
    <w:rsid w:val="00DC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86BF2D-4E89-41C2-AF14-4B7FEA08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2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Leo Pacunla</dc:creator>
  <cp:keywords/>
  <dc:description/>
  <cp:lastModifiedBy>Ben Leo Pacunla</cp:lastModifiedBy>
  <cp:revision>1</cp:revision>
  <dcterms:created xsi:type="dcterms:W3CDTF">2026-09-09T13:06:00Z</dcterms:created>
  <dcterms:modified xsi:type="dcterms:W3CDTF">2026-09-09T13:07:00Z</dcterms:modified>
</cp:coreProperties>
</file>