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5A526" w14:textId="76161D0E" w:rsidR="005A0A3F" w:rsidRPr="005A0A3F" w:rsidRDefault="005A0A3F">
      <w:pPr>
        <w:rPr>
          <w:lang w:val="en-US"/>
        </w:rPr>
      </w:pPr>
      <w:r w:rsidRPr="005A0A3F">
        <w:rPr>
          <w:b/>
          <w:lang w:val="en-US"/>
        </w:rPr>
        <w:t xml:space="preserve">Additional file </w:t>
      </w:r>
      <w:r w:rsidR="009A07DC">
        <w:rPr>
          <w:b/>
          <w:lang w:val="en-US"/>
        </w:rPr>
        <w:t>5</w:t>
      </w:r>
      <w:bookmarkStart w:id="0" w:name="_GoBack"/>
      <w:bookmarkEnd w:id="0"/>
      <w:r>
        <w:rPr>
          <w:b/>
          <w:lang w:val="en-US"/>
        </w:rPr>
        <w:t>:</w:t>
      </w:r>
      <w:r w:rsidRPr="005A0A3F">
        <w:rPr>
          <w:b/>
          <w:lang w:val="en-US"/>
        </w:rPr>
        <w:t xml:space="preserve"> </w:t>
      </w:r>
      <w:r w:rsidRPr="005A0A3F">
        <w:rPr>
          <w:lang w:val="en-US"/>
        </w:rPr>
        <w:t>Summary of multivariate and subgroup analyses of MPR</w:t>
      </w:r>
    </w:p>
    <w:p w14:paraId="027D6951" w14:textId="77777777" w:rsidR="005A0A3F" w:rsidRDefault="005A0A3F">
      <w:pPr>
        <w:rPr>
          <w:lang w:val="en-US"/>
        </w:rPr>
      </w:pPr>
    </w:p>
    <w:p w14:paraId="203DF8FB" w14:textId="77777777" w:rsidR="005A0A3F" w:rsidRPr="003F1BA4" w:rsidRDefault="005A0A3F" w:rsidP="005A0A3F">
      <w:pPr>
        <w:spacing w:line="480" w:lineRule="auto"/>
        <w:rPr>
          <w:rFonts w:cs="Arial"/>
          <w:i/>
        </w:rPr>
      </w:pPr>
      <w:r w:rsidRPr="003F1BA4">
        <w:rPr>
          <w:rFonts w:cs="Arial"/>
          <w:i/>
        </w:rPr>
        <w:t>Multivariate analyses</w:t>
      </w:r>
    </w:p>
    <w:p w14:paraId="048583A4" w14:textId="212521FB" w:rsidR="005A0A3F" w:rsidRPr="003F1BA4" w:rsidRDefault="005A0A3F" w:rsidP="005A0A3F">
      <w:pPr>
        <w:spacing w:line="480" w:lineRule="auto"/>
        <w:rPr>
          <w:rFonts w:cs="Arial"/>
        </w:rPr>
      </w:pPr>
      <w:r w:rsidRPr="003F1BA4">
        <w:rPr>
          <w:rFonts w:cs="Arial"/>
        </w:rPr>
        <w:t xml:space="preserve">Adherence assessed by fixed-MPR was significantly greater for mirabegron versus antimuscarinics </w:t>
      </w:r>
      <w:r w:rsidRPr="003F1BA4">
        <w:rPr>
          <w:rFonts w:cs="Arial"/>
        </w:rPr>
        <w:br/>
        <w:t>(</w:t>
      </w:r>
      <w:r w:rsidRPr="003F1BA4">
        <w:rPr>
          <w:rFonts w:cs="Arial"/>
          <w:i/>
        </w:rPr>
        <w:t>p</w:t>
      </w:r>
      <w:r w:rsidRPr="003F1BA4">
        <w:rPr>
          <w:rFonts w:cs="Arial"/>
        </w:rPr>
        <w:t xml:space="preserve"> &lt; 0.001); treatment-experienced versus -naïve (</w:t>
      </w:r>
      <w:r w:rsidRPr="003F1BA4">
        <w:rPr>
          <w:rFonts w:cs="Arial"/>
          <w:i/>
        </w:rPr>
        <w:t>p</w:t>
      </w:r>
      <w:r w:rsidRPr="003F1BA4">
        <w:rPr>
          <w:rFonts w:cs="Arial"/>
        </w:rPr>
        <w:t xml:space="preserve"> &lt; 0.001); and ≥65 versus &lt;65 years of age </w:t>
      </w:r>
      <w:r w:rsidRPr="003F1BA4">
        <w:rPr>
          <w:rFonts w:cs="Arial"/>
        </w:rPr>
        <w:br/>
        <w:t>(</w:t>
      </w:r>
      <w:r w:rsidRPr="003F1BA4">
        <w:rPr>
          <w:rFonts w:cs="Arial"/>
          <w:i/>
        </w:rPr>
        <w:t>p</w:t>
      </w:r>
      <w:r w:rsidRPr="003F1BA4">
        <w:rPr>
          <w:rFonts w:cs="Arial"/>
        </w:rPr>
        <w:t xml:space="preserve"> &lt; 0.001) (</w:t>
      </w:r>
      <w:r w:rsidRPr="003F1BA4">
        <w:rPr>
          <w:rFonts w:cs="Arial"/>
          <w:b/>
        </w:rPr>
        <w:t>Table S2</w:t>
      </w:r>
      <w:r w:rsidRPr="003F1BA4">
        <w:rPr>
          <w:rFonts w:cs="Arial"/>
        </w:rPr>
        <w:t xml:space="preserve">). No notable differences were observed for mirabegron versus antimuscarinics or treatment-experienced versus </w:t>
      </w:r>
      <w:r w:rsidR="001D3950" w:rsidRPr="003F1BA4">
        <w:rPr>
          <w:rFonts w:cs="Arial"/>
        </w:rPr>
        <w:t>-</w:t>
      </w:r>
      <w:r w:rsidRPr="003F1BA4">
        <w:rPr>
          <w:rFonts w:cs="Arial"/>
        </w:rPr>
        <w:t>naïve patients, when adherence was assessed using variable-MPR (</w:t>
      </w:r>
      <w:r w:rsidRPr="003F1BA4">
        <w:rPr>
          <w:rFonts w:cs="Arial"/>
          <w:b/>
        </w:rPr>
        <w:t>Table S2</w:t>
      </w:r>
      <w:r w:rsidRPr="003F1BA4">
        <w:rPr>
          <w:rFonts w:cs="Arial"/>
        </w:rPr>
        <w:t xml:space="preserve">). </w:t>
      </w:r>
    </w:p>
    <w:p w14:paraId="1117D584" w14:textId="77777777" w:rsidR="005A0A3F" w:rsidRPr="003F1BA4" w:rsidRDefault="005A0A3F" w:rsidP="005A0A3F">
      <w:pPr>
        <w:spacing w:line="480" w:lineRule="auto"/>
        <w:rPr>
          <w:rFonts w:cs="Arial"/>
          <w:i/>
        </w:rPr>
      </w:pPr>
      <w:r w:rsidRPr="003F1BA4">
        <w:rPr>
          <w:rFonts w:cs="Arial"/>
          <w:i/>
        </w:rPr>
        <w:t>Subgroup analyses</w:t>
      </w:r>
    </w:p>
    <w:p w14:paraId="5A66DF80" w14:textId="77777777" w:rsidR="005A0A3F" w:rsidRDefault="005A0A3F" w:rsidP="005A0A3F">
      <w:pPr>
        <w:spacing w:line="480" w:lineRule="auto"/>
        <w:rPr>
          <w:rFonts w:cs="Arial"/>
        </w:rPr>
      </w:pPr>
      <w:r w:rsidRPr="003F1BA4">
        <w:rPr>
          <w:rFonts w:cs="Arial"/>
        </w:rPr>
        <w:t>Using fixed-MPR, a significantly higher mean adherence and proportion of adherent patients were observed for mirabegron versus each individual antimuscarinic (</w:t>
      </w:r>
      <w:r w:rsidRPr="003F1BA4">
        <w:rPr>
          <w:rFonts w:cs="Arial"/>
          <w:b/>
        </w:rPr>
        <w:t>Table S3</w:t>
      </w:r>
      <w:r w:rsidRPr="003F1BA4">
        <w:rPr>
          <w:rFonts w:cs="Arial"/>
        </w:rPr>
        <w:t xml:space="preserve">). Significantly higher mean adherence was reported for mirabegron versus antimuscarinics in each of the other six subgroups assessed, and the proportion of adherent patients was significantly higher for mirabegron versus antimuscarinics in 4/6 of these subgroups (treatment-naïve and -experienced, male, and </w:t>
      </w:r>
      <w:r w:rsidRPr="003F1BA4">
        <w:rPr>
          <w:rFonts w:cs="Arial"/>
        </w:rPr>
        <w:br/>
        <w:t xml:space="preserve">&lt;65-year old patients; </w:t>
      </w:r>
      <w:r w:rsidRPr="003F1BA4">
        <w:rPr>
          <w:rFonts w:cs="Arial"/>
          <w:b/>
        </w:rPr>
        <w:t>Table S4</w:t>
      </w:r>
      <w:r w:rsidRPr="003F1BA4">
        <w:rPr>
          <w:rFonts w:cs="Arial"/>
        </w:rPr>
        <w:t>).</w:t>
      </w:r>
      <w:r>
        <w:rPr>
          <w:rFonts w:cs="Arial"/>
        </w:rPr>
        <w:t xml:space="preserve">  </w:t>
      </w:r>
    </w:p>
    <w:sectPr w:rsidR="005A0A3F" w:rsidSect="00584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C4968"/>
    <w:multiLevelType w:val="hybridMultilevel"/>
    <w:tmpl w:val="89D2B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DA7EA7"/>
    <w:multiLevelType w:val="hybridMultilevel"/>
    <w:tmpl w:val="DF5C6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5A0A3F"/>
    <w:rsid w:val="000A68CC"/>
    <w:rsid w:val="001135EC"/>
    <w:rsid w:val="001D3950"/>
    <w:rsid w:val="00205DDC"/>
    <w:rsid w:val="003F1BA4"/>
    <w:rsid w:val="00584752"/>
    <w:rsid w:val="005A0A3F"/>
    <w:rsid w:val="00681ED4"/>
    <w:rsid w:val="006C2032"/>
    <w:rsid w:val="007422C0"/>
    <w:rsid w:val="009A07DC"/>
    <w:rsid w:val="009A406C"/>
    <w:rsid w:val="009B34F9"/>
    <w:rsid w:val="00C042E3"/>
    <w:rsid w:val="00C91E2F"/>
    <w:rsid w:val="00F35AAF"/>
    <w:rsid w:val="00F41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5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A0A3F"/>
    <w:rPr>
      <w:sz w:val="16"/>
      <w:szCs w:val="16"/>
    </w:rPr>
  </w:style>
  <w:style w:type="paragraph" w:styleId="CommentText">
    <w:name w:val="annotation text"/>
    <w:basedOn w:val="Normal"/>
    <w:link w:val="CommentTextChar"/>
    <w:uiPriority w:val="99"/>
    <w:unhideWhenUsed/>
    <w:rsid w:val="005A0A3F"/>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A0A3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5A0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0A3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0A3F"/>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A0A3F"/>
    <w:rPr>
      <w:rFonts w:ascii="Calibri" w:eastAsia="Calibri" w:hAnsi="Calibri" w:cs="Times New Roman"/>
      <w:b/>
      <w:bCs/>
      <w:sz w:val="20"/>
      <w:szCs w:val="20"/>
    </w:rPr>
  </w:style>
  <w:style w:type="paragraph" w:styleId="ListParagraph">
    <w:name w:val="List Paragraph"/>
    <w:basedOn w:val="Normal"/>
    <w:uiPriority w:val="34"/>
    <w:qFormat/>
    <w:rsid w:val="00F35AAF"/>
    <w:pPr>
      <w:ind w:left="720"/>
      <w:contextualSpacing/>
    </w:pPr>
  </w:style>
  <w:style w:type="character" w:styleId="Hyperlink">
    <w:name w:val="Hyperlink"/>
    <w:basedOn w:val="DefaultParagraphFont"/>
    <w:uiPriority w:val="99"/>
    <w:unhideWhenUsed/>
    <w:rsid w:val="00F35AAF"/>
    <w:rPr>
      <w:color w:val="0563C1" w:themeColor="hyperlink"/>
      <w:u w:val="single"/>
    </w:rPr>
  </w:style>
  <w:style w:type="character" w:customStyle="1" w:styleId="UnresolvedMention">
    <w:name w:val="Unresolved Mention"/>
    <w:basedOn w:val="DefaultParagraphFont"/>
    <w:uiPriority w:val="99"/>
    <w:semiHidden/>
    <w:unhideWhenUsed/>
    <w:rsid w:val="00F35AAF"/>
    <w:rPr>
      <w:color w:val="808080"/>
      <w:shd w:val="clear" w:color="auto" w:fill="E6E6E6"/>
    </w:rPr>
  </w:style>
  <w:style w:type="table" w:customStyle="1" w:styleId="ListTable1LightAccent3">
    <w:name w:val="List Table 1 Light Accent 3"/>
    <w:basedOn w:val="TableNormal"/>
    <w:uiPriority w:val="46"/>
    <w:rsid w:val="00681ED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tyle1">
    <w:name w:val="Style1"/>
    <w:basedOn w:val="TableNormal"/>
    <w:uiPriority w:val="99"/>
    <w:rsid w:val="00681ED4"/>
    <w:pPr>
      <w:spacing w:after="0" w:line="240" w:lineRule="auto"/>
    </w:pP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A0A3F"/>
    <w:rPr>
      <w:sz w:val="16"/>
      <w:szCs w:val="16"/>
    </w:rPr>
  </w:style>
  <w:style w:type="paragraph" w:styleId="CommentText">
    <w:name w:val="annotation text"/>
    <w:basedOn w:val="Normal"/>
    <w:link w:val="CommentTextChar"/>
    <w:uiPriority w:val="99"/>
    <w:unhideWhenUsed/>
    <w:rsid w:val="005A0A3F"/>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A0A3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5A0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0A3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0A3F"/>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A0A3F"/>
    <w:rPr>
      <w:rFonts w:ascii="Calibri" w:eastAsia="Calibri" w:hAnsi="Calibri" w:cs="Times New Roman"/>
      <w:b/>
      <w:bCs/>
      <w:sz w:val="20"/>
      <w:szCs w:val="20"/>
    </w:rPr>
  </w:style>
  <w:style w:type="paragraph" w:styleId="ListParagraph">
    <w:name w:val="List Paragraph"/>
    <w:basedOn w:val="Normal"/>
    <w:uiPriority w:val="34"/>
    <w:qFormat/>
    <w:rsid w:val="00F35AAF"/>
    <w:pPr>
      <w:ind w:left="720"/>
      <w:contextualSpacing/>
    </w:pPr>
  </w:style>
  <w:style w:type="character" w:styleId="Hyperlink">
    <w:name w:val="Hyperlink"/>
    <w:basedOn w:val="DefaultParagraphFont"/>
    <w:uiPriority w:val="99"/>
    <w:unhideWhenUsed/>
    <w:rsid w:val="00F35AAF"/>
    <w:rPr>
      <w:color w:val="0563C1" w:themeColor="hyperlink"/>
      <w:u w:val="single"/>
    </w:rPr>
  </w:style>
  <w:style w:type="character" w:customStyle="1" w:styleId="UnresolvedMention">
    <w:name w:val="Unresolved Mention"/>
    <w:basedOn w:val="DefaultParagraphFont"/>
    <w:uiPriority w:val="99"/>
    <w:semiHidden/>
    <w:unhideWhenUsed/>
    <w:rsid w:val="00F35AAF"/>
    <w:rPr>
      <w:color w:val="808080"/>
      <w:shd w:val="clear" w:color="auto" w:fill="E6E6E6"/>
    </w:rPr>
  </w:style>
  <w:style w:type="table" w:customStyle="1" w:styleId="ListTable1LightAccent3">
    <w:name w:val="List Table 1 Light Accent 3"/>
    <w:basedOn w:val="TableNormal"/>
    <w:uiPriority w:val="46"/>
    <w:rsid w:val="00681ED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tyle1">
    <w:name w:val="Style1"/>
    <w:basedOn w:val="TableNormal"/>
    <w:uiPriority w:val="99"/>
    <w:rsid w:val="00681ED4"/>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888</Characters>
  <Application>Microsoft Office Word</Application>
  <DocSecurity>0</DocSecurity>
  <Lines>15</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Griffiths</dc:creator>
  <cp:keywords/>
  <dc:description/>
  <cp:lastModifiedBy>LTACHADO</cp:lastModifiedBy>
  <cp:revision>4</cp:revision>
  <cp:lastPrinted>2017-12-14T13:02:00Z</cp:lastPrinted>
  <dcterms:created xsi:type="dcterms:W3CDTF">2018-01-02T13:02:00Z</dcterms:created>
  <dcterms:modified xsi:type="dcterms:W3CDTF">2018-08-27T07:33:00Z</dcterms:modified>
</cp:coreProperties>
</file>