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D0D" w:rsidRPr="00672CD5" w:rsidRDefault="005E76AE" w:rsidP="00837078">
      <w:pPr>
        <w:jc w:val="left"/>
        <w:rPr>
          <w:rFonts w:hint="eastAsia"/>
          <w:sz w:val="20"/>
        </w:rPr>
      </w:pPr>
      <w:r w:rsidRPr="00672CD5">
        <w:rPr>
          <w:rFonts w:ascii="Times New Roman" w:hAnsi="Times New Roman" w:cs="Times New Roman"/>
          <w:b/>
          <w:sz w:val="22"/>
          <w:szCs w:val="24"/>
        </w:rPr>
        <w:t>Table</w:t>
      </w:r>
      <w:r w:rsidRPr="00672CD5">
        <w:rPr>
          <w:rFonts w:ascii="Times New Roman" w:hAnsi="Times New Roman" w:cs="Times New Roman" w:hint="eastAsia"/>
          <w:b/>
          <w:sz w:val="22"/>
          <w:szCs w:val="24"/>
        </w:rPr>
        <w:t xml:space="preserve"> S2</w:t>
      </w:r>
      <w:r w:rsidRPr="00672CD5">
        <w:rPr>
          <w:rFonts w:ascii="Times New Roman" w:hAnsi="Times New Roman" w:cs="Times New Roman"/>
          <w:b/>
          <w:sz w:val="22"/>
          <w:szCs w:val="24"/>
        </w:rPr>
        <w:t xml:space="preserve">. Meta-regression models evaluating </w:t>
      </w:r>
      <w:r w:rsidRPr="00672CD5">
        <w:rPr>
          <w:rFonts w:ascii="Times New Roman" w:hAnsi="Times New Roman" w:cs="Times New Roman" w:hint="eastAsia"/>
          <w:b/>
          <w:sz w:val="22"/>
          <w:szCs w:val="24"/>
        </w:rPr>
        <w:t xml:space="preserve">each section </w:t>
      </w:r>
      <w:r w:rsidRPr="00672CD5">
        <w:rPr>
          <w:rFonts w:ascii="Times New Roman" w:hAnsi="Times New Roman" w:cs="Times New Roman"/>
          <w:b/>
          <w:sz w:val="22"/>
          <w:szCs w:val="24"/>
        </w:rPr>
        <w:t xml:space="preserve">of </w:t>
      </w:r>
      <w:r w:rsidRPr="00672CD5">
        <w:rPr>
          <w:rFonts w:ascii="Times New Roman" w:hAnsi="Times New Roman" w:cs="Times New Roman" w:hint="eastAsia"/>
          <w:b/>
          <w:sz w:val="22"/>
          <w:szCs w:val="24"/>
        </w:rPr>
        <w:t>SSOS</w:t>
      </w:r>
      <w:r w:rsidRPr="00672CD5">
        <w:rPr>
          <w:rFonts w:ascii="Times New Roman" w:hAnsi="Times New Roman" w:cs="Times New Roman"/>
          <w:b/>
          <w:sz w:val="22"/>
          <w:szCs w:val="24"/>
        </w:rPr>
        <w:t xml:space="preserve"> to the PSM rate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26"/>
        <w:gridCol w:w="901"/>
        <w:gridCol w:w="1417"/>
        <w:gridCol w:w="1418"/>
        <w:gridCol w:w="992"/>
        <w:gridCol w:w="1134"/>
      </w:tblGrid>
      <w:tr w:rsidR="005E76AE" w:rsidTr="005E76AE">
        <w:tc>
          <w:tcPr>
            <w:tcW w:w="0" w:type="auto"/>
          </w:tcPr>
          <w:p w:rsidR="005E76AE" w:rsidRDefault="005E76AE" w:rsidP="0080149C">
            <w:r w:rsidRPr="00ED4496">
              <w:t>Covariate</w:t>
            </w:r>
          </w:p>
        </w:tc>
        <w:tc>
          <w:tcPr>
            <w:tcW w:w="901" w:type="dxa"/>
          </w:tcPr>
          <w:p w:rsidR="005E76AE" w:rsidRDefault="005E76AE" w:rsidP="005E76AE">
            <w:pPr>
              <w:jc w:val="center"/>
            </w:pPr>
            <w:r w:rsidRPr="00E20371">
              <w:rPr>
                <w:rFonts w:ascii="Times New Roman" w:hAnsi="Times New Roman" w:cs="Times New Roman"/>
                <w:sz w:val="24"/>
                <w:szCs w:val="24"/>
              </w:rPr>
              <w:t>β</w:t>
            </w:r>
          </w:p>
        </w:tc>
        <w:tc>
          <w:tcPr>
            <w:tcW w:w="1417" w:type="dxa"/>
          </w:tcPr>
          <w:p w:rsidR="005E76AE" w:rsidRDefault="005E76AE" w:rsidP="005E76AE">
            <w:pPr>
              <w:jc w:val="center"/>
            </w:pPr>
            <w:r>
              <w:t>Lower bound</w:t>
            </w:r>
          </w:p>
        </w:tc>
        <w:tc>
          <w:tcPr>
            <w:tcW w:w="1418" w:type="dxa"/>
          </w:tcPr>
          <w:p w:rsidR="005E76AE" w:rsidRDefault="005E76AE" w:rsidP="005E76AE">
            <w:pPr>
              <w:jc w:val="center"/>
            </w:pPr>
            <w:r>
              <w:t>Upper bound</w:t>
            </w:r>
          </w:p>
        </w:tc>
        <w:tc>
          <w:tcPr>
            <w:tcW w:w="992" w:type="dxa"/>
          </w:tcPr>
          <w:p w:rsidR="005E76AE" w:rsidRDefault="005E76AE" w:rsidP="005E76AE">
            <w:pPr>
              <w:jc w:val="center"/>
            </w:pPr>
            <w:r>
              <w:rPr>
                <w:rFonts w:hint="eastAsia"/>
              </w:rPr>
              <w:t>SE</w:t>
            </w:r>
          </w:p>
        </w:tc>
        <w:tc>
          <w:tcPr>
            <w:tcW w:w="1134" w:type="dxa"/>
          </w:tcPr>
          <w:p w:rsidR="005E76AE" w:rsidRDefault="005E76AE" w:rsidP="005E76AE">
            <w:pPr>
              <w:jc w:val="center"/>
            </w:pPr>
            <w:r>
              <w:rPr>
                <w:rFonts w:hint="eastAsia"/>
              </w:rPr>
              <w:t>P</w:t>
            </w:r>
            <w:r>
              <w:t>-</w:t>
            </w:r>
            <w:r>
              <w:rPr>
                <w:rFonts w:hint="eastAsia"/>
              </w:rPr>
              <w:t>v</w:t>
            </w:r>
            <w:r>
              <w:t>alue</w:t>
            </w:r>
          </w:p>
        </w:tc>
      </w:tr>
      <w:tr w:rsidR="005E76AE" w:rsidTr="005E76AE">
        <w:tc>
          <w:tcPr>
            <w:tcW w:w="0" w:type="auto"/>
          </w:tcPr>
          <w:p w:rsidR="005E76AE" w:rsidRDefault="005E76AE" w:rsidP="0080149C">
            <w:r>
              <w:rPr>
                <w:rFonts w:hint="eastAsia"/>
              </w:rPr>
              <w:t>Section 1</w:t>
            </w:r>
          </w:p>
        </w:tc>
        <w:tc>
          <w:tcPr>
            <w:tcW w:w="901" w:type="dxa"/>
          </w:tcPr>
          <w:p w:rsidR="005E76AE" w:rsidRPr="005E76AE" w:rsidRDefault="005E76AE" w:rsidP="005E76AE">
            <w:pPr>
              <w:jc w:val="center"/>
              <w:rPr>
                <w:b/>
              </w:rPr>
            </w:pPr>
            <w:r w:rsidRPr="005E76AE">
              <w:rPr>
                <w:b/>
              </w:rPr>
              <w:t>-0.029</w:t>
            </w:r>
          </w:p>
        </w:tc>
        <w:tc>
          <w:tcPr>
            <w:tcW w:w="1417" w:type="dxa"/>
          </w:tcPr>
          <w:p w:rsidR="005E76AE" w:rsidRPr="005E76AE" w:rsidRDefault="005E76AE" w:rsidP="005E76AE">
            <w:pPr>
              <w:jc w:val="center"/>
              <w:rPr>
                <w:b/>
              </w:rPr>
            </w:pPr>
            <w:r w:rsidRPr="005E76AE">
              <w:rPr>
                <w:b/>
              </w:rPr>
              <w:t>-0.051</w:t>
            </w:r>
          </w:p>
        </w:tc>
        <w:tc>
          <w:tcPr>
            <w:tcW w:w="1418" w:type="dxa"/>
          </w:tcPr>
          <w:p w:rsidR="005E76AE" w:rsidRPr="005E76AE" w:rsidRDefault="005E76AE" w:rsidP="005E76AE">
            <w:pPr>
              <w:jc w:val="center"/>
              <w:rPr>
                <w:b/>
              </w:rPr>
            </w:pPr>
            <w:r w:rsidRPr="005E76AE">
              <w:rPr>
                <w:b/>
              </w:rPr>
              <w:t>-0.006</w:t>
            </w:r>
          </w:p>
        </w:tc>
        <w:tc>
          <w:tcPr>
            <w:tcW w:w="992" w:type="dxa"/>
          </w:tcPr>
          <w:p w:rsidR="005E76AE" w:rsidRPr="005E76AE" w:rsidRDefault="005E76AE" w:rsidP="005E76AE">
            <w:pPr>
              <w:jc w:val="center"/>
              <w:rPr>
                <w:b/>
              </w:rPr>
            </w:pPr>
            <w:r w:rsidRPr="005E76AE">
              <w:rPr>
                <w:b/>
              </w:rPr>
              <w:t>0.012</w:t>
            </w:r>
          </w:p>
        </w:tc>
        <w:tc>
          <w:tcPr>
            <w:tcW w:w="1134" w:type="dxa"/>
          </w:tcPr>
          <w:p w:rsidR="005E76AE" w:rsidRPr="005E76AE" w:rsidRDefault="005E76AE" w:rsidP="005E76AE">
            <w:pPr>
              <w:jc w:val="center"/>
              <w:rPr>
                <w:b/>
              </w:rPr>
            </w:pPr>
            <w:r w:rsidRPr="005E76AE">
              <w:rPr>
                <w:b/>
              </w:rPr>
              <w:t>0.013</w:t>
            </w:r>
          </w:p>
        </w:tc>
      </w:tr>
      <w:tr w:rsidR="005E76AE" w:rsidTr="005E76AE">
        <w:tc>
          <w:tcPr>
            <w:tcW w:w="0" w:type="auto"/>
          </w:tcPr>
          <w:p w:rsidR="005E76AE" w:rsidRDefault="005E76AE" w:rsidP="0080149C">
            <w:r>
              <w:rPr>
                <w:rFonts w:hint="eastAsia"/>
              </w:rPr>
              <w:t>Section 2</w:t>
            </w:r>
          </w:p>
        </w:tc>
        <w:tc>
          <w:tcPr>
            <w:tcW w:w="901" w:type="dxa"/>
          </w:tcPr>
          <w:p w:rsidR="005E76AE" w:rsidRDefault="005E76AE" w:rsidP="005E76AE">
            <w:pPr>
              <w:jc w:val="center"/>
            </w:pPr>
            <w:r>
              <w:t>-0.081</w:t>
            </w:r>
          </w:p>
        </w:tc>
        <w:tc>
          <w:tcPr>
            <w:tcW w:w="1417" w:type="dxa"/>
          </w:tcPr>
          <w:p w:rsidR="005E76AE" w:rsidRDefault="005E76AE" w:rsidP="005E76AE">
            <w:pPr>
              <w:jc w:val="center"/>
            </w:pPr>
            <w:r>
              <w:t>-0.169</w:t>
            </w:r>
          </w:p>
        </w:tc>
        <w:tc>
          <w:tcPr>
            <w:tcW w:w="1418" w:type="dxa"/>
          </w:tcPr>
          <w:p w:rsidR="005E76AE" w:rsidRDefault="005E76AE" w:rsidP="005E76AE">
            <w:pPr>
              <w:jc w:val="center"/>
            </w:pPr>
            <w:r>
              <w:t>0.008</w:t>
            </w:r>
          </w:p>
        </w:tc>
        <w:tc>
          <w:tcPr>
            <w:tcW w:w="992" w:type="dxa"/>
          </w:tcPr>
          <w:p w:rsidR="005E76AE" w:rsidRDefault="005E76AE" w:rsidP="005E76AE">
            <w:pPr>
              <w:jc w:val="center"/>
            </w:pPr>
            <w:r>
              <w:t>0.045</w:t>
            </w:r>
          </w:p>
        </w:tc>
        <w:tc>
          <w:tcPr>
            <w:tcW w:w="1134" w:type="dxa"/>
          </w:tcPr>
          <w:p w:rsidR="005E76AE" w:rsidRDefault="005E76AE" w:rsidP="005E76AE">
            <w:pPr>
              <w:jc w:val="center"/>
            </w:pPr>
            <w:r>
              <w:t>0.073</w:t>
            </w:r>
          </w:p>
        </w:tc>
      </w:tr>
      <w:tr w:rsidR="005E76AE" w:rsidTr="005E76AE">
        <w:tc>
          <w:tcPr>
            <w:tcW w:w="0" w:type="auto"/>
          </w:tcPr>
          <w:p w:rsidR="005E76AE" w:rsidRDefault="005E76AE" w:rsidP="0080149C">
            <w:r>
              <w:rPr>
                <w:rFonts w:hint="eastAsia"/>
              </w:rPr>
              <w:t>Section 3</w:t>
            </w:r>
          </w:p>
        </w:tc>
        <w:tc>
          <w:tcPr>
            <w:tcW w:w="901" w:type="dxa"/>
          </w:tcPr>
          <w:p w:rsidR="005E76AE" w:rsidRDefault="005E76AE" w:rsidP="005E76AE">
            <w:pPr>
              <w:jc w:val="center"/>
            </w:pPr>
            <w:r>
              <w:t>-0.006</w:t>
            </w:r>
          </w:p>
        </w:tc>
        <w:tc>
          <w:tcPr>
            <w:tcW w:w="1417" w:type="dxa"/>
          </w:tcPr>
          <w:p w:rsidR="005E76AE" w:rsidRDefault="005E76AE" w:rsidP="005E76AE">
            <w:pPr>
              <w:jc w:val="center"/>
            </w:pPr>
            <w:r>
              <w:t>-0.046</w:t>
            </w:r>
          </w:p>
        </w:tc>
        <w:tc>
          <w:tcPr>
            <w:tcW w:w="1418" w:type="dxa"/>
          </w:tcPr>
          <w:p w:rsidR="005E76AE" w:rsidRDefault="005E76AE" w:rsidP="005E76AE">
            <w:pPr>
              <w:jc w:val="center"/>
            </w:pPr>
            <w:r>
              <w:t>0.033</w:t>
            </w:r>
          </w:p>
        </w:tc>
        <w:tc>
          <w:tcPr>
            <w:tcW w:w="992" w:type="dxa"/>
          </w:tcPr>
          <w:p w:rsidR="005E76AE" w:rsidRDefault="005E76AE" w:rsidP="005E76AE">
            <w:pPr>
              <w:jc w:val="center"/>
            </w:pPr>
            <w:r>
              <w:t>0.020</w:t>
            </w:r>
          </w:p>
        </w:tc>
        <w:tc>
          <w:tcPr>
            <w:tcW w:w="1134" w:type="dxa"/>
          </w:tcPr>
          <w:p w:rsidR="005E76AE" w:rsidRDefault="005E76AE" w:rsidP="005E76AE">
            <w:pPr>
              <w:jc w:val="center"/>
            </w:pPr>
            <w:r>
              <w:t>0.753</w:t>
            </w:r>
          </w:p>
        </w:tc>
      </w:tr>
      <w:tr w:rsidR="005E76AE" w:rsidTr="005E76AE">
        <w:tc>
          <w:tcPr>
            <w:tcW w:w="0" w:type="auto"/>
          </w:tcPr>
          <w:p w:rsidR="005E76AE" w:rsidRDefault="005E76AE" w:rsidP="0080149C">
            <w:r>
              <w:rPr>
                <w:rFonts w:hint="eastAsia"/>
              </w:rPr>
              <w:t>Section 4</w:t>
            </w:r>
          </w:p>
        </w:tc>
        <w:tc>
          <w:tcPr>
            <w:tcW w:w="901" w:type="dxa"/>
          </w:tcPr>
          <w:p w:rsidR="005E76AE" w:rsidRDefault="005E76AE" w:rsidP="005E76AE">
            <w:pPr>
              <w:jc w:val="center"/>
            </w:pPr>
            <w:r>
              <w:t>-0.078</w:t>
            </w:r>
          </w:p>
        </w:tc>
        <w:tc>
          <w:tcPr>
            <w:tcW w:w="1417" w:type="dxa"/>
          </w:tcPr>
          <w:p w:rsidR="005E76AE" w:rsidRDefault="005E76AE" w:rsidP="005E76AE">
            <w:pPr>
              <w:jc w:val="center"/>
            </w:pPr>
            <w:r>
              <w:t>-0.155</w:t>
            </w:r>
          </w:p>
        </w:tc>
        <w:tc>
          <w:tcPr>
            <w:tcW w:w="1418" w:type="dxa"/>
          </w:tcPr>
          <w:p w:rsidR="005E76AE" w:rsidRDefault="005E76AE" w:rsidP="005E76AE">
            <w:pPr>
              <w:jc w:val="center"/>
            </w:pPr>
            <w:r>
              <w:t>0.000</w:t>
            </w:r>
          </w:p>
        </w:tc>
        <w:tc>
          <w:tcPr>
            <w:tcW w:w="992" w:type="dxa"/>
          </w:tcPr>
          <w:p w:rsidR="005E76AE" w:rsidRDefault="005E76AE" w:rsidP="005E76AE">
            <w:pPr>
              <w:jc w:val="center"/>
            </w:pPr>
            <w:r>
              <w:t>0.040</w:t>
            </w:r>
          </w:p>
        </w:tc>
        <w:tc>
          <w:tcPr>
            <w:tcW w:w="1134" w:type="dxa"/>
          </w:tcPr>
          <w:p w:rsidR="005E76AE" w:rsidRDefault="005E76AE" w:rsidP="005E76AE">
            <w:pPr>
              <w:jc w:val="center"/>
            </w:pPr>
            <w:r>
              <w:t>0.051</w:t>
            </w:r>
          </w:p>
        </w:tc>
      </w:tr>
      <w:tr w:rsidR="005E76AE" w:rsidTr="005E76AE">
        <w:tc>
          <w:tcPr>
            <w:tcW w:w="0" w:type="auto"/>
          </w:tcPr>
          <w:p w:rsidR="005E76AE" w:rsidRDefault="005E76AE" w:rsidP="0080149C">
            <w:r>
              <w:rPr>
                <w:rFonts w:hint="eastAsia"/>
              </w:rPr>
              <w:t>SSOS excluding Section 1</w:t>
            </w:r>
          </w:p>
        </w:tc>
        <w:tc>
          <w:tcPr>
            <w:tcW w:w="901" w:type="dxa"/>
          </w:tcPr>
          <w:p w:rsidR="005E76AE" w:rsidRDefault="005E76AE" w:rsidP="005E76AE">
            <w:pPr>
              <w:jc w:val="center"/>
            </w:pPr>
            <w:r>
              <w:t>-0.011</w:t>
            </w:r>
          </w:p>
        </w:tc>
        <w:tc>
          <w:tcPr>
            <w:tcW w:w="1417" w:type="dxa"/>
          </w:tcPr>
          <w:p w:rsidR="005E76AE" w:rsidRDefault="005E76AE" w:rsidP="005E76AE">
            <w:pPr>
              <w:jc w:val="center"/>
            </w:pPr>
            <w:r>
              <w:t>-0.025</w:t>
            </w:r>
          </w:p>
        </w:tc>
        <w:tc>
          <w:tcPr>
            <w:tcW w:w="1418" w:type="dxa"/>
          </w:tcPr>
          <w:p w:rsidR="005E76AE" w:rsidRDefault="005E76AE" w:rsidP="005E76AE">
            <w:pPr>
              <w:jc w:val="center"/>
            </w:pPr>
            <w:r>
              <w:t>0.004</w:t>
            </w:r>
          </w:p>
        </w:tc>
        <w:tc>
          <w:tcPr>
            <w:tcW w:w="992" w:type="dxa"/>
          </w:tcPr>
          <w:p w:rsidR="005E76AE" w:rsidRDefault="005E76AE" w:rsidP="005E76AE">
            <w:pPr>
              <w:jc w:val="center"/>
            </w:pPr>
            <w:r>
              <w:t>0.007</w:t>
            </w:r>
          </w:p>
        </w:tc>
        <w:tc>
          <w:tcPr>
            <w:tcW w:w="1134" w:type="dxa"/>
          </w:tcPr>
          <w:p w:rsidR="005E76AE" w:rsidRDefault="005E76AE" w:rsidP="005E76AE">
            <w:pPr>
              <w:jc w:val="center"/>
            </w:pPr>
            <w:r>
              <w:t>0.152</w:t>
            </w:r>
          </w:p>
        </w:tc>
      </w:tr>
      <w:tr w:rsidR="005E76AE" w:rsidTr="005E76AE">
        <w:tc>
          <w:tcPr>
            <w:tcW w:w="0" w:type="auto"/>
          </w:tcPr>
          <w:p w:rsidR="005E76AE" w:rsidRDefault="005E76AE" w:rsidP="0080149C">
            <w:r>
              <w:rPr>
                <w:rFonts w:hint="eastAsia"/>
              </w:rPr>
              <w:t>SSOS excluding Section 2</w:t>
            </w:r>
          </w:p>
        </w:tc>
        <w:tc>
          <w:tcPr>
            <w:tcW w:w="901" w:type="dxa"/>
          </w:tcPr>
          <w:p w:rsidR="005E76AE" w:rsidRPr="005E76AE" w:rsidRDefault="005E76AE" w:rsidP="005E76AE">
            <w:pPr>
              <w:jc w:val="center"/>
              <w:rPr>
                <w:b/>
              </w:rPr>
            </w:pPr>
            <w:r w:rsidRPr="005E76AE">
              <w:rPr>
                <w:b/>
              </w:rPr>
              <w:t>-0.011</w:t>
            </w:r>
          </w:p>
        </w:tc>
        <w:tc>
          <w:tcPr>
            <w:tcW w:w="1417" w:type="dxa"/>
          </w:tcPr>
          <w:p w:rsidR="005E76AE" w:rsidRPr="005E76AE" w:rsidRDefault="005E76AE" w:rsidP="005E76AE">
            <w:pPr>
              <w:jc w:val="center"/>
              <w:rPr>
                <w:b/>
              </w:rPr>
            </w:pPr>
            <w:r w:rsidRPr="005E76AE">
              <w:rPr>
                <w:b/>
              </w:rPr>
              <w:t>-0.022</w:t>
            </w:r>
          </w:p>
        </w:tc>
        <w:tc>
          <w:tcPr>
            <w:tcW w:w="1418" w:type="dxa"/>
          </w:tcPr>
          <w:p w:rsidR="005E76AE" w:rsidRPr="005E76AE" w:rsidRDefault="005E76AE" w:rsidP="005E76AE">
            <w:pPr>
              <w:jc w:val="center"/>
              <w:rPr>
                <w:b/>
              </w:rPr>
            </w:pPr>
            <w:r w:rsidRPr="005E76AE">
              <w:rPr>
                <w:b/>
              </w:rPr>
              <w:t>-0.001</w:t>
            </w:r>
          </w:p>
        </w:tc>
        <w:tc>
          <w:tcPr>
            <w:tcW w:w="992" w:type="dxa"/>
          </w:tcPr>
          <w:p w:rsidR="005E76AE" w:rsidRPr="005E76AE" w:rsidRDefault="005E76AE" w:rsidP="005E76AE">
            <w:pPr>
              <w:jc w:val="center"/>
              <w:rPr>
                <w:b/>
              </w:rPr>
            </w:pPr>
            <w:r w:rsidRPr="005E76AE">
              <w:rPr>
                <w:b/>
              </w:rPr>
              <w:t>0.006</w:t>
            </w:r>
          </w:p>
        </w:tc>
        <w:tc>
          <w:tcPr>
            <w:tcW w:w="1134" w:type="dxa"/>
          </w:tcPr>
          <w:p w:rsidR="005E76AE" w:rsidRPr="005E76AE" w:rsidRDefault="005E76AE" w:rsidP="005E76AE">
            <w:pPr>
              <w:jc w:val="center"/>
              <w:rPr>
                <w:b/>
              </w:rPr>
            </w:pPr>
            <w:r w:rsidRPr="005E76AE">
              <w:rPr>
                <w:b/>
              </w:rPr>
              <w:t>0.039</w:t>
            </w:r>
          </w:p>
        </w:tc>
      </w:tr>
      <w:tr w:rsidR="005E76AE" w:rsidTr="005E76AE">
        <w:tc>
          <w:tcPr>
            <w:tcW w:w="0" w:type="auto"/>
          </w:tcPr>
          <w:p w:rsidR="005E76AE" w:rsidRDefault="005E76AE" w:rsidP="0080149C">
            <w:r>
              <w:rPr>
                <w:rFonts w:hint="eastAsia"/>
              </w:rPr>
              <w:t>SSOS excluding Section 3</w:t>
            </w:r>
          </w:p>
        </w:tc>
        <w:tc>
          <w:tcPr>
            <w:tcW w:w="901" w:type="dxa"/>
          </w:tcPr>
          <w:p w:rsidR="005E76AE" w:rsidRPr="005E76AE" w:rsidRDefault="005E76AE" w:rsidP="005E76AE">
            <w:pPr>
              <w:jc w:val="center"/>
              <w:rPr>
                <w:b/>
              </w:rPr>
            </w:pPr>
            <w:r w:rsidRPr="005E76AE">
              <w:rPr>
                <w:b/>
              </w:rPr>
              <w:t>-0.018</w:t>
            </w:r>
          </w:p>
        </w:tc>
        <w:tc>
          <w:tcPr>
            <w:tcW w:w="1417" w:type="dxa"/>
          </w:tcPr>
          <w:p w:rsidR="005E76AE" w:rsidRPr="005E76AE" w:rsidRDefault="005E76AE" w:rsidP="005E76AE">
            <w:pPr>
              <w:jc w:val="center"/>
              <w:rPr>
                <w:b/>
              </w:rPr>
            </w:pPr>
            <w:r w:rsidRPr="005E76AE">
              <w:rPr>
                <w:b/>
              </w:rPr>
              <w:t>-0.033</w:t>
            </w:r>
          </w:p>
        </w:tc>
        <w:tc>
          <w:tcPr>
            <w:tcW w:w="1418" w:type="dxa"/>
          </w:tcPr>
          <w:p w:rsidR="005E76AE" w:rsidRPr="005E76AE" w:rsidRDefault="005E76AE" w:rsidP="005E76AE">
            <w:pPr>
              <w:jc w:val="center"/>
              <w:rPr>
                <w:b/>
              </w:rPr>
            </w:pPr>
            <w:r w:rsidRPr="005E76AE">
              <w:rPr>
                <w:b/>
              </w:rPr>
              <w:t>-0.003</w:t>
            </w:r>
          </w:p>
        </w:tc>
        <w:tc>
          <w:tcPr>
            <w:tcW w:w="992" w:type="dxa"/>
          </w:tcPr>
          <w:p w:rsidR="005E76AE" w:rsidRPr="005E76AE" w:rsidRDefault="005E76AE" w:rsidP="005E76AE">
            <w:pPr>
              <w:jc w:val="center"/>
              <w:rPr>
                <w:b/>
              </w:rPr>
            </w:pPr>
            <w:r w:rsidRPr="005E76AE">
              <w:rPr>
                <w:b/>
              </w:rPr>
              <w:t>0.008</w:t>
            </w:r>
          </w:p>
        </w:tc>
        <w:tc>
          <w:tcPr>
            <w:tcW w:w="1134" w:type="dxa"/>
          </w:tcPr>
          <w:p w:rsidR="005E76AE" w:rsidRPr="005E76AE" w:rsidRDefault="005E76AE" w:rsidP="005E76AE">
            <w:pPr>
              <w:jc w:val="center"/>
              <w:rPr>
                <w:b/>
              </w:rPr>
            </w:pPr>
            <w:r w:rsidRPr="005E76AE">
              <w:rPr>
                <w:b/>
              </w:rPr>
              <w:t>0.021</w:t>
            </w:r>
          </w:p>
        </w:tc>
      </w:tr>
      <w:tr w:rsidR="005E76AE" w:rsidTr="005E76AE">
        <w:tc>
          <w:tcPr>
            <w:tcW w:w="0" w:type="auto"/>
          </w:tcPr>
          <w:p w:rsidR="005E76AE" w:rsidRDefault="005E76AE" w:rsidP="0080149C">
            <w:r>
              <w:rPr>
                <w:rFonts w:hint="eastAsia"/>
              </w:rPr>
              <w:t>SSOS excluding Section 4</w:t>
            </w:r>
          </w:p>
        </w:tc>
        <w:tc>
          <w:tcPr>
            <w:tcW w:w="901" w:type="dxa"/>
          </w:tcPr>
          <w:p w:rsidR="005E76AE" w:rsidRPr="005E76AE" w:rsidRDefault="005E76AE" w:rsidP="005E76AE">
            <w:pPr>
              <w:jc w:val="center"/>
              <w:rPr>
                <w:b/>
              </w:rPr>
            </w:pPr>
            <w:r w:rsidRPr="005E76AE">
              <w:rPr>
                <w:b/>
              </w:rPr>
              <w:t>-0.036</w:t>
            </w:r>
          </w:p>
        </w:tc>
        <w:tc>
          <w:tcPr>
            <w:tcW w:w="1417" w:type="dxa"/>
          </w:tcPr>
          <w:p w:rsidR="005E76AE" w:rsidRPr="005E76AE" w:rsidRDefault="005E76AE" w:rsidP="005E76AE">
            <w:pPr>
              <w:jc w:val="center"/>
              <w:rPr>
                <w:b/>
              </w:rPr>
            </w:pPr>
            <w:r w:rsidRPr="005E76AE">
              <w:rPr>
                <w:b/>
              </w:rPr>
              <w:t>-0.055</w:t>
            </w:r>
          </w:p>
        </w:tc>
        <w:tc>
          <w:tcPr>
            <w:tcW w:w="1418" w:type="dxa"/>
          </w:tcPr>
          <w:p w:rsidR="005E76AE" w:rsidRPr="005E76AE" w:rsidRDefault="005E76AE" w:rsidP="005E76AE">
            <w:pPr>
              <w:jc w:val="center"/>
              <w:rPr>
                <w:b/>
              </w:rPr>
            </w:pPr>
            <w:r w:rsidRPr="005E76AE">
              <w:rPr>
                <w:b/>
              </w:rPr>
              <w:t>-0.018</w:t>
            </w:r>
          </w:p>
        </w:tc>
        <w:tc>
          <w:tcPr>
            <w:tcW w:w="992" w:type="dxa"/>
          </w:tcPr>
          <w:p w:rsidR="005E76AE" w:rsidRPr="005E76AE" w:rsidRDefault="005E76AE" w:rsidP="005E76AE">
            <w:pPr>
              <w:jc w:val="center"/>
              <w:rPr>
                <w:b/>
              </w:rPr>
            </w:pPr>
            <w:r w:rsidRPr="005E76AE">
              <w:rPr>
                <w:b/>
              </w:rPr>
              <w:t>0.009</w:t>
            </w:r>
          </w:p>
        </w:tc>
        <w:tc>
          <w:tcPr>
            <w:tcW w:w="1134" w:type="dxa"/>
          </w:tcPr>
          <w:p w:rsidR="005E76AE" w:rsidRPr="005E76AE" w:rsidRDefault="005E76AE" w:rsidP="005E76AE">
            <w:pPr>
              <w:jc w:val="center"/>
              <w:rPr>
                <w:b/>
              </w:rPr>
            </w:pPr>
            <w:r w:rsidRPr="005E76AE">
              <w:rPr>
                <w:b/>
              </w:rPr>
              <w:t>&lt; 0.001</w:t>
            </w:r>
          </w:p>
        </w:tc>
      </w:tr>
      <w:tr w:rsidR="005E76AE" w:rsidTr="005E76AE">
        <w:tc>
          <w:tcPr>
            <w:tcW w:w="0" w:type="auto"/>
          </w:tcPr>
          <w:p w:rsidR="005E76AE" w:rsidRDefault="005E76AE" w:rsidP="0080149C">
            <w:r>
              <w:t>T</w:t>
            </w:r>
            <w:r>
              <w:rPr>
                <w:rFonts w:hint="eastAsia"/>
              </w:rPr>
              <w:t xml:space="preserve">otal </w:t>
            </w:r>
            <w:r>
              <w:t>SSOS</w:t>
            </w:r>
          </w:p>
        </w:tc>
        <w:tc>
          <w:tcPr>
            <w:tcW w:w="901" w:type="dxa"/>
          </w:tcPr>
          <w:p w:rsidR="005E76AE" w:rsidRPr="005E76AE" w:rsidRDefault="005E76AE" w:rsidP="005E76AE">
            <w:pPr>
              <w:jc w:val="center"/>
              <w:rPr>
                <w:b/>
              </w:rPr>
            </w:pPr>
            <w:r w:rsidRPr="005E76AE">
              <w:rPr>
                <w:b/>
              </w:rPr>
              <w:t>-0.013</w:t>
            </w:r>
          </w:p>
        </w:tc>
        <w:tc>
          <w:tcPr>
            <w:tcW w:w="1417" w:type="dxa"/>
          </w:tcPr>
          <w:p w:rsidR="005E76AE" w:rsidRPr="005E76AE" w:rsidRDefault="005E76AE" w:rsidP="005E76AE">
            <w:pPr>
              <w:jc w:val="center"/>
              <w:rPr>
                <w:b/>
              </w:rPr>
            </w:pPr>
            <w:r w:rsidRPr="005E76AE">
              <w:rPr>
                <w:b/>
              </w:rPr>
              <w:t>-0.024</w:t>
            </w:r>
          </w:p>
        </w:tc>
        <w:tc>
          <w:tcPr>
            <w:tcW w:w="1418" w:type="dxa"/>
          </w:tcPr>
          <w:p w:rsidR="005E76AE" w:rsidRPr="005E76AE" w:rsidRDefault="005E76AE" w:rsidP="005E76AE">
            <w:pPr>
              <w:jc w:val="center"/>
              <w:rPr>
                <w:b/>
              </w:rPr>
            </w:pPr>
            <w:r w:rsidRPr="005E76AE">
              <w:rPr>
                <w:b/>
              </w:rPr>
              <w:t>-0.003</w:t>
            </w:r>
          </w:p>
        </w:tc>
        <w:tc>
          <w:tcPr>
            <w:tcW w:w="992" w:type="dxa"/>
          </w:tcPr>
          <w:p w:rsidR="005E76AE" w:rsidRPr="005E76AE" w:rsidRDefault="005E76AE" w:rsidP="005E76AE">
            <w:pPr>
              <w:jc w:val="center"/>
              <w:rPr>
                <w:b/>
              </w:rPr>
            </w:pPr>
            <w:r w:rsidRPr="005E76AE">
              <w:rPr>
                <w:b/>
              </w:rPr>
              <w:t>0.005</w:t>
            </w:r>
          </w:p>
        </w:tc>
        <w:tc>
          <w:tcPr>
            <w:tcW w:w="1134" w:type="dxa"/>
          </w:tcPr>
          <w:p w:rsidR="005E76AE" w:rsidRPr="005E76AE" w:rsidRDefault="005E76AE" w:rsidP="005E76AE">
            <w:pPr>
              <w:tabs>
                <w:tab w:val="left" w:pos="75"/>
              </w:tabs>
              <w:jc w:val="center"/>
              <w:rPr>
                <w:b/>
              </w:rPr>
            </w:pPr>
            <w:r w:rsidRPr="005E76AE">
              <w:rPr>
                <w:b/>
              </w:rPr>
              <w:t>0.012</w:t>
            </w:r>
          </w:p>
        </w:tc>
      </w:tr>
    </w:tbl>
    <w:p w:rsidR="005E76AE" w:rsidRDefault="00672CD5" w:rsidP="00837078">
      <w:pPr>
        <w:jc w:val="left"/>
      </w:pPr>
      <w:r w:rsidRPr="00E20371">
        <w:rPr>
          <w:rFonts w:ascii="Times New Roman" w:hAnsi="Times New Roman" w:cs="Times New Roman"/>
          <w:sz w:val="22"/>
        </w:rPr>
        <w:t xml:space="preserve">Each </w:t>
      </w:r>
      <w:r>
        <w:rPr>
          <w:rFonts w:ascii="Times New Roman" w:hAnsi="Times New Roman" w:cs="Times New Roman" w:hint="eastAsia"/>
          <w:sz w:val="22"/>
        </w:rPr>
        <w:t xml:space="preserve">section </w:t>
      </w:r>
      <w:r w:rsidRPr="00E20371">
        <w:rPr>
          <w:rFonts w:ascii="Times New Roman" w:hAnsi="Times New Roman" w:cs="Times New Roman"/>
          <w:sz w:val="22"/>
        </w:rPr>
        <w:t>of</w:t>
      </w:r>
      <w:r>
        <w:rPr>
          <w:rFonts w:ascii="Times New Roman" w:hAnsi="Times New Roman" w:cs="Times New Roman" w:hint="eastAsia"/>
          <w:sz w:val="22"/>
        </w:rPr>
        <w:t xml:space="preserve"> SOSS </w:t>
      </w:r>
      <w:r w:rsidRPr="00E20371">
        <w:rPr>
          <w:rFonts w:ascii="Times New Roman" w:hAnsi="Times New Roman" w:cs="Times New Roman"/>
          <w:sz w:val="22"/>
        </w:rPr>
        <w:t xml:space="preserve">was included respectively in the meta-regression models to assess the influence to the PSM rate. </w:t>
      </w:r>
      <w:r>
        <w:rPr>
          <w:rFonts w:ascii="Times New Roman" w:hAnsi="Times New Roman" w:cs="Times New Roman" w:hint="eastAsia"/>
          <w:sz w:val="22"/>
        </w:rPr>
        <w:t xml:space="preserve">Moreover, SSOS was also tested by meta-regression by excluding each section respectively. </w:t>
      </w:r>
      <w:r w:rsidRPr="00E20371">
        <w:rPr>
          <w:rFonts w:ascii="Times New Roman" w:hAnsi="Times New Roman" w:cs="Times New Roman"/>
          <w:sz w:val="22"/>
        </w:rPr>
        <w:t>PSM = positive surgical margin; β = coefficient; SE = standard error.</w:t>
      </w:r>
      <w:bookmarkStart w:id="0" w:name="_GoBack"/>
      <w:bookmarkEnd w:id="0"/>
    </w:p>
    <w:sectPr w:rsidR="005E76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D69"/>
    <w:rsid w:val="00461D69"/>
    <w:rsid w:val="005E76AE"/>
    <w:rsid w:val="00672CD5"/>
    <w:rsid w:val="006A0B92"/>
    <w:rsid w:val="00803794"/>
    <w:rsid w:val="00837078"/>
    <w:rsid w:val="00ED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44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44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128</Words>
  <Characters>734</Characters>
  <Application>Microsoft Office Word</Application>
  <DocSecurity>0</DocSecurity>
  <Lines>6</Lines>
  <Paragraphs>1</Paragraphs>
  <ScaleCrop>false</ScaleCrop>
  <Company>china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2019-02-16T03:46:00Z</dcterms:created>
  <dcterms:modified xsi:type="dcterms:W3CDTF">2019-02-16T04:13:00Z</dcterms:modified>
</cp:coreProperties>
</file>