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452E0" w14:textId="24BCE62F" w:rsidR="001C738C" w:rsidRDefault="00F843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43F7">
        <w:rPr>
          <w:rFonts w:ascii="Times New Roman" w:hAnsi="Times New Roman" w:cs="Times New Roman"/>
          <w:b/>
          <w:bCs/>
          <w:sz w:val="24"/>
          <w:szCs w:val="24"/>
        </w:rPr>
        <w:t>Schedule of study procedures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1"/>
        <w:gridCol w:w="1296"/>
        <w:gridCol w:w="1372"/>
        <w:gridCol w:w="1373"/>
      </w:tblGrid>
      <w:tr w:rsidR="003B09E4" w:rsidRPr="003B09E4" w14:paraId="4A6577FC" w14:textId="77777777" w:rsidTr="0020689E">
        <w:trPr>
          <w:trHeight w:val="20"/>
        </w:trPr>
        <w:tc>
          <w:tcPr>
            <w:tcW w:w="2814" w:type="pct"/>
            <w:shd w:val="clear" w:color="auto" w:fill="auto"/>
            <w:vAlign w:val="center"/>
          </w:tcPr>
          <w:p w14:paraId="3D12D9B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26448401"/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7384A42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Screening/</w:t>
            </w:r>
          </w:p>
          <w:p w14:paraId="65857F98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485" w:type="pct"/>
            <w:gridSpan w:val="2"/>
            <w:shd w:val="clear" w:color="auto" w:fill="auto"/>
            <w:vAlign w:val="center"/>
          </w:tcPr>
          <w:p w14:paraId="4D7CDE35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Study Visits</w:t>
            </w:r>
          </w:p>
        </w:tc>
      </w:tr>
      <w:tr w:rsidR="003B09E4" w:rsidRPr="003B09E4" w14:paraId="3763539E" w14:textId="77777777" w:rsidTr="0020689E">
        <w:trPr>
          <w:trHeight w:val="20"/>
        </w:trPr>
        <w:tc>
          <w:tcPr>
            <w:tcW w:w="2814" w:type="pct"/>
            <w:shd w:val="clear" w:color="auto" w:fill="auto"/>
            <w:vAlign w:val="center"/>
          </w:tcPr>
          <w:p w14:paraId="31B8EB7E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E2F1EA9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Visit 1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0B803BA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Visit 2</w:t>
            </w:r>
          </w:p>
        </w:tc>
        <w:tc>
          <w:tcPr>
            <w:tcW w:w="743" w:type="pct"/>
            <w:shd w:val="clear" w:color="auto" w:fill="auto"/>
            <w:vAlign w:val="center"/>
          </w:tcPr>
          <w:p w14:paraId="7E73B13C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Visit 3</w:t>
            </w:r>
          </w:p>
        </w:tc>
      </w:tr>
      <w:tr w:rsidR="003B09E4" w:rsidRPr="003B09E4" w14:paraId="791AF4C3" w14:textId="77777777" w:rsidTr="0020689E">
        <w:trPr>
          <w:trHeight w:val="20"/>
        </w:trPr>
        <w:tc>
          <w:tcPr>
            <w:tcW w:w="2814" w:type="pct"/>
            <w:shd w:val="clear" w:color="auto" w:fill="auto"/>
            <w:vAlign w:val="center"/>
          </w:tcPr>
          <w:p w14:paraId="788BA1F2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FD0C10B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68A8DDA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Day 42 ± 3</w:t>
            </w:r>
          </w:p>
        </w:tc>
        <w:tc>
          <w:tcPr>
            <w:tcW w:w="743" w:type="pct"/>
            <w:shd w:val="clear" w:color="auto" w:fill="auto"/>
            <w:vAlign w:val="center"/>
          </w:tcPr>
          <w:p w14:paraId="2C70A948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Day 84 ± 3</w:t>
            </w:r>
          </w:p>
        </w:tc>
      </w:tr>
      <w:tr w:rsidR="003B09E4" w:rsidRPr="003B09E4" w14:paraId="5675FC57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1A2CD33B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Informed consent</w:t>
            </w:r>
          </w:p>
        </w:tc>
        <w:tc>
          <w:tcPr>
            <w:tcW w:w="701" w:type="pct"/>
            <w:shd w:val="clear" w:color="auto" w:fill="auto"/>
          </w:tcPr>
          <w:p w14:paraId="44B0319C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366C09D6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69C21A40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E4" w:rsidRPr="003B09E4" w14:paraId="7A8428C4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075E6F73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Inclusion and exclusion criteria assessment</w:t>
            </w:r>
          </w:p>
        </w:tc>
        <w:tc>
          <w:tcPr>
            <w:tcW w:w="701" w:type="pct"/>
            <w:shd w:val="clear" w:color="auto" w:fill="auto"/>
          </w:tcPr>
          <w:p w14:paraId="4CE63A16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374F3762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750C78D3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E4" w:rsidRPr="003B09E4" w14:paraId="24B996EA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3B1CD99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 xml:space="preserve">Demography </w:t>
            </w:r>
          </w:p>
        </w:tc>
        <w:tc>
          <w:tcPr>
            <w:tcW w:w="701" w:type="pct"/>
            <w:shd w:val="clear" w:color="auto" w:fill="auto"/>
          </w:tcPr>
          <w:p w14:paraId="5CD56A53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025CC986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3CABC537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E4" w:rsidRPr="003B09E4" w14:paraId="0FA3B0F4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7EDF67D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Vital signs (SBP, DBP, HR, Temp.)</w:t>
            </w:r>
          </w:p>
        </w:tc>
        <w:tc>
          <w:tcPr>
            <w:tcW w:w="701" w:type="pct"/>
            <w:shd w:val="clear" w:color="auto" w:fill="auto"/>
          </w:tcPr>
          <w:p w14:paraId="5BA0C02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40F9B3C0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46719D13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356EA960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15C84C52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Physical examination</w:t>
            </w:r>
          </w:p>
        </w:tc>
        <w:tc>
          <w:tcPr>
            <w:tcW w:w="701" w:type="pct"/>
            <w:shd w:val="clear" w:color="auto" w:fill="auto"/>
          </w:tcPr>
          <w:p w14:paraId="4024AACC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59B9391D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31D0E1AE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6FEE9507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7164A78E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International Prostatic Symptom Score</w:t>
            </w:r>
          </w:p>
        </w:tc>
        <w:tc>
          <w:tcPr>
            <w:tcW w:w="701" w:type="pct"/>
            <w:shd w:val="clear" w:color="auto" w:fill="auto"/>
          </w:tcPr>
          <w:p w14:paraId="3D7CF111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7D38E407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0A90CBFE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4BC06655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2ED831DE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 xml:space="preserve">Aging Male Symptoms </w:t>
            </w:r>
            <w:r w:rsidRPr="003B09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Scale</w:t>
            </w:r>
          </w:p>
        </w:tc>
        <w:tc>
          <w:tcPr>
            <w:tcW w:w="701" w:type="pct"/>
            <w:shd w:val="clear" w:color="auto" w:fill="auto"/>
          </w:tcPr>
          <w:p w14:paraId="36FDE319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44FDFA91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5E826743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1B3DCCAF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2F22A16C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Androgen Deficiency in the Aging Male</w:t>
            </w:r>
          </w:p>
        </w:tc>
        <w:tc>
          <w:tcPr>
            <w:tcW w:w="701" w:type="pct"/>
            <w:shd w:val="clear" w:color="auto" w:fill="auto"/>
          </w:tcPr>
          <w:p w14:paraId="5E977E34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74D18627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25146A46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2FF6DD9A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2CE21377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Medical history</w:t>
            </w:r>
          </w:p>
        </w:tc>
        <w:tc>
          <w:tcPr>
            <w:tcW w:w="701" w:type="pct"/>
            <w:shd w:val="clear" w:color="auto" w:fill="auto"/>
          </w:tcPr>
          <w:p w14:paraId="7811976A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55EABFE2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29D01D0A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58837E1B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2CA03609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 xml:space="preserve">Prior medication history </w:t>
            </w:r>
          </w:p>
        </w:tc>
        <w:tc>
          <w:tcPr>
            <w:tcW w:w="701" w:type="pct"/>
            <w:shd w:val="clear" w:color="auto" w:fill="auto"/>
          </w:tcPr>
          <w:p w14:paraId="1945CFFD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2648D2C9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52CB337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E4" w:rsidRPr="003B09E4" w14:paraId="64AD7010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4789AC06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Concomitant medication history</w:t>
            </w:r>
          </w:p>
        </w:tc>
        <w:tc>
          <w:tcPr>
            <w:tcW w:w="701" w:type="pct"/>
            <w:shd w:val="clear" w:color="auto" w:fill="auto"/>
          </w:tcPr>
          <w:p w14:paraId="07993055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</w:tcPr>
          <w:p w14:paraId="1ADFF1AA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1C46D6DC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7CBB86E3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6CB11437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Randomization</w:t>
            </w:r>
          </w:p>
        </w:tc>
        <w:tc>
          <w:tcPr>
            <w:tcW w:w="701" w:type="pct"/>
            <w:shd w:val="clear" w:color="auto" w:fill="auto"/>
          </w:tcPr>
          <w:p w14:paraId="60616C3A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1481DCCB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5500048D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E4" w:rsidRPr="003B09E4" w14:paraId="7858A310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4132A15C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Uroflowmetry</w:t>
            </w:r>
          </w:p>
        </w:tc>
        <w:tc>
          <w:tcPr>
            <w:tcW w:w="701" w:type="pct"/>
            <w:shd w:val="clear" w:color="auto" w:fill="auto"/>
          </w:tcPr>
          <w:p w14:paraId="4E6519AB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17968765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04D4F21B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74CB5271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7B7491EC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Ultrasonography: PVR measurement</w:t>
            </w:r>
          </w:p>
        </w:tc>
        <w:tc>
          <w:tcPr>
            <w:tcW w:w="701" w:type="pct"/>
            <w:shd w:val="clear" w:color="auto" w:fill="auto"/>
          </w:tcPr>
          <w:p w14:paraId="420F0757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55997124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7A96586D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4BBCE38F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3726BB34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Laboratory assessment*</w:t>
            </w:r>
          </w:p>
        </w:tc>
        <w:tc>
          <w:tcPr>
            <w:tcW w:w="701" w:type="pct"/>
            <w:shd w:val="clear" w:color="auto" w:fill="auto"/>
          </w:tcPr>
          <w:p w14:paraId="63E880F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69A99EE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14:paraId="2B433109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36400BB9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2872D51E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Short-Form Health Survey (SF-12) questionnaire</w:t>
            </w:r>
          </w:p>
        </w:tc>
        <w:tc>
          <w:tcPr>
            <w:tcW w:w="701" w:type="pct"/>
            <w:shd w:val="clear" w:color="auto" w:fill="auto"/>
          </w:tcPr>
          <w:p w14:paraId="5866B684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7774BEE4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54CC21F8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2243F8CC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520E8FD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Dispense of Investigational Products</w:t>
            </w:r>
          </w:p>
        </w:tc>
        <w:tc>
          <w:tcPr>
            <w:tcW w:w="701" w:type="pct"/>
            <w:shd w:val="clear" w:color="auto" w:fill="auto"/>
          </w:tcPr>
          <w:p w14:paraId="13B24BC9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3A121578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62CE5FF4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E4" w:rsidRPr="003B09E4" w14:paraId="51909ABF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24AC65D4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Issue of subject diary</w:t>
            </w:r>
          </w:p>
        </w:tc>
        <w:tc>
          <w:tcPr>
            <w:tcW w:w="701" w:type="pct"/>
            <w:shd w:val="clear" w:color="auto" w:fill="auto"/>
          </w:tcPr>
          <w:p w14:paraId="04CB46F1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2" w:type="pct"/>
            <w:shd w:val="clear" w:color="auto" w:fill="auto"/>
          </w:tcPr>
          <w:p w14:paraId="056D45A0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4C14B5D5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E4" w:rsidRPr="003B09E4" w14:paraId="723CF336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338D8095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Safety assessment</w:t>
            </w:r>
          </w:p>
        </w:tc>
        <w:tc>
          <w:tcPr>
            <w:tcW w:w="701" w:type="pct"/>
            <w:shd w:val="clear" w:color="auto" w:fill="auto"/>
          </w:tcPr>
          <w:p w14:paraId="568A9CE2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</w:tcPr>
          <w:p w14:paraId="1EB17241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1878ED86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31D313B1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274B4E0A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Collection and review of subject diary</w:t>
            </w:r>
          </w:p>
        </w:tc>
        <w:tc>
          <w:tcPr>
            <w:tcW w:w="701" w:type="pct"/>
            <w:shd w:val="clear" w:color="auto" w:fill="auto"/>
          </w:tcPr>
          <w:p w14:paraId="0EFD8D02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</w:tcPr>
          <w:p w14:paraId="3017421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0750622D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B09E4" w:rsidRPr="003B09E4" w14:paraId="48CB2C64" w14:textId="77777777" w:rsidTr="0020689E">
        <w:trPr>
          <w:trHeight w:val="340"/>
        </w:trPr>
        <w:tc>
          <w:tcPr>
            <w:tcW w:w="2814" w:type="pct"/>
            <w:shd w:val="clear" w:color="auto" w:fill="auto"/>
          </w:tcPr>
          <w:p w14:paraId="09A741C0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IP Accountability and Compliance</w:t>
            </w:r>
          </w:p>
        </w:tc>
        <w:tc>
          <w:tcPr>
            <w:tcW w:w="701" w:type="pct"/>
            <w:shd w:val="clear" w:color="auto" w:fill="auto"/>
          </w:tcPr>
          <w:p w14:paraId="70920B0F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shd w:val="clear" w:color="auto" w:fill="auto"/>
          </w:tcPr>
          <w:p w14:paraId="2DBF3403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43" w:type="pct"/>
            <w:shd w:val="clear" w:color="auto" w:fill="auto"/>
          </w:tcPr>
          <w:p w14:paraId="1B3B30C8" w14:textId="77777777" w:rsidR="003B09E4" w:rsidRPr="003B09E4" w:rsidRDefault="003B09E4" w:rsidP="003B09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bookmarkEnd w:id="0"/>
    <w:p w14:paraId="3572D9F6" w14:textId="77777777" w:rsidR="003B09E4" w:rsidRPr="003B09E4" w:rsidRDefault="003B09E4" w:rsidP="003B09E4">
      <w:pPr>
        <w:spacing w:before="60" w:after="60"/>
        <w:ind w:right="2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9E4">
        <w:rPr>
          <w:rFonts w:ascii="Times New Roman" w:hAnsi="Times New Roman" w:cs="Times New Roman"/>
          <w:color w:val="000000"/>
          <w:sz w:val="24"/>
          <w:szCs w:val="24"/>
        </w:rPr>
        <w:t>SBP: Systolic Blood Pressure, DBP: Diastolic Blood Pressure, HR: Heart Rate; Temp.: Temperature; PVR: Postvoid Residual Urine Volume</w:t>
      </w:r>
    </w:p>
    <w:p w14:paraId="12207FD9" w14:textId="77777777" w:rsidR="003B09E4" w:rsidRPr="003B09E4" w:rsidRDefault="003B09E4" w:rsidP="003B09E4">
      <w:pPr>
        <w:suppressAutoHyphens/>
        <w:ind w:right="-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9E4">
        <w:rPr>
          <w:rFonts w:ascii="Times New Roman" w:hAnsi="Times New Roman" w:cs="Times New Roman"/>
          <w:color w:val="000000"/>
          <w:sz w:val="24"/>
          <w:szCs w:val="24"/>
        </w:rPr>
        <w:t>*Laboratory parameters: Prostate specific antigen, Serum creatinine, Blood urea nitrogen, Complete blood count, Aspartate aminotransferase, Alanine aminotransferase, Urine analysis, 17-beta-Hydroxysteroid dehydrogenase, 3-beta–Hydroxysteroid dehydrogenase, 5 alpha-reductase, Testosterone and Free testosterone</w:t>
      </w:r>
      <w:bookmarkStart w:id="1" w:name="_GoBack"/>
      <w:bookmarkEnd w:id="1"/>
    </w:p>
    <w:p w14:paraId="7DD752B1" w14:textId="77777777" w:rsidR="003B09E4" w:rsidRPr="00F843F7" w:rsidRDefault="003B09E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09E4" w:rsidRPr="00F843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B49AB"/>
    <w:rsid w:val="001B49AB"/>
    <w:rsid w:val="001C738C"/>
    <w:rsid w:val="003B09E4"/>
    <w:rsid w:val="00F8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BEA2F"/>
  <w15:chartTrackingRefBased/>
  <w15:docId w15:val="{1FFDC7F5-6660-4852-BF8C-D986F58C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09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SmartUser</dc:creator>
  <cp:keywords/>
  <dc:description/>
  <cp:lastModifiedBy>SmartUser</cp:lastModifiedBy>
  <cp:revision>3</cp:revision>
  <dcterms:created xsi:type="dcterms:W3CDTF">2020-04-14T09:41:00Z</dcterms:created>
  <dcterms:modified xsi:type="dcterms:W3CDTF">2020-04-14T09:44:00Z</dcterms:modified>
</cp:coreProperties>
</file>