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FCE" w:rsidRPr="00AC6FCE" w:rsidRDefault="00AC6FCE" w:rsidP="00AC6F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C6FC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Supplementary 6. Correlation Between </w:t>
      </w:r>
      <w:r w:rsidRPr="00AC6FC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  <w:t>SPDEF</w:t>
      </w:r>
      <w:r w:rsidRPr="00AC6FC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Expression and Immune Cell Infiltration in Prostate Adenocarcinoma</w:t>
      </w:r>
    </w:p>
    <w:p w:rsidR="00AC6FCE" w:rsidRPr="00AC6FCE" w:rsidRDefault="00AC6FCE" w:rsidP="00AC6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6FCE">
        <w:rPr>
          <w:rFonts w:ascii="Times New Roman" w:eastAsia="Times New Roman" w:hAnsi="Times New Roman" w:cs="Times New Roman"/>
          <w:sz w:val="24"/>
          <w:szCs w:val="24"/>
        </w:rPr>
        <w:t xml:space="preserve">To investigate the potential relationship between </w:t>
      </w:r>
      <w:r w:rsidRPr="00AC6FCE">
        <w:rPr>
          <w:rFonts w:ascii="Times New Roman" w:eastAsia="Times New Roman" w:hAnsi="Times New Roman" w:cs="Times New Roman"/>
          <w:i/>
          <w:iCs/>
          <w:sz w:val="24"/>
          <w:szCs w:val="24"/>
        </w:rPr>
        <w:t>SPDEF</w:t>
      </w:r>
      <w:r w:rsidRPr="00AC6FCE">
        <w:rPr>
          <w:rFonts w:ascii="Times New Roman" w:eastAsia="Times New Roman" w:hAnsi="Times New Roman" w:cs="Times New Roman"/>
          <w:sz w:val="24"/>
          <w:szCs w:val="24"/>
        </w:rPr>
        <w:t xml:space="preserve"> expression and the tumor immune microenvironment, we assessed the correlation between </w:t>
      </w:r>
      <w:r w:rsidRPr="00AC6FCE">
        <w:rPr>
          <w:rFonts w:ascii="Times New Roman" w:eastAsia="Times New Roman" w:hAnsi="Times New Roman" w:cs="Times New Roman"/>
          <w:i/>
          <w:iCs/>
          <w:sz w:val="24"/>
          <w:szCs w:val="24"/>
        </w:rPr>
        <w:t>SPDEF</w:t>
      </w:r>
      <w:r w:rsidRPr="00AC6FCE">
        <w:rPr>
          <w:rFonts w:ascii="Times New Roman" w:eastAsia="Times New Roman" w:hAnsi="Times New Roman" w:cs="Times New Roman"/>
          <w:sz w:val="24"/>
          <w:szCs w:val="24"/>
        </w:rPr>
        <w:t xml:space="preserve"> mRNA expression and immune infiltration levels in prostate adenocarcinoma (PRAD) using the TIMER database (</w:t>
      </w:r>
      <w:hyperlink r:id="rId6" w:tgtFrame="_new" w:history="1">
        <w:r w:rsidRPr="00AC6FC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http://timer.cistrome.org/</w:t>
        </w:r>
      </w:hyperlink>
      <w:r w:rsidRPr="00AC6FCE">
        <w:rPr>
          <w:rFonts w:ascii="Times New Roman" w:eastAsia="Times New Roman" w:hAnsi="Times New Roman" w:cs="Times New Roman"/>
          <w:sz w:val="24"/>
          <w:szCs w:val="24"/>
        </w:rPr>
        <w:t>). The TIMER algorithm estimates immune cell infiltration levels from bulk RNA-seq data across TCGA cancer types.</w:t>
      </w:r>
    </w:p>
    <w:p w:rsidR="00AC6FCE" w:rsidRPr="00AC6FCE" w:rsidRDefault="00AC6FCE" w:rsidP="00AC6F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6FCE">
        <w:rPr>
          <w:rFonts w:ascii="Times New Roman" w:eastAsia="Times New Roman" w:hAnsi="Times New Roman" w:cs="Times New Roman"/>
          <w:sz w:val="24"/>
          <w:szCs w:val="24"/>
        </w:rPr>
        <w:t xml:space="preserve">As shown in Supplementary Figure 6, a statistically significant positive correlation was observed between </w:t>
      </w:r>
      <w:r w:rsidRPr="00AC6FCE">
        <w:rPr>
          <w:rFonts w:ascii="Times New Roman" w:eastAsia="Times New Roman" w:hAnsi="Times New Roman" w:cs="Times New Roman"/>
          <w:i/>
          <w:iCs/>
          <w:sz w:val="24"/>
          <w:szCs w:val="24"/>
        </w:rPr>
        <w:t>SPDEF</w:t>
      </w:r>
      <w:r w:rsidRPr="00AC6FCE">
        <w:rPr>
          <w:rFonts w:ascii="Times New Roman" w:eastAsia="Times New Roman" w:hAnsi="Times New Roman" w:cs="Times New Roman"/>
          <w:sz w:val="24"/>
          <w:szCs w:val="24"/>
        </w:rPr>
        <w:t xml:space="preserve"> expression and tumor purity (Spearman’s ρ = 0.20, </w:t>
      </w:r>
      <w:r w:rsidRPr="00AC6FCE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AC6FCE">
        <w:rPr>
          <w:rFonts w:ascii="Times New Roman" w:eastAsia="Times New Roman" w:hAnsi="Times New Roman" w:cs="Times New Roman"/>
          <w:sz w:val="24"/>
          <w:szCs w:val="24"/>
        </w:rPr>
        <w:t xml:space="preserve"> = 3.78 × 10</w:t>
      </w:r>
      <w:r w:rsidRPr="00AC6FCE">
        <w:rPr>
          <w:rFonts w:ascii="Cambria Math" w:eastAsia="Times New Roman" w:hAnsi="Cambria Math" w:cs="Cambria Math"/>
          <w:sz w:val="24"/>
          <w:szCs w:val="24"/>
        </w:rPr>
        <w:t>⁻⁵</w:t>
      </w:r>
      <w:r w:rsidRPr="00AC6FCE">
        <w:rPr>
          <w:rFonts w:ascii="Times New Roman" w:eastAsia="Times New Roman" w:hAnsi="Times New Roman" w:cs="Times New Roman"/>
          <w:sz w:val="24"/>
          <w:szCs w:val="24"/>
        </w:rPr>
        <w:t xml:space="preserve">), indicating that higher </w:t>
      </w:r>
      <w:r w:rsidRPr="00AC6FCE">
        <w:rPr>
          <w:rFonts w:ascii="Times New Roman" w:eastAsia="Times New Roman" w:hAnsi="Times New Roman" w:cs="Times New Roman"/>
          <w:i/>
          <w:iCs/>
          <w:sz w:val="24"/>
          <w:szCs w:val="24"/>
        </w:rPr>
        <w:t>SPDEF</w:t>
      </w:r>
      <w:r w:rsidRPr="00AC6FCE">
        <w:rPr>
          <w:rFonts w:ascii="Times New Roman" w:eastAsia="Times New Roman" w:hAnsi="Times New Roman" w:cs="Times New Roman"/>
          <w:sz w:val="24"/>
          <w:szCs w:val="24"/>
        </w:rPr>
        <w:t xml:space="preserve"> levels are associated with increased tumor cell content in prostate tumors. Additionally, </w:t>
      </w:r>
      <w:r w:rsidRPr="00AC6FCE">
        <w:rPr>
          <w:rFonts w:ascii="Times New Roman" w:eastAsia="Times New Roman" w:hAnsi="Times New Roman" w:cs="Times New Roman"/>
          <w:i/>
          <w:iCs/>
          <w:sz w:val="24"/>
          <w:szCs w:val="24"/>
        </w:rPr>
        <w:t>SPDEF</w:t>
      </w:r>
      <w:r w:rsidRPr="00AC6FCE">
        <w:rPr>
          <w:rFonts w:ascii="Times New Roman" w:eastAsia="Times New Roman" w:hAnsi="Times New Roman" w:cs="Times New Roman"/>
          <w:sz w:val="24"/>
          <w:szCs w:val="24"/>
        </w:rPr>
        <w:t xml:space="preserve"> expression showed a significant positive correlation with CD8</w:t>
      </w:r>
      <w:r w:rsidRPr="00AC6FCE">
        <w:rPr>
          <w:rFonts w:ascii="Cambria Math" w:eastAsia="Times New Roman" w:hAnsi="Cambria Math" w:cs="Cambria Math"/>
          <w:sz w:val="24"/>
          <w:szCs w:val="24"/>
        </w:rPr>
        <w:t>⁺</w:t>
      </w:r>
      <w:r w:rsidRPr="00AC6FCE">
        <w:rPr>
          <w:rFonts w:ascii="Times New Roman" w:eastAsia="Times New Roman" w:hAnsi="Times New Roman" w:cs="Times New Roman"/>
          <w:sz w:val="24"/>
          <w:szCs w:val="24"/>
        </w:rPr>
        <w:t xml:space="preserve"> T cell infiltration (Spearman’s ρ = 0.206, </w:t>
      </w:r>
      <w:r w:rsidRPr="00AC6FCE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AC6FCE">
        <w:rPr>
          <w:rFonts w:ascii="Times New Roman" w:eastAsia="Times New Roman" w:hAnsi="Times New Roman" w:cs="Times New Roman"/>
          <w:sz w:val="24"/>
          <w:szCs w:val="24"/>
        </w:rPr>
        <w:t xml:space="preserve"> = 2.32 × 10</w:t>
      </w:r>
      <w:r w:rsidRPr="00AC6FCE">
        <w:rPr>
          <w:rFonts w:ascii="Cambria Math" w:eastAsia="Times New Roman" w:hAnsi="Cambria Math" w:cs="Cambria Math"/>
          <w:sz w:val="24"/>
          <w:szCs w:val="24"/>
        </w:rPr>
        <w:t>⁻⁵</w:t>
      </w:r>
      <w:r w:rsidRPr="00AC6FCE">
        <w:rPr>
          <w:rFonts w:ascii="Times New Roman" w:eastAsia="Times New Roman" w:hAnsi="Times New Roman" w:cs="Times New Roman"/>
          <w:sz w:val="24"/>
          <w:szCs w:val="24"/>
        </w:rPr>
        <w:t xml:space="preserve">). These results suggest that </w:t>
      </w:r>
      <w:r w:rsidRPr="00AC6FCE">
        <w:rPr>
          <w:rFonts w:ascii="Times New Roman" w:eastAsia="Times New Roman" w:hAnsi="Times New Roman" w:cs="Times New Roman"/>
          <w:i/>
          <w:iCs/>
          <w:sz w:val="24"/>
          <w:szCs w:val="24"/>
        </w:rPr>
        <w:t>SPDEF</w:t>
      </w:r>
      <w:r w:rsidRPr="00AC6FCE">
        <w:rPr>
          <w:rFonts w:ascii="Times New Roman" w:eastAsia="Times New Roman" w:hAnsi="Times New Roman" w:cs="Times New Roman"/>
          <w:sz w:val="24"/>
          <w:szCs w:val="24"/>
        </w:rPr>
        <w:t xml:space="preserve"> may play a role in modulating immune infiltration, particularly CD8</w:t>
      </w:r>
      <w:r w:rsidRPr="00AC6FCE">
        <w:rPr>
          <w:rFonts w:ascii="Cambria Math" w:eastAsia="Times New Roman" w:hAnsi="Cambria Math" w:cs="Cambria Math"/>
          <w:sz w:val="24"/>
          <w:szCs w:val="24"/>
        </w:rPr>
        <w:t>⁺</w:t>
      </w:r>
      <w:r w:rsidRPr="00AC6FCE">
        <w:rPr>
          <w:rFonts w:ascii="Times New Roman" w:eastAsia="Times New Roman" w:hAnsi="Times New Roman" w:cs="Times New Roman"/>
          <w:sz w:val="24"/>
          <w:szCs w:val="24"/>
        </w:rPr>
        <w:t xml:space="preserve"> T cell presence, within the prostate tumor microenvironment.</w:t>
      </w:r>
    </w:p>
    <w:p w:rsidR="008E4FF0" w:rsidRDefault="008E4FF0" w:rsidP="003002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6FCE" w:rsidRDefault="00AC6FCE" w:rsidP="003002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6FCE" w:rsidRDefault="00AC6FCE" w:rsidP="003002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6FCE" w:rsidRDefault="00AC6FCE" w:rsidP="003002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6FCE" w:rsidRDefault="00AC6FCE" w:rsidP="003002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6FCE" w:rsidRDefault="00AC6FCE" w:rsidP="003002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6FCE" w:rsidRDefault="00AC6FCE" w:rsidP="003002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4FF0" w:rsidRDefault="008E4FF0" w:rsidP="003002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4FF0" w:rsidRDefault="00AC6FCE" w:rsidP="00AC6F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C6FCE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360083" cy="2974340"/>
            <wp:effectExtent l="0" t="0" r="0" b="0"/>
            <wp:docPr id="2" name="Picture 2" descr="C:\Users\FUJITSU\Pictures\6-0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UJITSU\Pictures\6-0.tif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797" cy="2976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9DF" w:rsidRDefault="00E039DF" w:rsidP="00E039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39DF" w:rsidRPr="00E039DF" w:rsidRDefault="00E039DF" w:rsidP="00E039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451B" w:rsidRPr="0094451B" w:rsidRDefault="00E039DF" w:rsidP="0094451B">
      <w:pPr>
        <w:spacing w:before="100" w:beforeAutospacing="1" w:after="100" w:afterAutospacing="1"/>
        <w:jc w:val="both"/>
        <w:rPr>
          <w:rFonts w:asciiTheme="majorBidi" w:eastAsia="Times New Roman" w:hAnsiTheme="majorBidi" w:cstheme="majorBidi"/>
        </w:rPr>
      </w:pPr>
      <w:r w:rsidRPr="0094451B">
        <w:rPr>
          <w:rFonts w:asciiTheme="majorBidi" w:eastAsia="Times New Roman" w:hAnsiTheme="majorBidi" w:cstheme="majorBidi"/>
          <w:b/>
          <w:bCs/>
        </w:rPr>
        <w:t xml:space="preserve">Supplementary </w:t>
      </w:r>
      <w:r w:rsidR="008E4FF0" w:rsidRPr="0094451B">
        <w:rPr>
          <w:rFonts w:asciiTheme="majorBidi" w:eastAsia="Times New Roman" w:hAnsiTheme="majorBidi" w:cstheme="majorBidi"/>
          <w:b/>
          <w:bCs/>
        </w:rPr>
        <w:t>6 _Fig 1</w:t>
      </w:r>
      <w:r w:rsidRPr="0094451B">
        <w:rPr>
          <w:rFonts w:asciiTheme="majorBidi" w:eastAsia="Times New Roman" w:hAnsiTheme="majorBidi" w:cstheme="majorBidi"/>
          <w:b/>
          <w:bCs/>
        </w:rPr>
        <w:t>.</w:t>
      </w:r>
      <w:r w:rsidRPr="0094451B">
        <w:rPr>
          <w:rFonts w:asciiTheme="majorBidi" w:eastAsia="Times New Roman" w:hAnsiTheme="majorBidi" w:cstheme="majorBidi"/>
        </w:rPr>
        <w:t xml:space="preserve"> </w:t>
      </w:r>
      <w:r w:rsidR="0094451B" w:rsidRPr="0094451B">
        <w:rPr>
          <w:rFonts w:asciiTheme="majorBidi" w:eastAsia="Times New Roman" w:hAnsiTheme="majorBidi" w:cstheme="majorBidi"/>
          <w:b/>
          <w:bCs/>
        </w:rPr>
        <w:t xml:space="preserve">Correlation of </w:t>
      </w:r>
      <w:r w:rsidR="0094451B" w:rsidRPr="0094451B">
        <w:rPr>
          <w:rFonts w:asciiTheme="majorBidi" w:eastAsia="Times New Roman" w:hAnsiTheme="majorBidi" w:cstheme="majorBidi"/>
          <w:b/>
          <w:bCs/>
          <w:i/>
          <w:iCs/>
        </w:rPr>
        <w:t>SPDEF</w:t>
      </w:r>
      <w:r w:rsidR="0094451B" w:rsidRPr="0094451B">
        <w:rPr>
          <w:rFonts w:asciiTheme="majorBidi" w:eastAsia="Times New Roman" w:hAnsiTheme="majorBidi" w:cstheme="majorBidi"/>
          <w:b/>
          <w:bCs/>
        </w:rPr>
        <w:t xml:space="preserve"> gene expression with tumor purity and CD8</w:t>
      </w:r>
      <w:r w:rsidR="0094451B" w:rsidRPr="0094451B">
        <w:rPr>
          <w:rFonts w:ascii="Cambria Math" w:eastAsia="Times New Roman" w:hAnsi="Cambria Math" w:cs="Cambria Math"/>
          <w:b/>
          <w:bCs/>
        </w:rPr>
        <w:t>⁺</w:t>
      </w:r>
      <w:r w:rsidR="0094451B" w:rsidRPr="0094451B">
        <w:rPr>
          <w:rFonts w:asciiTheme="majorBidi" w:eastAsia="Times New Roman" w:hAnsiTheme="majorBidi" w:cstheme="majorBidi"/>
          <w:b/>
          <w:bCs/>
        </w:rPr>
        <w:t xml:space="preserve"> T cell infiltration in prostate adenocarcinoma (PRAD).</w:t>
      </w:r>
      <w:r w:rsidR="0094451B" w:rsidRPr="0094451B">
        <w:rPr>
          <w:rFonts w:asciiTheme="majorBidi" w:eastAsia="Times New Roman" w:hAnsiTheme="majorBidi" w:cstheme="majorBidi"/>
        </w:rPr>
        <w:br/>
        <w:t xml:space="preserve">Scatter plots depict the relationship between </w:t>
      </w:r>
      <w:r w:rsidR="0094451B" w:rsidRPr="0094451B">
        <w:rPr>
          <w:rFonts w:asciiTheme="majorBidi" w:eastAsia="Times New Roman" w:hAnsiTheme="majorBidi" w:cstheme="majorBidi"/>
          <w:i/>
          <w:iCs/>
        </w:rPr>
        <w:t>SPDEF</w:t>
      </w:r>
      <w:r w:rsidR="0094451B" w:rsidRPr="0094451B">
        <w:rPr>
          <w:rFonts w:asciiTheme="majorBidi" w:eastAsia="Times New Roman" w:hAnsiTheme="majorBidi" w:cstheme="majorBidi"/>
        </w:rPr>
        <w:t xml:space="preserve"> expression (log</w:t>
      </w:r>
      <w:r w:rsidR="0094451B" w:rsidRPr="0094451B">
        <w:rPr>
          <w:rFonts w:ascii="Cambria Math" w:eastAsia="Times New Roman" w:hAnsi="Cambria Math" w:cs="Cambria Math"/>
        </w:rPr>
        <w:t>₂</w:t>
      </w:r>
      <w:r w:rsidR="0094451B" w:rsidRPr="0094451B">
        <w:rPr>
          <w:rFonts w:asciiTheme="majorBidi" w:eastAsia="Times New Roman" w:hAnsiTheme="majorBidi" w:cstheme="majorBidi"/>
        </w:rPr>
        <w:t xml:space="preserve"> TPM) and (left) tumor purity and (right) CD8</w:t>
      </w:r>
      <w:r w:rsidR="0094451B" w:rsidRPr="0094451B">
        <w:rPr>
          <w:rFonts w:ascii="Cambria Math" w:eastAsia="Times New Roman" w:hAnsi="Cambria Math" w:cs="Cambria Math"/>
        </w:rPr>
        <w:t>⁺</w:t>
      </w:r>
      <w:r w:rsidR="0094451B" w:rsidRPr="0094451B">
        <w:rPr>
          <w:rFonts w:asciiTheme="majorBidi" w:eastAsia="Times New Roman" w:hAnsiTheme="majorBidi" w:cstheme="majorBidi"/>
        </w:rPr>
        <w:t xml:space="preserve"> T cell infiltration level in PRAD (TCGA cohort), derived using the TIMER database. Blue lines indicate fitted regression curves with confidence intervals. Spearman’s ρ and associated </w:t>
      </w:r>
      <w:r w:rsidR="0094451B" w:rsidRPr="0094451B">
        <w:rPr>
          <w:rFonts w:asciiTheme="majorBidi" w:eastAsia="Times New Roman" w:hAnsiTheme="majorBidi" w:cstheme="majorBidi"/>
          <w:i/>
          <w:iCs/>
        </w:rPr>
        <w:t>p</w:t>
      </w:r>
      <w:r w:rsidR="0094451B" w:rsidRPr="0094451B">
        <w:rPr>
          <w:rFonts w:asciiTheme="majorBidi" w:eastAsia="Times New Roman" w:hAnsiTheme="majorBidi" w:cstheme="majorBidi"/>
        </w:rPr>
        <w:t>-values are shown in red.</w:t>
      </w:r>
      <w:bookmarkStart w:id="0" w:name="_GoBack"/>
      <w:bookmarkEnd w:id="0"/>
    </w:p>
    <w:p w:rsidR="00295CC7" w:rsidRPr="00AC6FCE" w:rsidRDefault="00295CC7" w:rsidP="0094451B">
      <w:pPr>
        <w:spacing w:before="100" w:beforeAutospacing="1" w:after="100" w:afterAutospacing="1" w:line="240" w:lineRule="auto"/>
        <w:jc w:val="both"/>
      </w:pPr>
    </w:p>
    <w:sectPr w:rsidR="00295CC7" w:rsidRPr="00AC6FC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224" w:rsidRDefault="00381224" w:rsidP="008E4FF0">
      <w:pPr>
        <w:spacing w:after="0" w:line="240" w:lineRule="auto"/>
      </w:pPr>
      <w:r>
        <w:separator/>
      </w:r>
    </w:p>
  </w:endnote>
  <w:endnote w:type="continuationSeparator" w:id="0">
    <w:p w:rsidR="00381224" w:rsidRDefault="00381224" w:rsidP="008E4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54175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E4FF0" w:rsidRDefault="008E4FF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451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E4FF0" w:rsidRDefault="008E4F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224" w:rsidRDefault="00381224" w:rsidP="008E4FF0">
      <w:pPr>
        <w:spacing w:after="0" w:line="240" w:lineRule="auto"/>
      </w:pPr>
      <w:r>
        <w:separator/>
      </w:r>
    </w:p>
  </w:footnote>
  <w:footnote w:type="continuationSeparator" w:id="0">
    <w:p w:rsidR="00381224" w:rsidRDefault="00381224" w:rsidP="008E4F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9DF"/>
    <w:rsid w:val="00295CC7"/>
    <w:rsid w:val="00300258"/>
    <w:rsid w:val="00381224"/>
    <w:rsid w:val="008E4FF0"/>
    <w:rsid w:val="0094451B"/>
    <w:rsid w:val="00AC6FCE"/>
    <w:rsid w:val="00E0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A1159"/>
  <w15:chartTrackingRefBased/>
  <w15:docId w15:val="{E8949B25-3A76-4BD6-8662-E4730896C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4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FF0"/>
  </w:style>
  <w:style w:type="paragraph" w:styleId="Footer">
    <w:name w:val="footer"/>
    <w:basedOn w:val="Normal"/>
    <w:link w:val="FooterChar"/>
    <w:uiPriority w:val="99"/>
    <w:unhideWhenUsed/>
    <w:rsid w:val="008E4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imer.cistrome.org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5</cp:revision>
  <dcterms:created xsi:type="dcterms:W3CDTF">2025-04-12T00:07:00Z</dcterms:created>
  <dcterms:modified xsi:type="dcterms:W3CDTF">2025-04-13T10:02:00Z</dcterms:modified>
</cp:coreProperties>
</file>