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5CA67">
      <w:pPr>
        <w:tabs>
          <w:tab w:val="left" w:pos="13030"/>
        </w:tabs>
        <w:bidi w:val="0"/>
        <w:jc w:val="left"/>
        <w:rPr>
          <w:rFonts w:hint="default"/>
          <w:b/>
          <w:bCs/>
          <w:sz w:val="28"/>
          <w:szCs w:val="36"/>
          <w:lang w:val="en-US" w:eastAsia="zh-CN"/>
        </w:rPr>
      </w:pPr>
      <w:r>
        <w:rPr>
          <w:rFonts w:hint="default"/>
          <w:b/>
          <w:bCs/>
          <w:sz w:val="28"/>
          <w:szCs w:val="36"/>
          <w:lang w:val="en-US" w:eastAsia="zh-CN"/>
        </w:rPr>
        <w:t>Scoring Method</w:t>
      </w:r>
    </w:p>
    <w:p w14:paraId="0D4828E6">
      <w:pPr>
        <w:keepNext w:val="0"/>
        <w:keepLines w:val="0"/>
        <w:pageBreakBefore w:val="0"/>
        <w:widowControl w:val="0"/>
        <w:tabs>
          <w:tab w:val="left" w:pos="13030"/>
        </w:tabs>
        <w:kinsoku w:val="0"/>
        <w:wordWrap w:val="0"/>
        <w:overflowPunct/>
        <w:topLinePunct w:val="0"/>
        <w:autoSpaceDE/>
        <w:autoSpaceDN/>
        <w:bidi w:val="0"/>
        <w:adjustRightInd/>
        <w:snapToGrid/>
        <w:spacing w:line="360" w:lineRule="auto"/>
        <w:jc w:val="left"/>
        <w:textAlignment w:val="auto"/>
        <w:rPr>
          <w:rFonts w:hint="eastAsia"/>
          <w:sz w:val="24"/>
          <w:szCs w:val="32"/>
          <w:lang w:val="en-US" w:eastAsia="zh-CN"/>
        </w:rPr>
      </w:pPr>
      <w:r>
        <w:rPr>
          <w:rFonts w:hint="default"/>
          <w:sz w:val="24"/>
          <w:szCs w:val="32"/>
          <w:lang w:val="en-US" w:eastAsia="zh-CN"/>
        </w:rPr>
        <w:t xml:space="preserve">In order to quantitatively explore the association among knowledge, attitudes, and practice patterns related to </w:t>
      </w:r>
      <w:r>
        <w:rPr>
          <w:rFonts w:hint="eastAsia"/>
          <w:sz w:val="24"/>
          <w:szCs w:val="32"/>
          <w:lang w:val="en-US" w:eastAsia="zh-CN"/>
        </w:rPr>
        <w:t>t</w:t>
      </w:r>
      <w:r>
        <w:rPr>
          <w:rFonts w:hint="default"/>
          <w:sz w:val="24"/>
          <w:szCs w:val="32"/>
          <w:lang w:val="en-US" w:eastAsia="zh-CN"/>
        </w:rPr>
        <w:t xml:space="preserve">he </w:t>
      </w:r>
      <w:r>
        <w:rPr>
          <w:rFonts w:hint="eastAsia"/>
          <w:sz w:val="24"/>
          <w:szCs w:val="32"/>
          <w:lang w:val="en-US" w:eastAsia="zh-CN"/>
        </w:rPr>
        <w:t>m</w:t>
      </w:r>
      <w:r>
        <w:rPr>
          <w:rFonts w:hint="default"/>
          <w:sz w:val="24"/>
          <w:szCs w:val="32"/>
          <w:lang w:val="en-US" w:eastAsia="zh-CN"/>
        </w:rPr>
        <w:t xml:space="preserve">anagement of </w:t>
      </w:r>
      <w:r>
        <w:rPr>
          <w:rFonts w:hint="eastAsia"/>
          <w:sz w:val="24"/>
          <w:szCs w:val="32"/>
          <w:lang w:val="en-US" w:eastAsia="zh-CN"/>
        </w:rPr>
        <w:t>p</w:t>
      </w:r>
      <w:r>
        <w:rPr>
          <w:rFonts w:hint="default"/>
          <w:sz w:val="24"/>
          <w:szCs w:val="32"/>
          <w:lang w:val="en-US" w:eastAsia="zh-CN"/>
        </w:rPr>
        <w:t xml:space="preserve">ost-prostatectomy </w:t>
      </w:r>
      <w:r>
        <w:rPr>
          <w:rFonts w:hint="eastAsia"/>
          <w:sz w:val="24"/>
          <w:szCs w:val="32"/>
          <w:lang w:val="en-US" w:eastAsia="zh-CN"/>
        </w:rPr>
        <w:t>e</w:t>
      </w:r>
      <w:r>
        <w:rPr>
          <w:rFonts w:hint="default"/>
          <w:sz w:val="24"/>
          <w:szCs w:val="32"/>
          <w:lang w:val="en-US" w:eastAsia="zh-CN"/>
        </w:rPr>
        <w:t xml:space="preserve">rectile </w:t>
      </w:r>
      <w:r>
        <w:rPr>
          <w:rFonts w:hint="eastAsia"/>
          <w:sz w:val="24"/>
          <w:szCs w:val="32"/>
          <w:lang w:val="en-US" w:eastAsia="zh-CN"/>
        </w:rPr>
        <w:t>d</w:t>
      </w:r>
      <w:r>
        <w:rPr>
          <w:rFonts w:hint="default"/>
          <w:sz w:val="24"/>
          <w:szCs w:val="32"/>
          <w:lang w:val="en-US" w:eastAsia="zh-CN"/>
        </w:rPr>
        <w:t>ysfunction</w:t>
      </w:r>
      <w:r>
        <w:rPr>
          <w:rFonts w:hint="eastAsia"/>
          <w:sz w:val="24"/>
          <w:szCs w:val="32"/>
          <w:lang w:val="en-US" w:eastAsia="zh-CN"/>
        </w:rPr>
        <w:t xml:space="preserve"> </w:t>
      </w:r>
      <w:r>
        <w:rPr>
          <w:rFonts w:hint="default"/>
          <w:sz w:val="24"/>
          <w:szCs w:val="32"/>
          <w:lang w:val="en-US" w:eastAsia="zh-CN"/>
        </w:rPr>
        <w:t>combining with previous articles</w:t>
      </w:r>
      <w:r>
        <w:rPr>
          <w:rFonts w:hint="eastAsia"/>
          <w:sz w:val="24"/>
          <w:szCs w:val="32"/>
          <w:lang w:val="en-US" w:eastAsia="zh-CN"/>
        </w:rPr>
        <w:t>(),we decided to adopt ten-mark system.</w:t>
      </w:r>
    </w:p>
    <w:p w14:paraId="73C47B72">
      <w:pPr>
        <w:keepNext w:val="0"/>
        <w:keepLines w:val="0"/>
        <w:pageBreakBefore w:val="0"/>
        <w:widowControl w:val="0"/>
        <w:tabs>
          <w:tab w:val="left" w:pos="13030"/>
        </w:tabs>
        <w:kinsoku w:val="0"/>
        <w:wordWrap w:val="0"/>
        <w:overflowPunct/>
        <w:topLinePunct w:val="0"/>
        <w:autoSpaceDE/>
        <w:autoSpaceDN/>
        <w:bidi w:val="0"/>
        <w:adjustRightInd/>
        <w:snapToGrid/>
        <w:spacing w:line="360" w:lineRule="auto"/>
        <w:jc w:val="left"/>
        <w:textAlignment w:val="auto"/>
        <w:rPr>
          <w:rFonts w:hint="default"/>
          <w:sz w:val="24"/>
          <w:szCs w:val="32"/>
          <w:lang w:val="en-US" w:eastAsia="zh-CN"/>
        </w:rPr>
      </w:pPr>
      <w:r>
        <w:rPr>
          <w:rFonts w:hint="eastAsia"/>
          <w:sz w:val="24"/>
          <w:szCs w:val="32"/>
          <w:lang w:val="en-US" w:eastAsia="zh-CN"/>
        </w:rPr>
        <w:t>For knowledge, each question of the knowledge question with a total of ten item scored 1. For each knowledge question, the three answers were distributed as agree, neutral, and disagree. The answer of“agree”indicating mastery of the corresponding knowledge, would be scored 1.25, while“neutral” or “disagree”would be scored 0 as lacking the corresponding knowledge. Similarly, for “Attitude”, the full score for each question was set as 2, so as to accord with the ten-mark system with the 5 questions in total. A 5-point Likert scale was applied in this part, and was scored as follows: totally agree (2), agree (1.5), neither agree nor disagree (1.0), disagree (0.5), and completely disagree (0), according to the previous article(Tang D, Zhang Y, Zhang W, et al. Knowledge, Attitudes, and Practice Patterns Relating to Sexual Dysfunction Among Urologists and Andrologists in China. JAMA Netw Open. 2023;6(1):e2250177.).</w:t>
      </w:r>
    </w:p>
    <w:p w14:paraId="3A54969C">
      <w:pPr>
        <w:keepNext w:val="0"/>
        <w:keepLines w:val="0"/>
        <w:pageBreakBefore w:val="0"/>
        <w:widowControl w:val="0"/>
        <w:tabs>
          <w:tab w:val="left" w:pos="13030"/>
        </w:tabs>
        <w:kinsoku w:val="0"/>
        <w:wordWrap w:val="0"/>
        <w:overflowPunct/>
        <w:topLinePunct w:val="0"/>
        <w:autoSpaceDE/>
        <w:autoSpaceDN/>
        <w:bidi w:val="0"/>
        <w:adjustRightInd/>
        <w:snapToGrid/>
        <w:spacing w:line="360" w:lineRule="auto"/>
        <w:jc w:val="left"/>
        <w:textAlignment w:val="auto"/>
        <w:rPr>
          <w:rFonts w:hint="default"/>
          <w:sz w:val="24"/>
          <w:szCs w:val="32"/>
          <w:lang w:val="en-US" w:eastAsia="zh-CN"/>
        </w:rPr>
      </w:pPr>
    </w:p>
    <w:p w14:paraId="2201F72E">
      <w:pPr>
        <w:tabs>
          <w:tab w:val="left" w:pos="13030"/>
        </w:tabs>
        <w:bidi w:val="0"/>
        <w:jc w:val="left"/>
        <w:rPr>
          <w:rFonts w:hint="default"/>
          <w:lang w:val="en-US" w:eastAsia="zh-CN"/>
        </w:rPr>
      </w:pPr>
    </w:p>
    <w:p w14:paraId="31A98379">
      <w:pPr>
        <w:tabs>
          <w:tab w:val="left" w:pos="13030"/>
        </w:tabs>
        <w:bidi w:val="0"/>
        <w:jc w:val="left"/>
        <w:rPr>
          <w:rFonts w:hint="default"/>
          <w:lang w:val="en-US" w:eastAsia="zh-CN"/>
        </w:rPr>
      </w:pPr>
    </w:p>
    <w:p w14:paraId="05D3E80B">
      <w:pPr>
        <w:tabs>
          <w:tab w:val="left" w:pos="13030"/>
        </w:tabs>
        <w:bidi w:val="0"/>
        <w:jc w:val="left"/>
        <w:rPr>
          <w:rFonts w:hint="default"/>
          <w:lang w:val="en-US" w:eastAsia="zh-CN"/>
        </w:rPr>
      </w:pPr>
    </w:p>
    <w:p w14:paraId="57F0D60A">
      <w:pPr>
        <w:tabs>
          <w:tab w:val="left" w:pos="13030"/>
        </w:tabs>
        <w:bidi w:val="0"/>
        <w:jc w:val="left"/>
        <w:rPr>
          <w:rFonts w:hint="default"/>
          <w:lang w:val="en-US" w:eastAsia="zh-CN"/>
        </w:rPr>
      </w:pPr>
    </w:p>
    <w:p w14:paraId="6EEA36F6">
      <w:pPr>
        <w:tabs>
          <w:tab w:val="left" w:pos="13030"/>
        </w:tabs>
        <w:bidi w:val="0"/>
        <w:jc w:val="left"/>
        <w:rPr>
          <w:rFonts w:hint="default"/>
          <w:lang w:val="en-US" w:eastAsia="zh-CN"/>
        </w:rPr>
      </w:pPr>
    </w:p>
    <w:p w14:paraId="689B6136">
      <w:pPr>
        <w:tabs>
          <w:tab w:val="left" w:pos="13030"/>
        </w:tabs>
        <w:bidi w:val="0"/>
        <w:jc w:val="left"/>
        <w:rPr>
          <w:rFonts w:hint="default"/>
          <w:lang w:val="en-US" w:eastAsia="zh-CN"/>
        </w:rPr>
      </w:pPr>
    </w:p>
    <w:p w14:paraId="193368AB">
      <w:pPr>
        <w:tabs>
          <w:tab w:val="left" w:pos="13030"/>
        </w:tabs>
        <w:bidi w:val="0"/>
        <w:jc w:val="left"/>
        <w:rPr>
          <w:rFonts w:hint="default"/>
          <w:lang w:val="en-US" w:eastAsia="zh-CN"/>
        </w:rPr>
      </w:pPr>
    </w:p>
    <w:p w14:paraId="3985CFBC">
      <w:pPr>
        <w:tabs>
          <w:tab w:val="left" w:pos="13030"/>
        </w:tabs>
        <w:bidi w:val="0"/>
        <w:jc w:val="left"/>
        <w:rPr>
          <w:rFonts w:hint="default"/>
          <w:lang w:val="en-US" w:eastAsia="zh-CN"/>
        </w:rPr>
      </w:pPr>
    </w:p>
    <w:p w14:paraId="378A8AD5">
      <w:pPr>
        <w:tabs>
          <w:tab w:val="left" w:pos="13030"/>
        </w:tabs>
        <w:bidi w:val="0"/>
        <w:jc w:val="left"/>
        <w:rPr>
          <w:rFonts w:hint="default"/>
          <w:lang w:val="en-US" w:eastAsia="zh-CN"/>
        </w:rPr>
      </w:pPr>
      <w:bookmarkStart w:id="1" w:name="_GoBack"/>
      <w:bookmarkEnd w:id="1"/>
    </w:p>
    <w:tbl>
      <w:tblPr>
        <w:tblStyle w:val="2"/>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904"/>
        <w:gridCol w:w="4959"/>
        <w:gridCol w:w="1833"/>
        <w:gridCol w:w="1372"/>
        <w:gridCol w:w="450"/>
        <w:gridCol w:w="1470"/>
      </w:tblGrid>
      <w:tr w14:paraId="538AE2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rPr>
          <w:trHeight w:val="0" w:hRule="atLeast"/>
          <w:jc w:val="center"/>
        </w:trPr>
        <w:tc>
          <w:tcPr>
            <w:tcW w:w="1395" w:type="pct"/>
            <w:tcBorders>
              <w:top w:val="single" w:color="auto" w:sz="4" w:space="0"/>
              <w:bottom w:val="single" w:color="auto" w:sz="4" w:space="0"/>
            </w:tcBorders>
            <w:shd w:val="clear" w:color="auto" w:fill="auto"/>
            <w:vAlign w:val="center"/>
          </w:tcPr>
          <w:p w14:paraId="723D4D5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8"/>
                <w:szCs w:val="18"/>
                <w:u w:val="none"/>
              </w:rPr>
            </w:pPr>
            <w:bookmarkStart w:id="0" w:name="OLE_LINK1"/>
            <w:r>
              <w:rPr>
                <w:rFonts w:hint="eastAsia" w:ascii="宋体" w:hAnsi="宋体" w:eastAsia="宋体" w:cs="宋体"/>
                <w:b/>
                <w:bCs/>
                <w:i w:val="0"/>
                <w:color w:val="000000"/>
                <w:kern w:val="0"/>
                <w:sz w:val="24"/>
                <w:szCs w:val="24"/>
                <w:u w:val="none"/>
                <w:lang w:val="en-US" w:eastAsia="zh-CN" w:bidi="ar"/>
              </w:rPr>
              <w:t>Latent Variable</w:t>
            </w:r>
          </w:p>
        </w:tc>
        <w:tc>
          <w:tcPr>
            <w:tcW w:w="1772" w:type="pct"/>
            <w:tcBorders>
              <w:top w:val="single" w:color="auto" w:sz="4" w:space="0"/>
              <w:bottom w:val="single" w:color="auto" w:sz="4" w:space="0"/>
            </w:tcBorders>
            <w:shd w:val="clear" w:color="auto" w:fill="auto"/>
            <w:vAlign w:val="center"/>
          </w:tcPr>
          <w:p w14:paraId="3030CBF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4"/>
                <w:szCs w:val="24"/>
                <w:u w:val="none"/>
                <w:lang w:val="en-US" w:eastAsia="zh-CN" w:bidi="ar"/>
              </w:rPr>
              <w:t>Measurement Indicator</w:t>
            </w:r>
          </w:p>
        </w:tc>
        <w:tc>
          <w:tcPr>
            <w:tcW w:w="655" w:type="pct"/>
            <w:tcBorders>
              <w:top w:val="single" w:color="auto" w:sz="4" w:space="0"/>
              <w:bottom w:val="single" w:color="auto" w:sz="4" w:space="0"/>
            </w:tcBorders>
            <w:shd w:val="clear" w:color="auto" w:fill="auto"/>
            <w:vAlign w:val="center"/>
          </w:tcPr>
          <w:p w14:paraId="2BFB0567">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4"/>
                <w:szCs w:val="24"/>
                <w:u w:val="none"/>
                <w:lang w:val="en-US" w:eastAsia="zh-CN" w:bidi="ar"/>
              </w:rPr>
              <w:t>Standardized Factor Loadings</w:t>
            </w:r>
          </w:p>
        </w:tc>
        <w:tc>
          <w:tcPr>
            <w:tcW w:w="490" w:type="pct"/>
            <w:tcBorders>
              <w:top w:val="single" w:color="auto" w:sz="4" w:space="0"/>
              <w:bottom w:val="single" w:color="auto" w:sz="4" w:space="0"/>
            </w:tcBorders>
            <w:shd w:val="clear" w:color="auto" w:fill="auto"/>
            <w:vAlign w:val="center"/>
          </w:tcPr>
          <w:p w14:paraId="16E571E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r>
              <w:rPr>
                <w:rFonts w:hint="eastAsia" w:ascii="宋体" w:hAnsi="宋体" w:eastAsia="宋体" w:cs="宋体"/>
                <w:b/>
                <w:bCs/>
                <w:i w:val="0"/>
                <w:color w:val="000000"/>
                <w:kern w:val="0"/>
                <w:sz w:val="24"/>
                <w:szCs w:val="24"/>
                <w:u w:val="none"/>
                <w:lang w:val="en-US" w:eastAsia="zh-CN" w:bidi="ar"/>
              </w:rPr>
              <w:t>Cronbach's alpha</w:t>
            </w:r>
          </w:p>
        </w:tc>
        <w:tc>
          <w:tcPr>
            <w:tcW w:w="160" w:type="pct"/>
            <w:tcBorders>
              <w:top w:val="single" w:color="auto" w:sz="4" w:space="0"/>
              <w:bottom w:val="single" w:color="auto" w:sz="4" w:space="0"/>
            </w:tcBorders>
            <w:shd w:val="clear" w:color="auto" w:fill="auto"/>
            <w:vAlign w:val="center"/>
          </w:tcPr>
          <w:p w14:paraId="7110A955">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default" w:ascii="宋体" w:hAnsi="宋体" w:eastAsia="宋体" w:cs="宋体"/>
                <w:b/>
                <w:bCs/>
                <w:i w:val="0"/>
                <w:color w:val="000000"/>
                <w:kern w:val="0"/>
                <w:sz w:val="24"/>
                <w:szCs w:val="24"/>
                <w:u w:val="none"/>
                <w:lang w:val="en-US" w:eastAsia="zh-CN" w:bidi="ar"/>
              </w:rPr>
              <w:t>KMO</w:t>
            </w:r>
          </w:p>
        </w:tc>
        <w:tc>
          <w:tcPr>
            <w:tcW w:w="525" w:type="pct"/>
            <w:tcBorders>
              <w:top w:val="single" w:color="auto" w:sz="4" w:space="0"/>
              <w:bottom w:val="single" w:color="auto" w:sz="4" w:space="0"/>
            </w:tcBorders>
            <w:shd w:val="clear" w:color="auto" w:fill="auto"/>
            <w:vAlign w:val="center"/>
          </w:tcPr>
          <w:p w14:paraId="3D56011C">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b/>
                <w:bCs/>
                <w:i w:val="0"/>
                <w:color w:val="000000"/>
                <w:kern w:val="0"/>
                <w:sz w:val="24"/>
                <w:szCs w:val="24"/>
                <w:u w:val="none"/>
                <w:lang w:val="en-US" w:eastAsia="zh-CN" w:bidi="ar"/>
              </w:rPr>
            </w:pPr>
            <w:r>
              <w:rPr>
                <w:rFonts w:hint="default" w:ascii="宋体" w:hAnsi="宋体" w:eastAsia="宋体" w:cs="宋体"/>
                <w:b/>
                <w:bCs/>
                <w:i w:val="0"/>
                <w:color w:val="000000"/>
                <w:kern w:val="0"/>
                <w:sz w:val="24"/>
                <w:szCs w:val="24"/>
                <w:u w:val="none"/>
                <w:lang w:val="en-US" w:eastAsia="zh-CN" w:bidi="ar"/>
              </w:rPr>
              <w:t xml:space="preserve">Bartlett </w:t>
            </w:r>
          </w:p>
          <w:p w14:paraId="77BED486">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b/>
                <w:bCs/>
                <w:i w:val="0"/>
                <w:color w:val="000000"/>
                <w:kern w:val="0"/>
                <w:sz w:val="24"/>
                <w:szCs w:val="24"/>
                <w:u w:val="none"/>
                <w:lang w:val="en-US" w:eastAsia="zh-CN" w:bidi="ar"/>
              </w:rPr>
            </w:pPr>
            <w:r>
              <w:rPr>
                <w:rFonts w:hint="default" w:ascii="宋体" w:hAnsi="宋体" w:eastAsia="宋体" w:cs="宋体"/>
                <w:b/>
                <w:bCs/>
                <w:i w:val="0"/>
                <w:color w:val="000000"/>
                <w:kern w:val="0"/>
                <w:sz w:val="24"/>
                <w:szCs w:val="24"/>
                <w:u w:val="none"/>
                <w:lang w:val="en-US" w:eastAsia="zh-CN" w:bidi="ar"/>
              </w:rPr>
              <w:t>spherical test χ2 values</w:t>
            </w:r>
          </w:p>
          <w:p w14:paraId="6EFBBC53">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p>
        </w:tc>
      </w:tr>
      <w:tr w14:paraId="5ED48F2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95" w:type="pct"/>
            <w:vMerge w:val="restart"/>
            <w:tcBorders>
              <w:top w:val="single" w:color="auto" w:sz="4" w:space="0"/>
            </w:tcBorders>
            <w:shd w:val="clear" w:color="auto" w:fill="auto"/>
            <w:vAlign w:val="center"/>
          </w:tcPr>
          <w:p w14:paraId="69121E1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8"/>
                <w:szCs w:val="18"/>
                <w:u w:val="none"/>
              </w:rPr>
            </w:pPr>
            <w:r>
              <w:rPr>
                <w:rFonts w:hint="default" w:ascii="宋体" w:hAnsi="宋体" w:eastAsia="宋体" w:cs="宋体"/>
                <w:b/>
                <w:bCs/>
                <w:i w:val="0"/>
                <w:color w:val="000000"/>
                <w:kern w:val="0"/>
                <w:sz w:val="24"/>
                <w:szCs w:val="24"/>
                <w:u w:val="none"/>
                <w:lang w:val="en-US" w:eastAsia="zh-CN" w:bidi="ar"/>
              </w:rPr>
              <w:t xml:space="preserve">The awareness of Chinese urologists regarding erectile dysfunction following radical prostatectomy for prostate cancer </w:t>
            </w:r>
          </w:p>
        </w:tc>
        <w:tc>
          <w:tcPr>
            <w:tcW w:w="1772" w:type="pct"/>
            <w:tcBorders>
              <w:top w:val="single" w:color="auto" w:sz="4" w:space="0"/>
            </w:tcBorders>
            <w:shd w:val="clear" w:color="auto" w:fill="auto"/>
            <w:vAlign w:val="bottom"/>
          </w:tcPr>
          <w:p w14:paraId="0DBEB426">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w:t>
            </w:r>
            <w:r>
              <w:rPr>
                <w:rFonts w:hint="default" w:ascii="Arial" w:hAnsi="Arial" w:eastAsia="宋体" w:cs="Arial"/>
                <w:i w:val="0"/>
                <w:iCs w:val="0"/>
                <w:color w:val="000000"/>
                <w:kern w:val="0"/>
                <w:sz w:val="20"/>
                <w:szCs w:val="20"/>
                <w:u w:val="none"/>
                <w:lang w:val="en-US" w:eastAsia="zh-CN" w:bidi="ar"/>
              </w:rPr>
              <w:t xml:space="preserve">Do you </w:t>
            </w:r>
            <w:r>
              <w:rPr>
                <w:rFonts w:hint="eastAsia" w:ascii="Arial" w:hAnsi="Arial" w:eastAsia="宋体" w:cs="Arial"/>
                <w:i w:val="0"/>
                <w:iCs w:val="0"/>
                <w:color w:val="000000"/>
                <w:kern w:val="0"/>
                <w:sz w:val="20"/>
                <w:szCs w:val="20"/>
                <w:u w:val="none"/>
                <w:lang w:val="en-US" w:eastAsia="zh-CN" w:bidi="ar"/>
              </w:rPr>
              <w:t>know</w:t>
            </w:r>
            <w:r>
              <w:rPr>
                <w:rFonts w:hint="default" w:ascii="Arial" w:hAnsi="Arial" w:eastAsia="宋体" w:cs="Arial"/>
                <w:i w:val="0"/>
                <w:iCs w:val="0"/>
                <w:color w:val="000000"/>
                <w:kern w:val="0"/>
                <w:sz w:val="20"/>
                <w:szCs w:val="20"/>
                <w:u w:val="none"/>
                <w:lang w:val="en-US" w:eastAsia="zh-CN" w:bidi="ar"/>
              </w:rPr>
              <w:t xml:space="preserve"> the definition of erectile dysfunction?</w:t>
            </w:r>
          </w:p>
        </w:tc>
        <w:tc>
          <w:tcPr>
            <w:tcW w:w="655" w:type="pct"/>
            <w:tcBorders>
              <w:top w:val="single" w:color="auto" w:sz="4" w:space="0"/>
            </w:tcBorders>
            <w:shd w:val="clear" w:color="auto" w:fill="auto"/>
            <w:vAlign w:val="center"/>
          </w:tcPr>
          <w:p w14:paraId="7008BD7F">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0.71</w:t>
            </w:r>
          </w:p>
        </w:tc>
        <w:tc>
          <w:tcPr>
            <w:tcW w:w="490" w:type="pct"/>
            <w:vMerge w:val="restart"/>
            <w:tcBorders>
              <w:top w:val="single" w:color="auto" w:sz="4" w:space="0"/>
            </w:tcBorders>
            <w:shd w:val="clear" w:color="auto" w:fill="auto"/>
            <w:vAlign w:val="center"/>
          </w:tcPr>
          <w:p w14:paraId="4F1C7715">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eastAsia="zh-CN"/>
              </w:rPr>
            </w:pPr>
            <w:r>
              <w:rPr>
                <w:rFonts w:hint="default" w:ascii="宋体" w:hAnsi="宋体" w:eastAsia="宋体" w:cs="宋体"/>
                <w:i w:val="0"/>
                <w:color w:val="000000"/>
                <w:sz w:val="21"/>
                <w:szCs w:val="21"/>
                <w:u w:val="none"/>
              </w:rPr>
              <w:t>0</w:t>
            </w:r>
            <w:r>
              <w:rPr>
                <w:rFonts w:hint="eastAsia" w:ascii="宋体" w:hAnsi="宋体" w:eastAsia="宋体" w:cs="宋体"/>
                <w:i w:val="0"/>
                <w:color w:val="000000"/>
                <w:sz w:val="21"/>
                <w:szCs w:val="21"/>
                <w:u w:val="none"/>
                <w:lang w:eastAsia="zh-CN"/>
              </w:rPr>
              <w:t>.</w:t>
            </w:r>
            <w:r>
              <w:rPr>
                <w:rFonts w:hint="eastAsia" w:ascii="宋体" w:hAnsi="宋体" w:eastAsia="宋体" w:cs="宋体"/>
                <w:i w:val="0"/>
                <w:color w:val="000000"/>
                <w:sz w:val="21"/>
                <w:szCs w:val="21"/>
                <w:u w:val="none"/>
                <w:lang w:val="en-US" w:eastAsia="zh-CN"/>
              </w:rPr>
              <w:t>92</w:t>
            </w:r>
          </w:p>
        </w:tc>
        <w:tc>
          <w:tcPr>
            <w:tcW w:w="160" w:type="pct"/>
            <w:vMerge w:val="restart"/>
            <w:tcBorders>
              <w:top w:val="single" w:color="auto" w:sz="4" w:space="0"/>
            </w:tcBorders>
            <w:shd w:val="clear" w:color="auto" w:fill="auto"/>
            <w:vAlign w:val="center"/>
          </w:tcPr>
          <w:p w14:paraId="6C811A26">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0.91</w:t>
            </w:r>
          </w:p>
        </w:tc>
        <w:tc>
          <w:tcPr>
            <w:tcW w:w="525" w:type="pct"/>
            <w:vMerge w:val="restart"/>
            <w:tcBorders>
              <w:top w:val="single" w:color="auto" w:sz="4" w:space="0"/>
            </w:tcBorders>
            <w:shd w:val="clear" w:color="auto" w:fill="auto"/>
            <w:vAlign w:val="center"/>
          </w:tcPr>
          <w:p w14:paraId="05800E1A">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rPr>
            </w:pPr>
            <w:r>
              <w:rPr>
                <w:rFonts w:hint="default" w:ascii="宋体" w:hAnsi="宋体" w:eastAsia="宋体" w:cs="宋体"/>
                <w:i w:val="0"/>
                <w:color w:val="000000"/>
                <w:sz w:val="21"/>
                <w:szCs w:val="21"/>
                <w:u w:val="none"/>
              </w:rPr>
              <w:t>5360.308</w:t>
            </w:r>
          </w:p>
          <w:p w14:paraId="0D1CDE65">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rPr>
            </w:pPr>
          </w:p>
        </w:tc>
      </w:tr>
      <w:tr w14:paraId="4C75ADB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37DE63F9">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color w:val="000000"/>
                <w:sz w:val="18"/>
                <w:szCs w:val="18"/>
                <w:u w:val="none"/>
              </w:rPr>
            </w:pPr>
          </w:p>
        </w:tc>
        <w:tc>
          <w:tcPr>
            <w:tcW w:w="1772" w:type="pct"/>
            <w:shd w:val="clear" w:color="auto" w:fill="auto"/>
            <w:vAlign w:val="bottom"/>
          </w:tcPr>
          <w:p w14:paraId="5425FE73">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2.</w:t>
            </w:r>
            <w:r>
              <w:rPr>
                <w:rFonts w:hint="default" w:ascii="Arial" w:hAnsi="Arial" w:eastAsia="宋体" w:cs="Arial"/>
                <w:i w:val="0"/>
                <w:iCs w:val="0"/>
                <w:color w:val="000000"/>
                <w:kern w:val="0"/>
                <w:sz w:val="20"/>
                <w:szCs w:val="20"/>
                <w:u w:val="none"/>
                <w:lang w:val="en-US" w:eastAsia="zh-CN" w:bidi="ar"/>
              </w:rPr>
              <w:t>Are you familiar with the International Index of Erectile Function (IIEF) for evaluating erectile function?</w:t>
            </w:r>
          </w:p>
        </w:tc>
        <w:tc>
          <w:tcPr>
            <w:tcW w:w="655" w:type="pct"/>
            <w:shd w:val="clear" w:color="auto" w:fill="auto"/>
            <w:vAlign w:val="center"/>
          </w:tcPr>
          <w:p w14:paraId="5E671B1C">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0.81</w:t>
            </w:r>
          </w:p>
        </w:tc>
        <w:tc>
          <w:tcPr>
            <w:tcW w:w="490" w:type="pct"/>
            <w:vMerge w:val="continue"/>
            <w:shd w:val="clear" w:color="auto" w:fill="auto"/>
            <w:vAlign w:val="center"/>
          </w:tcPr>
          <w:p w14:paraId="76C8A9E0">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55C78FDC">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5BC3CE15">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7936C3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39A48169">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2E1C02D9">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3.</w:t>
            </w:r>
            <w:r>
              <w:rPr>
                <w:rFonts w:hint="default" w:ascii="Arial" w:hAnsi="Arial" w:eastAsia="宋体" w:cs="Arial"/>
                <w:i w:val="0"/>
                <w:iCs w:val="0"/>
                <w:color w:val="000000"/>
                <w:kern w:val="0"/>
                <w:sz w:val="20"/>
                <w:szCs w:val="20"/>
                <w:u w:val="none"/>
                <w:lang w:val="en-US" w:eastAsia="zh-CN" w:bidi="ar"/>
              </w:rPr>
              <w:t>Are you familiar with the guidelines for the diagnosis and treatment of erectile dysfunction?</w:t>
            </w:r>
          </w:p>
        </w:tc>
        <w:tc>
          <w:tcPr>
            <w:tcW w:w="655" w:type="pct"/>
            <w:shd w:val="clear" w:color="auto" w:fill="auto"/>
            <w:vAlign w:val="center"/>
          </w:tcPr>
          <w:p w14:paraId="7A199586">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0.81</w:t>
            </w:r>
          </w:p>
        </w:tc>
        <w:tc>
          <w:tcPr>
            <w:tcW w:w="490" w:type="pct"/>
            <w:vMerge w:val="continue"/>
            <w:shd w:val="clear" w:color="auto" w:fill="auto"/>
            <w:vAlign w:val="center"/>
          </w:tcPr>
          <w:p w14:paraId="75586B43">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06B49DA5">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6F4BD149">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50133A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5AC8060A">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0C2BC66D">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4.Do</w:t>
            </w:r>
            <w:r>
              <w:rPr>
                <w:rFonts w:hint="default" w:ascii="Arial" w:hAnsi="Arial" w:eastAsia="宋体" w:cs="Arial"/>
                <w:i w:val="0"/>
                <w:iCs w:val="0"/>
                <w:color w:val="000000"/>
                <w:kern w:val="0"/>
                <w:sz w:val="20"/>
                <w:szCs w:val="20"/>
                <w:u w:val="none"/>
                <w:lang w:val="en-US" w:eastAsia="zh-CN" w:bidi="ar"/>
              </w:rPr>
              <w:t xml:space="preserve"> you </w:t>
            </w:r>
            <w:r>
              <w:rPr>
                <w:rFonts w:hint="eastAsia" w:ascii="Arial" w:hAnsi="Arial" w:eastAsia="宋体" w:cs="Arial"/>
                <w:i w:val="0"/>
                <w:iCs w:val="0"/>
                <w:color w:val="000000"/>
                <w:kern w:val="0"/>
                <w:sz w:val="20"/>
                <w:szCs w:val="20"/>
                <w:u w:val="none"/>
                <w:lang w:val="en-US" w:eastAsia="zh-CN" w:bidi="ar"/>
              </w:rPr>
              <w:t>know</w:t>
            </w:r>
            <w:r>
              <w:rPr>
                <w:rFonts w:hint="default" w:ascii="Arial" w:hAnsi="Arial" w:eastAsia="宋体" w:cs="Arial"/>
                <w:i w:val="0"/>
                <w:iCs w:val="0"/>
                <w:color w:val="000000"/>
                <w:kern w:val="0"/>
                <w:sz w:val="20"/>
                <w:szCs w:val="20"/>
                <w:u w:val="none"/>
                <w:lang w:val="en-US" w:eastAsia="zh-CN" w:bidi="ar"/>
              </w:rPr>
              <w:t xml:space="preserve"> that Nocturnal Penile Tumescence and Rigidity (NPTR) monitoring is considered the gold standard for diagnosing organic erectile dysfunction?</w:t>
            </w:r>
          </w:p>
        </w:tc>
        <w:tc>
          <w:tcPr>
            <w:tcW w:w="655" w:type="pct"/>
            <w:shd w:val="clear" w:color="auto" w:fill="auto"/>
            <w:vAlign w:val="center"/>
          </w:tcPr>
          <w:p w14:paraId="2DC15654">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0.78</w:t>
            </w:r>
          </w:p>
        </w:tc>
        <w:tc>
          <w:tcPr>
            <w:tcW w:w="490" w:type="pct"/>
            <w:vMerge w:val="continue"/>
            <w:shd w:val="clear" w:color="auto" w:fill="auto"/>
            <w:vAlign w:val="center"/>
          </w:tcPr>
          <w:p w14:paraId="4EC99EC3">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54C9E9D6">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03FA99E2">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36415A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4A6B6D3F">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0837A946">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5.Do</w:t>
            </w:r>
            <w:r>
              <w:rPr>
                <w:rFonts w:hint="default" w:ascii="Arial" w:hAnsi="Arial" w:eastAsia="宋体" w:cs="Arial"/>
                <w:i w:val="0"/>
                <w:iCs w:val="0"/>
                <w:color w:val="000000"/>
                <w:kern w:val="0"/>
                <w:sz w:val="20"/>
                <w:szCs w:val="20"/>
                <w:u w:val="none"/>
                <w:lang w:val="en-US" w:eastAsia="zh-CN" w:bidi="ar"/>
              </w:rPr>
              <w:t xml:space="preserve"> you </w:t>
            </w:r>
            <w:r>
              <w:rPr>
                <w:rFonts w:hint="eastAsia" w:ascii="Arial" w:hAnsi="Arial" w:eastAsia="宋体" w:cs="Arial"/>
                <w:i w:val="0"/>
                <w:iCs w:val="0"/>
                <w:color w:val="000000"/>
                <w:kern w:val="0"/>
                <w:sz w:val="20"/>
                <w:szCs w:val="20"/>
                <w:u w:val="none"/>
                <w:lang w:val="en-US" w:eastAsia="zh-CN" w:bidi="ar"/>
              </w:rPr>
              <w:t>know</w:t>
            </w:r>
            <w:r>
              <w:rPr>
                <w:rFonts w:hint="default" w:ascii="Arial" w:hAnsi="Arial" w:eastAsia="宋体" w:cs="Arial"/>
                <w:i w:val="0"/>
                <w:iCs w:val="0"/>
                <w:color w:val="000000"/>
                <w:kern w:val="0"/>
                <w:sz w:val="20"/>
                <w:szCs w:val="20"/>
                <w:u w:val="none"/>
                <w:lang w:val="en-US" w:eastAsia="zh-CN" w:bidi="ar"/>
              </w:rPr>
              <w:t xml:space="preserve"> that radical prostatectomy can lead to erectile dysfunction in men?</w:t>
            </w:r>
          </w:p>
        </w:tc>
        <w:tc>
          <w:tcPr>
            <w:tcW w:w="655" w:type="pct"/>
            <w:shd w:val="clear" w:color="auto" w:fill="auto"/>
            <w:vAlign w:val="center"/>
          </w:tcPr>
          <w:p w14:paraId="6F66A465">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0.66</w:t>
            </w:r>
          </w:p>
        </w:tc>
        <w:tc>
          <w:tcPr>
            <w:tcW w:w="490" w:type="pct"/>
            <w:vMerge w:val="continue"/>
            <w:shd w:val="clear" w:color="auto" w:fill="auto"/>
            <w:vAlign w:val="center"/>
          </w:tcPr>
          <w:p w14:paraId="2490DC0E">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2A7555C1">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7D46BB97">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1BED19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4D6DF6C2">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7967C4F3">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6.Do</w:t>
            </w:r>
            <w:r>
              <w:rPr>
                <w:rFonts w:hint="default" w:ascii="Arial" w:hAnsi="Arial" w:eastAsia="宋体" w:cs="Arial"/>
                <w:i w:val="0"/>
                <w:iCs w:val="0"/>
                <w:color w:val="000000"/>
                <w:kern w:val="0"/>
                <w:sz w:val="20"/>
                <w:szCs w:val="20"/>
                <w:u w:val="none"/>
                <w:lang w:val="en-US" w:eastAsia="zh-CN" w:bidi="ar"/>
              </w:rPr>
              <w:t xml:space="preserve"> you </w:t>
            </w:r>
            <w:r>
              <w:rPr>
                <w:rFonts w:hint="eastAsia" w:ascii="Arial" w:hAnsi="Arial" w:eastAsia="宋体" w:cs="Arial"/>
                <w:i w:val="0"/>
                <w:iCs w:val="0"/>
                <w:color w:val="000000"/>
                <w:kern w:val="0"/>
                <w:sz w:val="20"/>
                <w:szCs w:val="20"/>
                <w:u w:val="none"/>
                <w:lang w:val="en-US" w:eastAsia="zh-CN" w:bidi="ar"/>
              </w:rPr>
              <w:t>know</w:t>
            </w:r>
            <w:r>
              <w:rPr>
                <w:rFonts w:hint="default" w:ascii="Arial" w:hAnsi="Arial" w:eastAsia="宋体" w:cs="Arial"/>
                <w:i w:val="0"/>
                <w:iCs w:val="0"/>
                <w:color w:val="000000"/>
                <w:kern w:val="0"/>
                <w:sz w:val="20"/>
                <w:szCs w:val="20"/>
                <w:u w:val="none"/>
                <w:lang w:val="en-US" w:eastAsia="zh-CN" w:bidi="ar"/>
              </w:rPr>
              <w:t xml:space="preserve"> that erectile dysfunction following radical prostatectomy can be intervened and treated early on?</w:t>
            </w:r>
          </w:p>
        </w:tc>
        <w:tc>
          <w:tcPr>
            <w:tcW w:w="655" w:type="pct"/>
            <w:shd w:val="clear" w:color="auto" w:fill="auto"/>
            <w:vAlign w:val="center"/>
          </w:tcPr>
          <w:p w14:paraId="7A89F014">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0.72</w:t>
            </w:r>
          </w:p>
        </w:tc>
        <w:tc>
          <w:tcPr>
            <w:tcW w:w="490" w:type="pct"/>
            <w:vMerge w:val="continue"/>
            <w:shd w:val="clear" w:color="auto" w:fill="auto"/>
            <w:vAlign w:val="center"/>
          </w:tcPr>
          <w:p w14:paraId="1361CBD2">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580C8BA1">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060CE679">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000BB6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59DEBA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8"/>
                <w:szCs w:val="18"/>
                <w:u w:val="none"/>
              </w:rPr>
            </w:pPr>
          </w:p>
        </w:tc>
        <w:tc>
          <w:tcPr>
            <w:tcW w:w="1772" w:type="pct"/>
            <w:shd w:val="clear" w:color="auto" w:fill="auto"/>
            <w:vAlign w:val="bottom"/>
          </w:tcPr>
          <w:p w14:paraId="701C0966">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7.</w:t>
            </w:r>
            <w:r>
              <w:rPr>
                <w:rFonts w:hint="default" w:ascii="Arial" w:hAnsi="Arial" w:eastAsia="宋体" w:cs="Arial"/>
                <w:i w:val="0"/>
                <w:iCs w:val="0"/>
                <w:color w:val="000000"/>
                <w:kern w:val="0"/>
                <w:sz w:val="20"/>
                <w:szCs w:val="20"/>
                <w:u w:val="none"/>
                <w:lang w:val="en-US" w:eastAsia="zh-CN" w:bidi="ar"/>
              </w:rPr>
              <w:t>Are you familiar with the concept of the 'triple aim' in prostate cancer treatment, which prioritizes tumor control, followed by urinary control, and then sexual function control?</w:t>
            </w:r>
          </w:p>
        </w:tc>
        <w:tc>
          <w:tcPr>
            <w:tcW w:w="655" w:type="pct"/>
            <w:shd w:val="clear" w:color="auto" w:fill="auto"/>
            <w:vAlign w:val="center"/>
          </w:tcPr>
          <w:p w14:paraId="7702A63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0.58</w:t>
            </w:r>
          </w:p>
        </w:tc>
        <w:tc>
          <w:tcPr>
            <w:tcW w:w="490" w:type="pct"/>
            <w:vMerge w:val="continue"/>
            <w:shd w:val="clear" w:color="auto" w:fill="auto"/>
            <w:vAlign w:val="center"/>
          </w:tcPr>
          <w:p w14:paraId="5DA39AE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1C0F1A8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70D154F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r>
      <w:tr w14:paraId="0D8653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06CECE3B">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color w:val="000000"/>
                <w:sz w:val="18"/>
                <w:szCs w:val="18"/>
                <w:u w:val="none"/>
              </w:rPr>
            </w:pPr>
          </w:p>
        </w:tc>
        <w:tc>
          <w:tcPr>
            <w:tcW w:w="1772" w:type="pct"/>
            <w:shd w:val="clear" w:color="auto" w:fill="auto"/>
            <w:vAlign w:val="bottom"/>
          </w:tcPr>
          <w:p w14:paraId="5AD742F3">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8.Do</w:t>
            </w:r>
            <w:r>
              <w:rPr>
                <w:rFonts w:hint="default" w:ascii="Arial" w:hAnsi="Arial" w:eastAsia="宋体" w:cs="Arial"/>
                <w:i w:val="0"/>
                <w:iCs w:val="0"/>
                <w:color w:val="000000"/>
                <w:kern w:val="0"/>
                <w:sz w:val="20"/>
                <w:szCs w:val="20"/>
                <w:u w:val="none"/>
                <w:lang w:val="en-US" w:eastAsia="zh-CN" w:bidi="ar"/>
              </w:rPr>
              <w:t xml:space="preserve"> you </w:t>
            </w:r>
            <w:r>
              <w:rPr>
                <w:rFonts w:hint="eastAsia" w:ascii="Arial" w:hAnsi="Arial" w:eastAsia="宋体" w:cs="Arial"/>
                <w:i w:val="0"/>
                <w:iCs w:val="0"/>
                <w:color w:val="000000"/>
                <w:kern w:val="0"/>
                <w:sz w:val="20"/>
                <w:szCs w:val="20"/>
                <w:u w:val="none"/>
                <w:lang w:val="en-US" w:eastAsia="zh-CN" w:bidi="ar"/>
              </w:rPr>
              <w:t>know</w:t>
            </w:r>
            <w:r>
              <w:rPr>
                <w:rFonts w:hint="default" w:ascii="Arial" w:hAnsi="Arial" w:eastAsia="宋体" w:cs="Arial"/>
                <w:i w:val="0"/>
                <w:iCs w:val="0"/>
                <w:color w:val="000000"/>
                <w:kern w:val="0"/>
                <w:sz w:val="20"/>
                <w:szCs w:val="20"/>
                <w:u w:val="none"/>
                <w:lang w:val="en-US" w:eastAsia="zh-CN" w:bidi="ar"/>
              </w:rPr>
              <w:t xml:space="preserve"> the value of preserving the neurovascular bundles during radical prostatectomy for maintaining patients' sexual function?</w:t>
            </w:r>
          </w:p>
        </w:tc>
        <w:tc>
          <w:tcPr>
            <w:tcW w:w="655" w:type="pct"/>
            <w:shd w:val="clear" w:color="auto" w:fill="auto"/>
            <w:vAlign w:val="center"/>
          </w:tcPr>
          <w:p w14:paraId="55C68B29">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0.62</w:t>
            </w:r>
          </w:p>
        </w:tc>
        <w:tc>
          <w:tcPr>
            <w:tcW w:w="490" w:type="pct"/>
            <w:vMerge w:val="continue"/>
            <w:shd w:val="clear" w:color="auto" w:fill="auto"/>
            <w:vAlign w:val="center"/>
          </w:tcPr>
          <w:p w14:paraId="1A79A2E1">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5BD98BB9">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75F693F4">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08F2D2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4B2B5245">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5047E8A4">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9.Do</w:t>
            </w:r>
            <w:r>
              <w:rPr>
                <w:rFonts w:hint="default" w:ascii="Arial" w:hAnsi="Arial" w:eastAsia="宋体" w:cs="Arial"/>
                <w:i w:val="0"/>
                <w:iCs w:val="0"/>
                <w:color w:val="000000"/>
                <w:kern w:val="0"/>
                <w:sz w:val="20"/>
                <w:szCs w:val="20"/>
                <w:u w:val="none"/>
                <w:lang w:val="en-US" w:eastAsia="zh-CN" w:bidi="ar"/>
              </w:rPr>
              <w:t xml:space="preserve"> you </w:t>
            </w:r>
            <w:r>
              <w:rPr>
                <w:rFonts w:hint="eastAsia" w:ascii="Arial" w:hAnsi="Arial" w:eastAsia="宋体" w:cs="Arial"/>
                <w:i w:val="0"/>
                <w:iCs w:val="0"/>
                <w:color w:val="000000"/>
                <w:kern w:val="0"/>
                <w:sz w:val="20"/>
                <w:szCs w:val="20"/>
                <w:u w:val="none"/>
                <w:lang w:val="en-US" w:eastAsia="zh-CN" w:bidi="ar"/>
              </w:rPr>
              <w:t>know</w:t>
            </w:r>
            <w:r>
              <w:rPr>
                <w:rFonts w:hint="default" w:ascii="Arial" w:hAnsi="Arial" w:eastAsia="宋体" w:cs="Arial"/>
                <w:i w:val="0"/>
                <w:iCs w:val="0"/>
                <w:color w:val="000000"/>
                <w:kern w:val="0"/>
                <w:sz w:val="20"/>
                <w:szCs w:val="20"/>
                <w:u w:val="none"/>
                <w:lang w:val="en-US" w:eastAsia="zh-CN" w:bidi="ar"/>
              </w:rPr>
              <w:t xml:space="preserve"> that phosphodiesterase type 5 inhibitors (PDE5i), vacuum constriction devices, or intracavernosal drug injections can be used to treat erectile dysfunction following radical prostatectomy for prostate cancer?</w:t>
            </w:r>
          </w:p>
        </w:tc>
        <w:tc>
          <w:tcPr>
            <w:tcW w:w="655" w:type="pct"/>
            <w:shd w:val="clear" w:color="auto" w:fill="auto"/>
            <w:vAlign w:val="center"/>
          </w:tcPr>
          <w:p w14:paraId="17165DDB">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0.77</w:t>
            </w:r>
          </w:p>
        </w:tc>
        <w:tc>
          <w:tcPr>
            <w:tcW w:w="490" w:type="pct"/>
            <w:vMerge w:val="continue"/>
            <w:shd w:val="clear" w:color="auto" w:fill="auto"/>
            <w:vAlign w:val="center"/>
          </w:tcPr>
          <w:p w14:paraId="691F5144">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14ED8BD2">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1F9018DB">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14EFDA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79AC19D4">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76BCF54F">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10.Do</w:t>
            </w:r>
            <w:r>
              <w:rPr>
                <w:rFonts w:hint="default" w:ascii="Arial" w:hAnsi="Arial" w:eastAsia="宋体" w:cs="Arial"/>
                <w:i w:val="0"/>
                <w:iCs w:val="0"/>
                <w:color w:val="000000"/>
                <w:kern w:val="0"/>
                <w:sz w:val="20"/>
                <w:szCs w:val="20"/>
                <w:u w:val="none"/>
                <w:lang w:val="en-US" w:eastAsia="zh-CN" w:bidi="ar"/>
              </w:rPr>
              <w:t xml:space="preserve"> you </w:t>
            </w:r>
            <w:r>
              <w:rPr>
                <w:rFonts w:hint="eastAsia" w:ascii="Arial" w:hAnsi="Arial" w:eastAsia="宋体" w:cs="Arial"/>
                <w:i w:val="0"/>
                <w:iCs w:val="0"/>
                <w:color w:val="000000"/>
                <w:kern w:val="0"/>
                <w:sz w:val="20"/>
                <w:szCs w:val="20"/>
                <w:u w:val="none"/>
                <w:lang w:val="en-US" w:eastAsia="zh-CN" w:bidi="ar"/>
              </w:rPr>
              <w:t>know</w:t>
            </w:r>
            <w:r>
              <w:rPr>
                <w:rFonts w:hint="default" w:ascii="Arial" w:hAnsi="Arial" w:eastAsia="宋体" w:cs="Arial"/>
                <w:i w:val="0"/>
                <w:iCs w:val="0"/>
                <w:color w:val="000000"/>
                <w:kern w:val="0"/>
                <w:sz w:val="20"/>
                <w:szCs w:val="20"/>
                <w:u w:val="none"/>
                <w:lang w:val="en-US" w:eastAsia="zh-CN" w:bidi="ar"/>
              </w:rPr>
              <w:t xml:space="preserve"> that penile prosthesis implantation can be used to treat erectile dysfunction after radical prostatectomy for prostate cancer?</w:t>
            </w:r>
          </w:p>
        </w:tc>
        <w:tc>
          <w:tcPr>
            <w:tcW w:w="655" w:type="pct"/>
            <w:shd w:val="clear" w:color="auto" w:fill="auto"/>
            <w:vAlign w:val="center"/>
          </w:tcPr>
          <w:p w14:paraId="6F2E639E">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0.73</w:t>
            </w:r>
          </w:p>
        </w:tc>
        <w:tc>
          <w:tcPr>
            <w:tcW w:w="490" w:type="pct"/>
            <w:vMerge w:val="continue"/>
            <w:shd w:val="clear" w:color="auto" w:fill="auto"/>
            <w:vAlign w:val="center"/>
          </w:tcPr>
          <w:p w14:paraId="13483748">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29D71B9F">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3B03397B">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581AA9B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restart"/>
            <w:shd w:val="clear" w:color="auto" w:fill="auto"/>
            <w:vAlign w:val="center"/>
          </w:tcPr>
          <w:p w14:paraId="3EDB21E7">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18"/>
                <w:szCs w:val="18"/>
                <w:u w:val="none"/>
                <w:lang w:val="en-US"/>
              </w:rPr>
            </w:pPr>
            <w:r>
              <w:rPr>
                <w:rFonts w:hint="default" w:ascii="宋体" w:hAnsi="宋体" w:eastAsia="宋体" w:cs="宋体"/>
                <w:b/>
                <w:bCs/>
                <w:i w:val="0"/>
                <w:color w:val="000000"/>
                <w:kern w:val="0"/>
                <w:sz w:val="24"/>
                <w:szCs w:val="24"/>
                <w:u w:val="none"/>
                <w:lang w:val="en-US" w:eastAsia="zh-CN" w:bidi="ar"/>
              </w:rPr>
              <w:t xml:space="preserve">The </w:t>
            </w:r>
            <w:r>
              <w:rPr>
                <w:rFonts w:hint="eastAsia" w:ascii="宋体" w:hAnsi="宋体" w:eastAsia="宋体" w:cs="宋体"/>
                <w:b/>
                <w:bCs/>
                <w:i w:val="0"/>
                <w:color w:val="000000"/>
                <w:kern w:val="0"/>
                <w:sz w:val="24"/>
                <w:szCs w:val="24"/>
                <w:u w:val="none"/>
                <w:lang w:val="en-US" w:eastAsia="zh-CN" w:bidi="ar"/>
              </w:rPr>
              <w:t xml:space="preserve">attitude </w:t>
            </w:r>
            <w:r>
              <w:rPr>
                <w:rFonts w:hint="default" w:ascii="宋体" w:hAnsi="宋体" w:eastAsia="宋体" w:cs="宋体"/>
                <w:b/>
                <w:bCs/>
                <w:i w:val="0"/>
                <w:color w:val="000000"/>
                <w:kern w:val="0"/>
                <w:sz w:val="24"/>
                <w:szCs w:val="24"/>
                <w:u w:val="none"/>
                <w:lang w:val="en-US" w:eastAsia="zh-CN" w:bidi="ar"/>
              </w:rPr>
              <w:t xml:space="preserve">of Chinese urologists regarding erectile dysfunction following radical prostatectomy for prostate cancer </w:t>
            </w:r>
          </w:p>
        </w:tc>
        <w:tc>
          <w:tcPr>
            <w:tcW w:w="1772" w:type="pct"/>
            <w:shd w:val="clear" w:color="auto" w:fill="auto"/>
            <w:vAlign w:val="bottom"/>
          </w:tcPr>
          <w:p w14:paraId="1C916116">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11.</w:t>
            </w:r>
            <w:r>
              <w:rPr>
                <w:rFonts w:hint="default" w:ascii="Arial" w:hAnsi="Arial" w:eastAsia="宋体" w:cs="Arial"/>
                <w:i w:val="0"/>
                <w:iCs w:val="0"/>
                <w:color w:val="000000"/>
                <w:kern w:val="0"/>
                <w:sz w:val="20"/>
                <w:szCs w:val="20"/>
                <w:u w:val="none"/>
                <w:lang w:val="en-US" w:eastAsia="zh-CN" w:bidi="ar"/>
              </w:rPr>
              <w:t>In clinical practice, are you interested in providing consultations and answers related to sexual health issues for patients?</w:t>
            </w:r>
          </w:p>
        </w:tc>
        <w:tc>
          <w:tcPr>
            <w:tcW w:w="655" w:type="pct"/>
            <w:shd w:val="clear" w:color="auto" w:fill="auto"/>
            <w:vAlign w:val="center"/>
          </w:tcPr>
          <w:p w14:paraId="48CCBD4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0.68</w:t>
            </w:r>
          </w:p>
        </w:tc>
        <w:tc>
          <w:tcPr>
            <w:tcW w:w="490" w:type="pct"/>
            <w:vMerge w:val="restart"/>
            <w:shd w:val="clear" w:color="auto" w:fill="auto"/>
            <w:vAlign w:val="center"/>
          </w:tcPr>
          <w:p w14:paraId="39466A1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0.62</w:t>
            </w:r>
          </w:p>
        </w:tc>
        <w:tc>
          <w:tcPr>
            <w:tcW w:w="160" w:type="pct"/>
            <w:vMerge w:val="restart"/>
            <w:shd w:val="clear" w:color="auto" w:fill="auto"/>
            <w:vAlign w:val="center"/>
          </w:tcPr>
          <w:p w14:paraId="31FC5848">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0.72</w:t>
            </w:r>
          </w:p>
        </w:tc>
        <w:tc>
          <w:tcPr>
            <w:tcW w:w="525" w:type="pct"/>
            <w:vMerge w:val="restart"/>
            <w:shd w:val="clear" w:color="auto" w:fill="auto"/>
            <w:vAlign w:val="center"/>
          </w:tcPr>
          <w:p w14:paraId="00394E2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sz w:val="21"/>
                <w:szCs w:val="21"/>
                <w:u w:val="none"/>
              </w:rPr>
              <w:t>616.959</w:t>
            </w:r>
          </w:p>
        </w:tc>
      </w:tr>
      <w:tr w14:paraId="1D160A6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09068B40">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6DB81691">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12.</w:t>
            </w:r>
            <w:r>
              <w:rPr>
                <w:rFonts w:hint="default" w:ascii="Arial" w:hAnsi="Arial" w:eastAsia="宋体" w:cs="Arial"/>
                <w:i w:val="0"/>
                <w:iCs w:val="0"/>
                <w:color w:val="000000"/>
                <w:kern w:val="0"/>
                <w:sz w:val="20"/>
                <w:szCs w:val="20"/>
                <w:u w:val="none"/>
                <w:lang w:val="en-US" w:eastAsia="zh-CN" w:bidi="ar"/>
              </w:rPr>
              <w:t>In clinical practice, do you not consider male sexual health issues to be important or a priority condition that needs to be addressed?</w:t>
            </w:r>
          </w:p>
        </w:tc>
        <w:tc>
          <w:tcPr>
            <w:tcW w:w="655" w:type="pct"/>
            <w:shd w:val="clear" w:color="auto" w:fill="auto"/>
            <w:vAlign w:val="center"/>
          </w:tcPr>
          <w:p w14:paraId="396C78E2">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0.07</w:t>
            </w:r>
          </w:p>
        </w:tc>
        <w:tc>
          <w:tcPr>
            <w:tcW w:w="490" w:type="pct"/>
            <w:vMerge w:val="continue"/>
            <w:shd w:val="clear" w:color="auto" w:fill="auto"/>
            <w:vAlign w:val="center"/>
          </w:tcPr>
          <w:p w14:paraId="13F824AA">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1419ED2F">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2C370ADD">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0F5F11F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0A81D8A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8"/>
                <w:szCs w:val="18"/>
                <w:u w:val="none"/>
              </w:rPr>
            </w:pPr>
          </w:p>
        </w:tc>
        <w:tc>
          <w:tcPr>
            <w:tcW w:w="1772" w:type="pct"/>
            <w:shd w:val="clear" w:color="auto" w:fill="auto"/>
            <w:vAlign w:val="bottom"/>
          </w:tcPr>
          <w:p w14:paraId="43237B84">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13.</w:t>
            </w:r>
            <w:r>
              <w:rPr>
                <w:rFonts w:hint="default" w:ascii="Arial" w:hAnsi="Arial" w:eastAsia="宋体" w:cs="Arial"/>
                <w:i w:val="0"/>
                <w:iCs w:val="0"/>
                <w:color w:val="000000"/>
                <w:kern w:val="0"/>
                <w:sz w:val="20"/>
                <w:szCs w:val="20"/>
                <w:u w:val="none"/>
                <w:lang w:val="en-US" w:eastAsia="zh-CN" w:bidi="ar"/>
              </w:rPr>
              <w:t>In clinical practice, would you refer patients who consult on issues related to sexual health to a department specializing in andrology?</w:t>
            </w:r>
          </w:p>
        </w:tc>
        <w:tc>
          <w:tcPr>
            <w:tcW w:w="655" w:type="pct"/>
            <w:shd w:val="clear" w:color="auto" w:fill="auto"/>
            <w:vAlign w:val="center"/>
          </w:tcPr>
          <w:p w14:paraId="78B38B7E">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0.53</w:t>
            </w:r>
          </w:p>
        </w:tc>
        <w:tc>
          <w:tcPr>
            <w:tcW w:w="490" w:type="pct"/>
            <w:vMerge w:val="continue"/>
            <w:shd w:val="clear" w:color="auto" w:fill="auto"/>
            <w:vAlign w:val="center"/>
          </w:tcPr>
          <w:p w14:paraId="4F21C26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60888A9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391D254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r>
      <w:tr w14:paraId="725626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0F523E8A">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color w:val="000000"/>
                <w:sz w:val="18"/>
                <w:szCs w:val="18"/>
                <w:u w:val="none"/>
              </w:rPr>
            </w:pPr>
          </w:p>
        </w:tc>
        <w:tc>
          <w:tcPr>
            <w:tcW w:w="1772" w:type="pct"/>
            <w:shd w:val="clear" w:color="auto" w:fill="auto"/>
            <w:vAlign w:val="bottom"/>
          </w:tcPr>
          <w:p w14:paraId="3F03284E">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14.</w:t>
            </w:r>
            <w:r>
              <w:rPr>
                <w:rFonts w:hint="default" w:ascii="Arial" w:hAnsi="Arial" w:eastAsia="宋体" w:cs="Arial"/>
                <w:i w:val="0"/>
                <w:iCs w:val="0"/>
                <w:color w:val="000000"/>
                <w:kern w:val="0"/>
                <w:sz w:val="20"/>
                <w:szCs w:val="20"/>
                <w:u w:val="none"/>
                <w:lang w:val="en-US" w:eastAsia="zh-CN" w:bidi="ar"/>
              </w:rPr>
              <w:t>When a male is diagnosed with sexual dysfunction, do you believe that it is also necessary to conduct a sexual function screening and inquiry for the spouse as well?</w:t>
            </w:r>
          </w:p>
        </w:tc>
        <w:tc>
          <w:tcPr>
            <w:tcW w:w="655" w:type="pct"/>
            <w:shd w:val="clear" w:color="auto" w:fill="auto"/>
            <w:vAlign w:val="center"/>
          </w:tcPr>
          <w:p w14:paraId="58099799">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w:t>
            </w:r>
          </w:p>
        </w:tc>
        <w:tc>
          <w:tcPr>
            <w:tcW w:w="490" w:type="pct"/>
            <w:vMerge w:val="continue"/>
            <w:shd w:val="clear" w:color="auto" w:fill="auto"/>
            <w:vAlign w:val="center"/>
          </w:tcPr>
          <w:p w14:paraId="0D38F2C8">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471E919C">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086C149A">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07A25D8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475E1042">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0ECBFB5E">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15.</w:t>
            </w:r>
            <w:r>
              <w:rPr>
                <w:rFonts w:hint="default" w:ascii="Arial" w:hAnsi="Arial" w:eastAsia="宋体" w:cs="Arial"/>
                <w:i w:val="0"/>
                <w:iCs w:val="0"/>
                <w:color w:val="000000"/>
                <w:kern w:val="0"/>
                <w:sz w:val="20"/>
                <w:szCs w:val="20"/>
                <w:u w:val="none"/>
                <w:lang w:val="en-US" w:eastAsia="zh-CN" w:bidi="ar"/>
              </w:rPr>
              <w:t>During surgery, would you preserve the neurovascular bundle to protect sexual function, even if there is a possibility of increased surgical time and blood loss</w:t>
            </w:r>
            <w:r>
              <w:rPr>
                <w:rFonts w:hint="eastAsia" w:ascii="Arial" w:hAnsi="Arial" w:eastAsia="宋体" w:cs="Arial"/>
                <w:i w:val="0"/>
                <w:iCs w:val="0"/>
                <w:color w:val="000000"/>
                <w:kern w:val="0"/>
                <w:sz w:val="20"/>
                <w:szCs w:val="20"/>
                <w:u w:val="none"/>
                <w:lang w:val="en-US" w:eastAsia="zh-CN" w:bidi="ar"/>
              </w:rPr>
              <w:t>？</w:t>
            </w:r>
          </w:p>
        </w:tc>
        <w:tc>
          <w:tcPr>
            <w:tcW w:w="655" w:type="pct"/>
            <w:shd w:val="clear" w:color="auto" w:fill="auto"/>
            <w:vAlign w:val="center"/>
          </w:tcPr>
          <w:p w14:paraId="3FFE0552">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0.64</w:t>
            </w:r>
          </w:p>
        </w:tc>
        <w:tc>
          <w:tcPr>
            <w:tcW w:w="490" w:type="pct"/>
            <w:vMerge w:val="continue"/>
            <w:shd w:val="clear" w:color="auto" w:fill="auto"/>
            <w:vAlign w:val="center"/>
          </w:tcPr>
          <w:p w14:paraId="7DAF8B48">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58FE266F">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4AF9D6BA">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00D7E6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restart"/>
            <w:shd w:val="clear" w:color="auto" w:fill="auto"/>
            <w:vAlign w:val="center"/>
          </w:tcPr>
          <w:p w14:paraId="1C4FD39E">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18"/>
                <w:szCs w:val="18"/>
                <w:u w:val="none"/>
                <w:lang w:val="en-US"/>
              </w:rPr>
            </w:pPr>
            <w:r>
              <w:rPr>
                <w:rFonts w:hint="default" w:ascii="宋体" w:hAnsi="宋体" w:eastAsia="宋体" w:cs="宋体"/>
                <w:b/>
                <w:bCs/>
                <w:i w:val="0"/>
                <w:color w:val="000000"/>
                <w:kern w:val="0"/>
                <w:sz w:val="24"/>
                <w:szCs w:val="24"/>
                <w:u w:val="none"/>
                <w:lang w:val="en-US" w:eastAsia="zh-CN" w:bidi="ar"/>
              </w:rPr>
              <w:t xml:space="preserve">The </w:t>
            </w:r>
            <w:r>
              <w:rPr>
                <w:rFonts w:hint="eastAsia" w:ascii="宋体" w:hAnsi="宋体" w:eastAsia="宋体" w:cs="宋体"/>
                <w:b/>
                <w:bCs/>
                <w:i w:val="0"/>
                <w:color w:val="000000"/>
                <w:kern w:val="0"/>
                <w:sz w:val="24"/>
                <w:szCs w:val="24"/>
                <w:u w:val="none"/>
                <w:lang w:val="en-US" w:eastAsia="zh-CN" w:bidi="ar"/>
              </w:rPr>
              <w:t xml:space="preserve">practice </w:t>
            </w:r>
            <w:r>
              <w:rPr>
                <w:rFonts w:hint="default" w:ascii="宋体" w:hAnsi="宋体" w:eastAsia="宋体" w:cs="宋体"/>
                <w:b/>
                <w:bCs/>
                <w:i w:val="0"/>
                <w:color w:val="000000"/>
                <w:kern w:val="0"/>
                <w:sz w:val="24"/>
                <w:szCs w:val="24"/>
                <w:u w:val="none"/>
                <w:lang w:val="en-US" w:eastAsia="zh-CN" w:bidi="ar"/>
              </w:rPr>
              <w:t xml:space="preserve">of Chinese urologists regarding erectile dysfunction following radical prostatectomy for prostate cancer </w:t>
            </w:r>
          </w:p>
        </w:tc>
        <w:tc>
          <w:tcPr>
            <w:tcW w:w="1772" w:type="pct"/>
            <w:shd w:val="clear" w:color="auto" w:fill="auto"/>
            <w:vAlign w:val="bottom"/>
          </w:tcPr>
          <w:p w14:paraId="1003359A">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16.</w:t>
            </w:r>
            <w:r>
              <w:rPr>
                <w:rFonts w:hint="default" w:ascii="Arial" w:hAnsi="Arial" w:eastAsia="宋体" w:cs="Arial"/>
                <w:i w:val="0"/>
                <w:iCs w:val="0"/>
                <w:color w:val="000000"/>
                <w:kern w:val="0"/>
                <w:sz w:val="20"/>
                <w:szCs w:val="20"/>
                <w:u w:val="none"/>
                <w:lang w:val="en-US" w:eastAsia="zh-CN" w:bidi="ar"/>
              </w:rPr>
              <w:t>Are you familiar with the guidelines for the diagnosis and treatment of erectile dysfunction? Do you practice according to these guidelines in the clinic?</w:t>
            </w:r>
          </w:p>
        </w:tc>
        <w:tc>
          <w:tcPr>
            <w:tcW w:w="655" w:type="pct"/>
            <w:shd w:val="clear" w:color="auto" w:fill="auto"/>
            <w:vAlign w:val="center"/>
          </w:tcPr>
          <w:p w14:paraId="597030A5">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0.58</w:t>
            </w:r>
          </w:p>
        </w:tc>
        <w:tc>
          <w:tcPr>
            <w:tcW w:w="490" w:type="pct"/>
            <w:vMerge w:val="restart"/>
            <w:shd w:val="clear" w:color="auto" w:fill="auto"/>
            <w:vAlign w:val="center"/>
          </w:tcPr>
          <w:p w14:paraId="49102D53">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eastAsia" w:ascii="宋体" w:hAnsi="宋体" w:eastAsia="宋体" w:cs="宋体"/>
                <w:i w:val="0"/>
                <w:color w:val="000000"/>
                <w:kern w:val="0"/>
                <w:sz w:val="21"/>
                <w:szCs w:val="21"/>
                <w:u w:val="none"/>
                <w:lang w:val="en-US" w:eastAsia="zh-CN" w:bidi="ar"/>
              </w:rPr>
              <w:t>0.81</w:t>
            </w:r>
          </w:p>
        </w:tc>
        <w:tc>
          <w:tcPr>
            <w:tcW w:w="160" w:type="pct"/>
            <w:vMerge w:val="restart"/>
            <w:shd w:val="clear" w:color="auto" w:fill="auto"/>
            <w:vAlign w:val="center"/>
          </w:tcPr>
          <w:p w14:paraId="02EA14B1">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0.83</w:t>
            </w:r>
          </w:p>
        </w:tc>
        <w:tc>
          <w:tcPr>
            <w:tcW w:w="525" w:type="pct"/>
            <w:vMerge w:val="restart"/>
            <w:shd w:val="clear" w:color="auto" w:fill="auto"/>
            <w:vAlign w:val="center"/>
          </w:tcPr>
          <w:p w14:paraId="1CF70A2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1542.242</w:t>
            </w:r>
          </w:p>
        </w:tc>
      </w:tr>
      <w:tr w14:paraId="0510A9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075E764F">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076D3C46">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17.</w:t>
            </w:r>
            <w:r>
              <w:rPr>
                <w:rFonts w:hint="default" w:ascii="Arial" w:hAnsi="Arial" w:eastAsia="宋体" w:cs="Arial"/>
                <w:i w:val="0"/>
                <w:iCs w:val="0"/>
                <w:color w:val="000000"/>
                <w:kern w:val="0"/>
                <w:sz w:val="20"/>
                <w:szCs w:val="20"/>
                <w:u w:val="none"/>
                <w:lang w:val="en-US" w:eastAsia="zh-CN" w:bidi="ar"/>
              </w:rPr>
              <w:t>Do you assess the patient's erectile dysfunction before performing radical prostatectomy for prostate cancer?</w:t>
            </w:r>
          </w:p>
        </w:tc>
        <w:tc>
          <w:tcPr>
            <w:tcW w:w="655" w:type="pct"/>
            <w:shd w:val="clear" w:color="auto" w:fill="auto"/>
            <w:vAlign w:val="center"/>
          </w:tcPr>
          <w:p w14:paraId="192A054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0.65</w:t>
            </w:r>
          </w:p>
        </w:tc>
        <w:tc>
          <w:tcPr>
            <w:tcW w:w="490" w:type="pct"/>
            <w:vMerge w:val="continue"/>
            <w:shd w:val="clear" w:color="auto" w:fill="auto"/>
            <w:vAlign w:val="center"/>
          </w:tcPr>
          <w:p w14:paraId="33FD1333">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3E13761F">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71A3322A">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095962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13725317">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2F08DD39">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18.</w:t>
            </w:r>
            <w:r>
              <w:rPr>
                <w:rFonts w:hint="default" w:ascii="Arial" w:hAnsi="Arial" w:eastAsia="宋体" w:cs="Arial"/>
                <w:i w:val="0"/>
                <w:iCs w:val="0"/>
                <w:color w:val="000000"/>
                <w:kern w:val="0"/>
                <w:sz w:val="20"/>
                <w:szCs w:val="20"/>
                <w:u w:val="none"/>
                <w:lang w:val="en-US" w:eastAsia="zh-CN" w:bidi="ar"/>
              </w:rPr>
              <w:t>Do you inform patients of the risk of erectile dysfunction during the preoperative consultation for radical prostatectomy?</w:t>
            </w:r>
          </w:p>
        </w:tc>
        <w:tc>
          <w:tcPr>
            <w:tcW w:w="655" w:type="pct"/>
            <w:shd w:val="clear" w:color="auto" w:fill="auto"/>
            <w:vAlign w:val="center"/>
          </w:tcPr>
          <w:p w14:paraId="145F7715">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0.5</w:t>
            </w:r>
          </w:p>
        </w:tc>
        <w:tc>
          <w:tcPr>
            <w:tcW w:w="490" w:type="pct"/>
            <w:vMerge w:val="continue"/>
            <w:shd w:val="clear" w:color="auto" w:fill="auto"/>
            <w:vAlign w:val="center"/>
          </w:tcPr>
          <w:p w14:paraId="1E2C1E53">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327AE7EA">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0E005F87">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25EE732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2F62EB7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8"/>
                <w:szCs w:val="18"/>
                <w:u w:val="none"/>
              </w:rPr>
            </w:pPr>
          </w:p>
        </w:tc>
        <w:tc>
          <w:tcPr>
            <w:tcW w:w="1772" w:type="pct"/>
            <w:shd w:val="clear" w:color="auto" w:fill="auto"/>
            <w:vAlign w:val="bottom"/>
          </w:tcPr>
          <w:p w14:paraId="75513918">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19.</w:t>
            </w:r>
            <w:r>
              <w:rPr>
                <w:rFonts w:hint="default" w:ascii="Arial" w:hAnsi="Arial" w:eastAsia="宋体" w:cs="Arial"/>
                <w:i w:val="0"/>
                <w:iCs w:val="0"/>
                <w:color w:val="000000"/>
                <w:kern w:val="0"/>
                <w:sz w:val="20"/>
                <w:szCs w:val="20"/>
                <w:u w:val="none"/>
                <w:lang w:val="en-US" w:eastAsia="zh-CN" w:bidi="ar"/>
              </w:rPr>
              <w:t>Do you utilize techniques that preserve the neurovascular bundles of the prostate during radical prostatectomy surgery?</w:t>
            </w:r>
          </w:p>
        </w:tc>
        <w:tc>
          <w:tcPr>
            <w:tcW w:w="655" w:type="pct"/>
            <w:shd w:val="clear" w:color="auto" w:fill="auto"/>
            <w:vAlign w:val="center"/>
          </w:tcPr>
          <w:p w14:paraId="2ED9D777">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w:t>
            </w:r>
          </w:p>
        </w:tc>
        <w:tc>
          <w:tcPr>
            <w:tcW w:w="490" w:type="pct"/>
            <w:vMerge w:val="continue"/>
            <w:shd w:val="clear" w:color="auto" w:fill="auto"/>
            <w:vAlign w:val="center"/>
          </w:tcPr>
          <w:p w14:paraId="161D483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69F7B0E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7958632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21"/>
                <w:szCs w:val="21"/>
                <w:u w:val="none"/>
              </w:rPr>
            </w:pPr>
          </w:p>
        </w:tc>
      </w:tr>
      <w:tr w14:paraId="79E2B8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573C5CF9">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i w:val="0"/>
                <w:color w:val="000000"/>
                <w:sz w:val="18"/>
                <w:szCs w:val="18"/>
                <w:u w:val="none"/>
              </w:rPr>
            </w:pPr>
          </w:p>
        </w:tc>
        <w:tc>
          <w:tcPr>
            <w:tcW w:w="1772" w:type="pct"/>
            <w:shd w:val="clear" w:color="auto" w:fill="auto"/>
            <w:vAlign w:val="bottom"/>
          </w:tcPr>
          <w:p w14:paraId="1B8AE825">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20.</w:t>
            </w:r>
            <w:r>
              <w:rPr>
                <w:rFonts w:hint="default" w:ascii="Arial" w:hAnsi="Arial" w:eastAsia="宋体" w:cs="Arial"/>
                <w:i w:val="0"/>
                <w:iCs w:val="0"/>
                <w:color w:val="000000"/>
                <w:kern w:val="0"/>
                <w:sz w:val="20"/>
                <w:szCs w:val="20"/>
                <w:u w:val="none"/>
                <w:lang w:val="en-US" w:eastAsia="zh-CN" w:bidi="ar"/>
              </w:rPr>
              <w:t>Do you follow up and evaluate patients' sexual function after radical prostatectomy for prostate cancer?</w:t>
            </w:r>
          </w:p>
        </w:tc>
        <w:tc>
          <w:tcPr>
            <w:tcW w:w="655" w:type="pct"/>
            <w:shd w:val="clear" w:color="auto" w:fill="auto"/>
            <w:vAlign w:val="center"/>
          </w:tcPr>
          <w:p w14:paraId="4FC52D80">
            <w:pPr>
              <w:keepNext w:val="0"/>
              <w:keepLines w:val="0"/>
              <w:suppressLineNumbers w:val="0"/>
              <w:spacing w:before="0" w:beforeAutospacing="0" w:after="0" w:afterAutospacing="0"/>
              <w:ind w:left="0" w:right="0"/>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0.71</w:t>
            </w:r>
          </w:p>
        </w:tc>
        <w:tc>
          <w:tcPr>
            <w:tcW w:w="490" w:type="pct"/>
            <w:vMerge w:val="continue"/>
            <w:shd w:val="clear" w:color="auto" w:fill="auto"/>
            <w:vAlign w:val="center"/>
          </w:tcPr>
          <w:p w14:paraId="71FBA623">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7E25B7ED">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5D0EFA72">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5B8387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vMerge w:val="continue"/>
            <w:shd w:val="clear" w:color="auto" w:fill="auto"/>
            <w:vAlign w:val="center"/>
          </w:tcPr>
          <w:p w14:paraId="462C65B2">
            <w:pPr>
              <w:keepNext w:val="0"/>
              <w:keepLines w:val="0"/>
              <w:suppressLineNumbers w:val="0"/>
              <w:spacing w:before="0" w:beforeAutospacing="0" w:after="0" w:afterAutospacing="0"/>
              <w:ind w:left="0" w:right="0"/>
              <w:rPr>
                <w:rFonts w:hint="eastAsia" w:ascii="宋体" w:hAnsi="宋体" w:eastAsia="宋体" w:cs="宋体"/>
                <w:i w:val="0"/>
                <w:color w:val="000000"/>
                <w:sz w:val="18"/>
                <w:szCs w:val="18"/>
                <w:u w:val="none"/>
              </w:rPr>
            </w:pPr>
          </w:p>
        </w:tc>
        <w:tc>
          <w:tcPr>
            <w:tcW w:w="1772" w:type="pct"/>
            <w:shd w:val="clear" w:color="auto" w:fill="auto"/>
            <w:vAlign w:val="bottom"/>
          </w:tcPr>
          <w:p w14:paraId="1D7BC207">
            <w:pPr>
              <w:keepNext w:val="0"/>
              <w:keepLines w:val="0"/>
              <w:widowControl/>
              <w:suppressLineNumbers w:val="0"/>
              <w:jc w:val="left"/>
              <w:textAlignment w:val="bottom"/>
              <w:rPr>
                <w:rFonts w:hint="eastAsia" w:ascii="宋体" w:hAnsi="宋体" w:eastAsia="宋体" w:cs="宋体"/>
                <w:i w:val="0"/>
                <w:color w:val="000000"/>
                <w:sz w:val="21"/>
                <w:szCs w:val="21"/>
                <w:u w:val="none"/>
              </w:rPr>
            </w:pPr>
            <w:r>
              <w:rPr>
                <w:rFonts w:hint="eastAsia" w:ascii="Arial" w:hAnsi="Arial" w:eastAsia="宋体" w:cs="Arial"/>
                <w:i w:val="0"/>
                <w:iCs w:val="0"/>
                <w:color w:val="000000"/>
                <w:kern w:val="0"/>
                <w:sz w:val="20"/>
                <w:szCs w:val="20"/>
                <w:u w:val="none"/>
                <w:lang w:val="en-US" w:eastAsia="zh-CN" w:bidi="ar"/>
              </w:rPr>
              <w:t>21.</w:t>
            </w:r>
            <w:r>
              <w:rPr>
                <w:rFonts w:hint="default" w:ascii="Arial" w:hAnsi="Arial" w:eastAsia="宋体" w:cs="Arial"/>
                <w:i w:val="0"/>
                <w:iCs w:val="0"/>
                <w:color w:val="000000"/>
                <w:kern w:val="0"/>
                <w:sz w:val="20"/>
                <w:szCs w:val="20"/>
                <w:u w:val="none"/>
                <w:lang w:val="en-US" w:eastAsia="zh-CN" w:bidi="ar"/>
              </w:rPr>
              <w:t>After performing radical prostatectomy, do you inform patients that they can be referred to andrology for further evaluation of sexual function?</w:t>
            </w:r>
          </w:p>
        </w:tc>
        <w:tc>
          <w:tcPr>
            <w:tcW w:w="655" w:type="pct"/>
            <w:shd w:val="clear" w:color="auto" w:fill="auto"/>
            <w:vAlign w:val="center"/>
          </w:tcPr>
          <w:p w14:paraId="335F5CD8">
            <w:pPr>
              <w:keepNext w:val="0"/>
              <w:keepLines w:val="0"/>
              <w:widowControl/>
              <w:suppressLineNumbers w:val="0"/>
              <w:tabs>
                <w:tab w:val="left" w:pos="530"/>
              </w:tabs>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0.76</w:t>
            </w:r>
          </w:p>
        </w:tc>
        <w:tc>
          <w:tcPr>
            <w:tcW w:w="490" w:type="pct"/>
            <w:vMerge w:val="continue"/>
            <w:shd w:val="clear" w:color="auto" w:fill="auto"/>
            <w:vAlign w:val="center"/>
          </w:tcPr>
          <w:p w14:paraId="7ABE94B5">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160" w:type="pct"/>
            <w:vMerge w:val="continue"/>
            <w:shd w:val="clear" w:color="auto" w:fill="auto"/>
            <w:vAlign w:val="center"/>
          </w:tcPr>
          <w:p w14:paraId="6703247C">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525" w:type="pct"/>
            <w:vMerge w:val="continue"/>
            <w:shd w:val="clear" w:color="auto" w:fill="auto"/>
            <w:vAlign w:val="center"/>
          </w:tcPr>
          <w:p w14:paraId="433C612D">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r>
      <w:tr w14:paraId="1BBB14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1395" w:type="pct"/>
            <w:tcBorders>
              <w:top w:val="nil"/>
              <w:bottom w:val="single" w:color="auto" w:sz="4" w:space="0"/>
            </w:tcBorders>
            <w:shd w:val="clear" w:color="auto" w:fill="auto"/>
            <w:vAlign w:val="center"/>
          </w:tcPr>
          <w:p w14:paraId="2F3035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1"/>
                <w:szCs w:val="21"/>
                <w:u w:val="none"/>
                <w:lang w:val="en-US" w:eastAsia="zh-CN" w:bidi="ar"/>
              </w:rPr>
              <w:t>Overall Scale</w:t>
            </w:r>
          </w:p>
        </w:tc>
        <w:tc>
          <w:tcPr>
            <w:tcW w:w="1772" w:type="pct"/>
            <w:tcBorders>
              <w:top w:val="nil"/>
              <w:bottom w:val="single" w:color="auto" w:sz="4" w:space="0"/>
            </w:tcBorders>
            <w:shd w:val="clear" w:color="auto" w:fill="auto"/>
            <w:vAlign w:val="center"/>
          </w:tcPr>
          <w:p w14:paraId="4D5D3E81">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655" w:type="pct"/>
            <w:tcBorders>
              <w:top w:val="nil"/>
              <w:bottom w:val="single" w:color="auto" w:sz="4" w:space="0"/>
            </w:tcBorders>
            <w:shd w:val="clear" w:color="auto" w:fill="auto"/>
            <w:vAlign w:val="center"/>
          </w:tcPr>
          <w:p w14:paraId="5EC659EB">
            <w:pPr>
              <w:keepNext w:val="0"/>
              <w:keepLines w:val="0"/>
              <w:suppressLineNumbers w:val="0"/>
              <w:spacing w:before="0" w:beforeAutospacing="0" w:after="0" w:afterAutospacing="0"/>
              <w:ind w:left="0" w:right="0"/>
              <w:rPr>
                <w:rFonts w:hint="eastAsia" w:ascii="宋体" w:hAnsi="宋体" w:eastAsia="宋体" w:cs="宋体"/>
                <w:i w:val="0"/>
                <w:color w:val="000000"/>
                <w:sz w:val="21"/>
                <w:szCs w:val="21"/>
                <w:u w:val="none"/>
              </w:rPr>
            </w:pPr>
          </w:p>
        </w:tc>
        <w:tc>
          <w:tcPr>
            <w:tcW w:w="490" w:type="pct"/>
            <w:tcBorders>
              <w:top w:val="nil"/>
              <w:bottom w:val="single" w:color="auto" w:sz="4" w:space="0"/>
            </w:tcBorders>
            <w:shd w:val="clear" w:color="auto" w:fill="auto"/>
            <w:vAlign w:val="center"/>
          </w:tcPr>
          <w:p w14:paraId="7CEBE772">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0.89</w:t>
            </w:r>
          </w:p>
        </w:tc>
        <w:tc>
          <w:tcPr>
            <w:tcW w:w="160" w:type="pct"/>
            <w:tcBorders>
              <w:top w:val="nil"/>
              <w:bottom w:val="single" w:color="auto" w:sz="4" w:space="0"/>
            </w:tcBorders>
            <w:shd w:val="clear" w:color="auto" w:fill="auto"/>
            <w:vAlign w:val="center"/>
          </w:tcPr>
          <w:p w14:paraId="0760DE3A">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0.93</w:t>
            </w:r>
          </w:p>
        </w:tc>
        <w:tc>
          <w:tcPr>
            <w:tcW w:w="525" w:type="pct"/>
            <w:tcBorders>
              <w:top w:val="nil"/>
              <w:bottom w:val="single" w:color="auto" w:sz="4" w:space="0"/>
            </w:tcBorders>
            <w:shd w:val="clear" w:color="auto" w:fill="auto"/>
            <w:vAlign w:val="center"/>
          </w:tcPr>
          <w:p w14:paraId="244CA864">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i w:val="0"/>
                <w:color w:val="000000"/>
                <w:sz w:val="21"/>
                <w:szCs w:val="21"/>
                <w:u w:val="none"/>
                <w:lang w:val="en-US"/>
              </w:rPr>
            </w:pPr>
            <w:r>
              <w:rPr>
                <w:rFonts w:hint="default" w:ascii="宋体" w:hAnsi="宋体" w:eastAsia="宋体" w:cs="宋体"/>
                <w:i w:val="0"/>
                <w:color w:val="000000"/>
                <w:sz w:val="21"/>
                <w:szCs w:val="21"/>
                <w:u w:val="none"/>
                <w:lang w:val="en-US"/>
              </w:rPr>
              <w:t>9111.765</w:t>
            </w:r>
          </w:p>
        </w:tc>
      </w:tr>
      <w:bookmarkEnd w:id="0"/>
    </w:tbl>
    <w:p w14:paraId="233A7F34">
      <w:pPr>
        <w:tabs>
          <w:tab w:val="left" w:pos="13030"/>
        </w:tabs>
        <w:bidi w:val="0"/>
        <w:jc w:val="left"/>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MmVlZDA2NTllZDZlMDBkYWEyMTE5NzI2MTBiZDkifQ=="/>
  </w:docVars>
  <w:rsids>
    <w:rsidRoot w:val="4DAB572A"/>
    <w:rsid w:val="10325930"/>
    <w:rsid w:val="119F2CCD"/>
    <w:rsid w:val="1D7D7261"/>
    <w:rsid w:val="4DAB572A"/>
    <w:rsid w:val="753816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497</Words>
  <Characters>2982</Characters>
  <Lines>0</Lines>
  <Paragraphs>0</Paragraphs>
  <TotalTime>31</TotalTime>
  <ScaleCrop>false</ScaleCrop>
  <LinksUpToDate>false</LinksUpToDate>
  <CharactersWithSpaces>3417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2024-05-22T04:42:00Z</dcterms:created>
  <dc:creator>去码头整点薯条</dc:creator>
  <cp:lastModifiedBy>去码头整点薯条</cp:lastModifiedBy>
  <dcterms:modified xsi:type="dcterms:W3CDTF">2025-08-18T15:54:30Z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B2DE3A7329EF493992E2E7DBFA36BD96_11</vt:lpwstr>
  </property>
  <property fmtid="{D5CDD505-2E9C-101B-9397-08002B2CF9AE}" pid="4" name="KSOTemplateDocerSaveRecord">
    <vt:lpwstr>eyJoZGlkIjoiZWQyNzZkMzgwNDA4Zjg3M2RlYzk5NzFjNzQ3YzUzODAiLCJ1c2VySWQiOiIxNDg0NDQ1MjA1In0=</vt:lpwstr>
  </property>
</Properties>
</file>