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B56B2">
      <w:pPr>
        <w:rPr>
          <w:rFonts w:hint="eastAsia"/>
        </w:rPr>
      </w:pPr>
      <w:r>
        <w:rPr>
          <w:rFonts w:hint="eastAsia"/>
          <w:b/>
          <w:bCs/>
        </w:rPr>
        <w:t>Sampling Method</w:t>
      </w:r>
      <w:r>
        <w:rPr>
          <w:rFonts w:hint="eastAsia"/>
        </w:rPr>
        <w:t xml:space="preserve"> </w:t>
      </w:r>
    </w:p>
    <w:p w14:paraId="558A28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At present, a comprehensive national registry of licensed physicians is unavailable in China. A </w:t>
      </w:r>
    </w:p>
    <w:p w14:paraId="6AF262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ccording to the China Function Statistics Yearbook (National Function Commission of the Peop </w:t>
      </w:r>
    </w:p>
    <w:p w14:paraId="0FA691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le’s Republic of China; http://www.nhc.gov.cn/), the Eastern region comprises economically deve </w:t>
      </w:r>
    </w:p>
    <w:p w14:paraId="56AA7A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loped provinces, while the Midwest region encompasses less developed regions. Furthermore, ur </w:t>
      </w:r>
    </w:p>
    <w:p w14:paraId="357689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ban areas refer to municipalities directly under the central government and prefecture-level citie </w:t>
      </w:r>
    </w:p>
    <w:p w14:paraId="415B9E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s, whereas rural areas denote counties and county-level cities.Consequently, a two-stage quota s </w:t>
      </w:r>
    </w:p>
    <w:p w14:paraId="0B3678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ampling method was employed to obtain a nationally representative sample. The first stage inv </w:t>
      </w:r>
    </w:p>
    <w:p w14:paraId="79C4A0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olved hospital sampling. Although the national distribution of hospitals favors rural areas at a r </w:t>
      </w:r>
    </w:p>
    <w:p w14:paraId="0D42F1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atio of approximately 4:1 (rural:urban), the vast majority of urologists/andrologists in China pra </w:t>
      </w:r>
    </w:p>
    <w:p w14:paraId="649509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ctice in secondary or tertiary hospitals (China categorizes hospitals as primary, secondary, or te </w:t>
      </w:r>
    </w:p>
    <w:p w14:paraId="1D6BF6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rtiary). Therefore, we selected 150 secondary/tertiary medical centers, based on their geographic </w:t>
      </w:r>
    </w:p>
    <w:p w14:paraId="47D5A6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al distribution (rural/urban ratio ~1:1; Midwest/East ratio ~6:4; source: China Function Statistics </w:t>
      </w:r>
    </w:p>
    <w:p w14:paraId="7E3E88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Yearbook). Specifically, 150 centers registered with the China Sexology Association were rand </w:t>
      </w:r>
    </w:p>
    <w:p w14:paraId="6F009C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>omly chosen: 45 in Midwestern urban areas, 45 in Eastern urban areas, 30 in</w:t>
      </w:r>
      <w:bookmarkStart w:id="0" w:name="_GoBack"/>
      <w:bookmarkEnd w:id="0"/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 Midwestern rura </w:t>
      </w:r>
    </w:p>
    <w:p w14:paraId="43183D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l areas, and 30 in Eastern rural areas.The second stage focused on physician sampling. Within </w:t>
      </w:r>
    </w:p>
    <w:p w14:paraId="6A0998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these 150 hospitals, physicians were invited in proportions reflecting national distribution patter </w:t>
      </w:r>
    </w:p>
    <w:p w14:paraId="0226D3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ns (rural/urban ratio ~5:3; Midwest/East ratio ~9:7; source: China Function Statistics Yearbook). </w:t>
      </w:r>
    </w:p>
    <w:p w14:paraId="440961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 xml:space="preserve">Ultimately, 2683 physicians participated: 837 from Midwestern urban areas, 838 from Eastern </w:t>
      </w:r>
    </w:p>
    <w:p w14:paraId="255BB4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sz w:val="21"/>
          <w:szCs w:val="24"/>
        </w:rPr>
      </w:pPr>
      <w:r>
        <w:rPr>
          <w:rFonts w:hint="default" w:ascii="Times New Roman" w:hAnsi="Times New Roman" w:eastAsia="宋体" w:cs="Times New Roman"/>
          <w:color w:val="191B1F"/>
          <w:kern w:val="0"/>
          <w:sz w:val="20"/>
          <w:szCs w:val="20"/>
          <w:lang w:val="en-US" w:eastAsia="zh-CN" w:bidi="ar"/>
        </w:rPr>
        <w:t>urban areas, 672 from Midwestern rural areas, and 336 from Eastern rural areas.</w:t>
      </w:r>
    </w:p>
    <w:p w14:paraId="1E33A7A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58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2025-07-01T17:54:40Z</dcterms:created>
  <dc:creator>shisa</dc:creator>
  <cp:lastModifiedBy>去码头整点薯条</cp:lastModifiedBy>
  <dcterms:modified xsi:type="dcterms:W3CDTF">2025-07-01T17:56:52Z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eyJoZGlkIjoiZWQyNzZkMzgwNDA4Zjg3M2RlYzk5NzFjNzQ3YzUzODAiLCJ1c2VySWQiOiIxNDg0NDQ1MjA1In0=</vt:lpwstr>
  </property>
  <property fmtid="{D5CDD505-2E9C-101B-9397-08002B2CF9AE}" pid="4" name="ICV">
    <vt:lpwstr>E47B2ABDBE9C45608CD848F04F944A8A_12</vt:lpwstr>
  </property>
</Properties>
</file>