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EF9" w:rsidRDefault="002845C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Table</w:t>
      </w:r>
      <w:r>
        <w:rPr>
          <w:rFonts w:ascii="Times New Roman" w:hAnsi="Times New Roman" w:hint="eastAsia"/>
          <w:b/>
          <w:sz w:val="24"/>
          <w:szCs w:val="24"/>
        </w:rPr>
        <w:t xml:space="preserve"> S1</w:t>
      </w:r>
      <w:r>
        <w:rPr>
          <w:rFonts w:ascii="Times New Roman" w:hAnsi="Times New Roman" w:hint="eastAsia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Comparison of baseline patient characteristics between training and validation sets</w:t>
      </w:r>
      <w:r>
        <w:rPr>
          <w:rFonts w:ascii="Times New Roman" w:hAnsi="Times New Roman" w:hint="eastAsia"/>
          <w:sz w:val="24"/>
          <w:szCs w:val="24"/>
        </w:rPr>
        <w:t>.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71"/>
        <w:gridCol w:w="1739"/>
        <w:gridCol w:w="1739"/>
        <w:gridCol w:w="1739"/>
        <w:gridCol w:w="1034"/>
      </w:tblGrid>
      <w:tr w:rsidR="00A61EF9">
        <w:trPr>
          <w:trHeight w:val="454"/>
          <w:tblHeader/>
        </w:trPr>
        <w:tc>
          <w:tcPr>
            <w:tcW w:w="3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61EF9" w:rsidRDefault="002845CD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</w:rPr>
              <w:t>Variable</w:t>
            </w:r>
            <w:r>
              <w:rPr>
                <w:rFonts w:hint="eastAsia"/>
                <w:b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61EF9" w:rsidRDefault="002845CD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</w:rPr>
              <w:t>Overall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61EF9" w:rsidRDefault="002845CD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</w:rPr>
              <w:t>Training set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61EF9" w:rsidRDefault="002845CD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</w:rPr>
              <w:t>Validation set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61EF9" w:rsidRDefault="002845CD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b/>
                <w:color w:val="000000"/>
                <w:kern w:val="0"/>
                <w:sz w:val="24"/>
                <w:szCs w:val="24"/>
              </w:rPr>
              <w:t>-value</w:t>
            </w: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220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154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Age, years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59.70±12.85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60.77±12.86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57.20±12.57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0.058</w:t>
            </w: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Gender,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0.425</w:t>
            </w: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 xml:space="preserve">   Male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121 (55.00)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82 (53.25)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39 (59.09)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 xml:space="preserve">   Female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99 (45.00)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72 (46.75)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27 (40.91)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BMI, kg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/m</w:t>
            </w:r>
            <w:r>
              <w:rPr>
                <w:rFonts w:hint="eastAsia"/>
                <w:color w:val="000000"/>
                <w:kern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18.64±11.74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18.67±11.75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18.57±11.79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0.952</w:t>
            </w: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Preoperative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 xml:space="preserve"> D-</w:t>
            </w:r>
            <w:r>
              <w:rPr>
                <w:color w:val="000000"/>
                <w:kern w:val="0"/>
                <w:sz w:val="24"/>
                <w:szCs w:val="24"/>
              </w:rPr>
              <w:t>J insertion,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0.726</w:t>
            </w: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 xml:space="preserve">   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50 (22.73)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36 (23.38)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14 (21.21)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 xml:space="preserve">   Yes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170 (77.27)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118 (76.62)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52 (78.79)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ASA classification,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0.609</w:t>
            </w: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 xml:space="preserve">   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28 (12.73)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21 (13.64)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7 (10.61)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 xml:space="preserve">   II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171 (77.73)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120 (77.92)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51 (77.27)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 xml:space="preserve">   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21 (9.55)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13 (8.44)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8 (12.12)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Lateral,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0.359</w:t>
            </w: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 xml:space="preserve">   Left side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140 (63.64)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95 (61.69)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45 (68.18)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 xml:space="preserve">   Right side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80 (36.36)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59 (38.31)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21 (31.82)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Inferior pole stone,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0.949</w:t>
            </w: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 xml:space="preserve">   non-inferior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141 (64.09)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99 (64.29)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42 (63.64)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 xml:space="preserve">   inferior with RIPA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＞</w:t>
            </w:r>
            <w:r>
              <w:rPr>
                <w:color w:val="000000"/>
                <w:kern w:val="0"/>
                <w:sz w:val="24"/>
                <w:szCs w:val="24"/>
              </w:rPr>
              <w:t>30°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61 (27.73)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43 (27.92)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18 (27.27)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 xml:space="preserve">   inferior with RIPA≤30°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18 (8.18)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12 (7.79)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6 (9.09)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 xml:space="preserve">Stone 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l</w:t>
            </w:r>
            <w:r>
              <w:rPr>
                <w:color w:val="000000"/>
                <w:kern w:val="0"/>
                <w:sz w:val="24"/>
                <w:szCs w:val="24"/>
              </w:rPr>
              <w:t>ocalization,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0.171</w:t>
            </w: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 xml:space="preserve">   Upper Calyx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36 (16.36)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21 (13.64)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15 (22.73)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 xml:space="preserve">   Middle Calyx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19 (8.64)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11 (7.14)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8 (12.12)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 xml:space="preserve">   Lower Calyx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79 (35.91)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55 (35.71)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24 (36.36)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 xml:space="preserve">   Renal Pelvis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55 (25)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42 (27.27)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13 (19.70)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 xml:space="preserve">   Multi-</w:t>
            </w:r>
            <w:proofErr w:type="spellStart"/>
            <w:r>
              <w:rPr>
                <w:color w:val="000000"/>
                <w:kern w:val="0"/>
                <w:sz w:val="24"/>
                <w:szCs w:val="24"/>
              </w:rPr>
              <w:t>Caliceal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31 (14.09)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25 (16.23)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6 (9.09)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lastRenderedPageBreak/>
              <w:t>Number of stones,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0.248</w:t>
            </w: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ind w:firstLineChars="200" w:firstLine="4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118 (53.64)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85 (55.19)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33 (50)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ind w:firstLineChars="200" w:firstLine="4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51 (23.18)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38 (24.68)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13 (19.70)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 xml:space="preserve">   ≥3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51 (23.18)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31 (20.13)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20 (30.30)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Number of calyces involved,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0.51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ind w:firstLineChars="200" w:firstLine="4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19 (8.64)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16 (10.39)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3 (4.55)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ind w:firstLineChars="200" w:firstLine="4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104 (47.27)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73 (47.40)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31 (46.97)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ind w:firstLineChars="200" w:firstLine="4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32 (14.55)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22 (14.29)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10 (15.15)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 xml:space="preserve">   ≥3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65 (29.55)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43 (27.92)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22 (33.33)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Maximum stone diameter, mm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15.80±7.27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15.96±7.01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15.41±7.89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0.621</w:t>
            </w: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Mean stone density, Hu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758.54±330.17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772.74±335.69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725.41±316.93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0.321</w:t>
            </w: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SDSD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247.78±140.24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243.72±142.39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257.23±135.69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0.506</w:t>
            </w: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IL, mm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22.41±6.93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22.75±7.04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21.62±6.67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0.259</w:t>
            </w: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IW, mm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6.58 (5.06- 8.98)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6.62 (5.10- 9.20)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6.32 (4.83- 8.70)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0.313</w:t>
            </w: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CPH, mm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22.35 (17.40 - 32.30)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22.75 (18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.00</w:t>
            </w:r>
            <w:r>
              <w:rPr>
                <w:color w:val="000000"/>
                <w:kern w:val="0"/>
                <w:sz w:val="24"/>
                <w:szCs w:val="24"/>
              </w:rPr>
              <w:t xml:space="preserve"> - 32.30)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20.30 (16.60 - 30.80)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0.109</w:t>
            </w: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SV, mm</w:t>
            </w:r>
            <w:r>
              <w:rPr>
                <w:rFonts w:hint="eastAsia"/>
                <w:color w:val="000000"/>
                <w:kern w:val="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585.78 (199.01 - 1,474.22)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581.79 (198.21 - 1,389.62)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601.91 (210.80 - 1,652.27)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0.876</w:t>
            </w: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Duration of the surgery, minutes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80 (60 - 114)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80 (60 - 105)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77.50 (60 - 125)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0.353</w:t>
            </w: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SF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>S</w:t>
            </w:r>
            <w:r>
              <w:rPr>
                <w:color w:val="000000"/>
                <w:kern w:val="0"/>
                <w:sz w:val="24"/>
                <w:szCs w:val="24"/>
              </w:rPr>
              <w:t>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0.385</w:t>
            </w: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 xml:space="preserve">   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58 (26.36)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38 (24.68)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20 (30.30)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 xml:space="preserve">   Yes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162 (73.64)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116 (75.32)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1EF9" w:rsidRDefault="002845C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46 (69.70)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1EF9" w:rsidRDefault="00A61EF9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A61EF9" w:rsidRDefault="002845C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Note: SFS,</w:t>
      </w:r>
      <w:r>
        <w:t xml:space="preserve"> </w:t>
      </w:r>
      <w:r>
        <w:rPr>
          <w:rFonts w:ascii="Times New Roman" w:hAnsi="Times New Roman"/>
          <w:sz w:val="24"/>
          <w:szCs w:val="24"/>
        </w:rPr>
        <w:t>stone-free state</w:t>
      </w:r>
      <w:r>
        <w:rPr>
          <w:rFonts w:ascii="Times New Roman" w:hAnsi="Times New Roman" w:hint="eastAsia"/>
          <w:sz w:val="24"/>
          <w:szCs w:val="24"/>
        </w:rPr>
        <w:t xml:space="preserve">; </w:t>
      </w:r>
      <w:r>
        <w:rPr>
          <w:rFonts w:ascii="Times New Roman" w:hAnsi="Times New Roman"/>
          <w:color w:val="000000"/>
          <w:sz w:val="24"/>
          <w:szCs w:val="24"/>
        </w:rPr>
        <w:t>BMI</w:t>
      </w:r>
      <w:r>
        <w:rPr>
          <w:rFonts w:ascii="Times New Roman" w:hAnsi="Times New Roman" w:hint="eastAsia"/>
          <w:color w:val="000000"/>
          <w:sz w:val="24"/>
          <w:szCs w:val="24"/>
        </w:rPr>
        <w:t>,</w:t>
      </w:r>
      <w: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body mass index</w:t>
      </w:r>
      <w:r>
        <w:rPr>
          <w:rFonts w:ascii="Times New Roman" w:hAnsi="Times New Roman" w:hint="eastAsia"/>
          <w:color w:val="000000"/>
          <w:sz w:val="24"/>
          <w:szCs w:val="24"/>
        </w:rPr>
        <w:t xml:space="preserve">; </w:t>
      </w:r>
      <w:r>
        <w:rPr>
          <w:rFonts w:ascii="Times New Roman" w:hAnsi="Times New Roman"/>
          <w:color w:val="000000"/>
          <w:sz w:val="24"/>
          <w:szCs w:val="24"/>
        </w:rPr>
        <w:t>ASA</w:t>
      </w:r>
      <w:r>
        <w:rPr>
          <w:rFonts w:ascii="Times New Roman" w:hAnsi="Times New Roman" w:hint="eastAsia"/>
          <w:color w:val="000000"/>
          <w:sz w:val="24"/>
          <w:szCs w:val="24"/>
        </w:rPr>
        <w:t>,</w:t>
      </w:r>
      <w: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American Society of Anesthesiologists</w:t>
      </w:r>
      <w:r>
        <w:rPr>
          <w:rFonts w:ascii="Times New Roman" w:hAnsi="Times New Roman" w:hint="eastAsia"/>
          <w:color w:val="000000"/>
          <w:sz w:val="24"/>
          <w:szCs w:val="24"/>
        </w:rPr>
        <w:t>;</w:t>
      </w:r>
      <w: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RIPA</w:t>
      </w:r>
      <w:r>
        <w:rPr>
          <w:rFonts w:ascii="Times New Roman" w:hAnsi="Times New Roman" w:hint="eastAsia"/>
          <w:color w:val="000000"/>
          <w:sz w:val="24"/>
          <w:szCs w:val="24"/>
        </w:rPr>
        <w:t>, r</w:t>
      </w:r>
      <w:r>
        <w:rPr>
          <w:rFonts w:ascii="Times New Roman" w:hAnsi="Times New Roman"/>
          <w:color w:val="000000"/>
          <w:sz w:val="24"/>
          <w:szCs w:val="24"/>
        </w:rPr>
        <w:t xml:space="preserve">enal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Infundibulopelvic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Angle</w:t>
      </w:r>
      <w:r>
        <w:rPr>
          <w:rFonts w:ascii="Times New Roman" w:hAnsi="Times New Roman" w:hint="eastAsia"/>
          <w:color w:val="000000"/>
          <w:sz w:val="24"/>
          <w:szCs w:val="24"/>
        </w:rPr>
        <w:t xml:space="preserve">; </w:t>
      </w:r>
      <w:r>
        <w:rPr>
          <w:rFonts w:ascii="Times New Roman" w:hAnsi="Times New Roman"/>
          <w:color w:val="000000"/>
          <w:sz w:val="24"/>
          <w:szCs w:val="24"/>
        </w:rPr>
        <w:t>SDSD</w:t>
      </w:r>
      <w:r>
        <w:rPr>
          <w:rFonts w:ascii="Times New Roman" w:hAnsi="Times New Roman" w:hint="eastAsia"/>
          <w:color w:val="000000"/>
          <w:sz w:val="24"/>
          <w:szCs w:val="24"/>
        </w:rPr>
        <w:t>, t</w:t>
      </w:r>
      <w:r>
        <w:rPr>
          <w:rFonts w:ascii="Times New Roman" w:hAnsi="Times New Roman"/>
          <w:color w:val="000000"/>
          <w:sz w:val="24"/>
          <w:szCs w:val="24"/>
        </w:rPr>
        <w:t>he standard deviation of stone density</w:t>
      </w:r>
      <w:r>
        <w:rPr>
          <w:rFonts w:ascii="Times New Roman" w:hAnsi="Times New Roman" w:hint="eastAsia"/>
          <w:color w:val="000000"/>
          <w:sz w:val="24"/>
          <w:szCs w:val="24"/>
        </w:rPr>
        <w:t xml:space="preserve">; </w:t>
      </w:r>
      <w:r>
        <w:rPr>
          <w:rFonts w:ascii="Times New Roman" w:hAnsi="Times New Roman"/>
          <w:color w:val="000000"/>
          <w:sz w:val="24"/>
          <w:szCs w:val="24"/>
        </w:rPr>
        <w:t>IL</w:t>
      </w:r>
      <w:r>
        <w:rPr>
          <w:rFonts w:ascii="Times New Roman" w:hAnsi="Times New Roman" w:hint="eastAsia"/>
          <w:color w:val="000000"/>
          <w:sz w:val="24"/>
          <w:szCs w:val="24"/>
        </w:rPr>
        <w:t>,</w:t>
      </w:r>
      <w: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Infundibular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length</w:t>
      </w:r>
      <w:r>
        <w:rPr>
          <w:rFonts w:ascii="Times New Roman" w:hAnsi="Times New Roman" w:hint="eastAsia"/>
          <w:color w:val="000000"/>
          <w:sz w:val="24"/>
          <w:szCs w:val="24"/>
        </w:rPr>
        <w:t xml:space="preserve">;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Infundibular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width</w:t>
      </w:r>
      <w:r>
        <w:rPr>
          <w:rFonts w:ascii="Times New Roman" w:hAnsi="Times New Roman" w:hint="eastAsia"/>
          <w:color w:val="000000"/>
          <w:sz w:val="24"/>
          <w:szCs w:val="24"/>
        </w:rPr>
        <w:t xml:space="preserve">; CPH, </w:t>
      </w:r>
      <w:r>
        <w:rPr>
          <w:rFonts w:ascii="Times New Roman" w:hAnsi="Times New Roman"/>
          <w:color w:val="000000"/>
          <w:sz w:val="24"/>
          <w:szCs w:val="24"/>
        </w:rPr>
        <w:t>calyx pelvic height</w:t>
      </w:r>
      <w:r>
        <w:rPr>
          <w:rFonts w:ascii="Times New Roman" w:hAnsi="Times New Roman" w:hint="eastAsia"/>
          <w:color w:val="000000"/>
          <w:sz w:val="24"/>
          <w:szCs w:val="24"/>
        </w:rPr>
        <w:t>; SV,</w:t>
      </w:r>
      <w: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stone volume</w:t>
      </w:r>
      <w:r>
        <w:rPr>
          <w:rFonts w:ascii="Times New Roman" w:hAnsi="Times New Roman" w:hint="eastAsia"/>
          <w:color w:val="000000"/>
          <w:sz w:val="24"/>
          <w:szCs w:val="24"/>
        </w:rPr>
        <w:t>.</w:t>
      </w:r>
      <w:r>
        <w:br w:type="page"/>
      </w:r>
    </w:p>
    <w:p w:rsidR="00A61EF9" w:rsidRDefault="002845C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b/>
          <w:bCs/>
          <w:sz w:val="24"/>
          <w:szCs w:val="24"/>
        </w:rPr>
        <w:lastRenderedPageBreak/>
        <w:t xml:space="preserve">Table S2. </w:t>
      </w:r>
      <w:proofErr w:type="gramStart"/>
      <w:r>
        <w:rPr>
          <w:rFonts w:ascii="Times New Roman" w:hAnsi="Times New Roman"/>
          <w:sz w:val="24"/>
          <w:szCs w:val="24"/>
        </w:rPr>
        <w:t>Screening for covariance between identified characteristic variables</w:t>
      </w:r>
      <w:r>
        <w:rPr>
          <w:rFonts w:ascii="Times New Roman" w:hAnsi="Times New Roman" w:hint="eastAsia"/>
          <w:sz w:val="24"/>
          <w:szCs w:val="24"/>
        </w:rPr>
        <w:t>.</w:t>
      </w:r>
      <w:proofErr w:type="gramEnd"/>
    </w:p>
    <w:p w:rsidR="00A61EF9" w:rsidRDefault="002845C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 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2126"/>
        <w:gridCol w:w="1144"/>
        <w:gridCol w:w="2167"/>
      </w:tblGrid>
      <w:tr w:rsidR="00A61EF9">
        <w:trPr>
          <w:trHeight w:val="624"/>
        </w:trPr>
        <w:tc>
          <w:tcPr>
            <w:tcW w:w="3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61EF9" w:rsidRDefault="002845CD">
            <w:pPr>
              <w:rPr>
                <w:sz w:val="24"/>
                <w:szCs w:val="24"/>
              </w:rPr>
            </w:pPr>
            <w:proofErr w:type="spellStart"/>
            <w:r>
              <w:rPr>
                <w:kern w:val="0"/>
                <w:sz w:val="24"/>
                <w:szCs w:val="24"/>
              </w:rPr>
              <w:t>VariableName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GVIF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61EF9" w:rsidRDefault="002845CD">
            <w:pPr>
              <w:rPr>
                <w:sz w:val="24"/>
                <w:szCs w:val="24"/>
              </w:rPr>
            </w:pPr>
            <w:proofErr w:type="spellStart"/>
            <w:r>
              <w:rPr>
                <w:kern w:val="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GVIF^(1/(2*</w:t>
            </w:r>
            <w:proofErr w:type="spellStart"/>
            <w:r>
              <w:rPr>
                <w:kern w:val="0"/>
                <w:sz w:val="24"/>
                <w:szCs w:val="24"/>
              </w:rPr>
              <w:t>Df</w:t>
            </w:r>
            <w:proofErr w:type="spellEnd"/>
            <w:r>
              <w:rPr>
                <w:kern w:val="0"/>
                <w:sz w:val="24"/>
                <w:szCs w:val="24"/>
              </w:rPr>
              <w:t>))</w:t>
            </w:r>
          </w:p>
        </w:tc>
      </w:tr>
      <w:tr w:rsidR="00A61EF9">
        <w:trPr>
          <w:trHeight w:val="624"/>
        </w:trPr>
        <w:tc>
          <w:tcPr>
            <w:tcW w:w="30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Mean stone density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1.398865282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1.087536829</w:t>
            </w:r>
          </w:p>
        </w:tc>
      </w:tr>
      <w:tr w:rsidR="00A61EF9">
        <w:trPr>
          <w:trHeight w:val="624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Inferior pole stone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1.347773557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1.077467633</w:t>
            </w:r>
          </w:p>
        </w:tc>
      </w:tr>
      <w:tr w:rsidR="00A61EF9">
        <w:trPr>
          <w:trHeight w:val="624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CPH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1.30045097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1.067882564</w:t>
            </w:r>
          </w:p>
        </w:tc>
      </w:tr>
      <w:tr w:rsidR="00A61EF9">
        <w:trPr>
          <w:trHeight w:val="624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Number of stones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1.74104826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1.148689635</w:t>
            </w:r>
          </w:p>
        </w:tc>
      </w:tr>
      <w:tr w:rsidR="00A61EF9">
        <w:trPr>
          <w:trHeight w:val="624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SV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2.979725909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1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1.72618826</w:t>
            </w:r>
          </w:p>
        </w:tc>
      </w:tr>
      <w:tr w:rsidR="00A61EF9">
        <w:trPr>
          <w:trHeight w:val="624"/>
        </w:trPr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Maximum stone diameter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3.229493519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1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1.797079163</w:t>
            </w:r>
          </w:p>
        </w:tc>
      </w:tr>
    </w:tbl>
    <w:p w:rsidR="006336D1" w:rsidRDefault="002845CD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Note: </w:t>
      </w:r>
      <w:r>
        <w:rPr>
          <w:rFonts w:ascii="Times New Roman" w:hAnsi="Times New Roman" w:hint="eastAsia"/>
          <w:color w:val="000000"/>
          <w:sz w:val="24"/>
          <w:szCs w:val="24"/>
        </w:rPr>
        <w:t xml:space="preserve">CPH, </w:t>
      </w:r>
      <w:r>
        <w:rPr>
          <w:rFonts w:ascii="Times New Roman" w:hAnsi="Times New Roman"/>
          <w:color w:val="000000"/>
          <w:sz w:val="24"/>
          <w:szCs w:val="24"/>
        </w:rPr>
        <w:t>calyx pelvic height</w:t>
      </w:r>
      <w:r>
        <w:rPr>
          <w:rFonts w:ascii="Times New Roman" w:hAnsi="Times New Roman" w:hint="eastAsia"/>
          <w:color w:val="000000"/>
          <w:sz w:val="24"/>
          <w:szCs w:val="24"/>
        </w:rPr>
        <w:t>; SV,</w:t>
      </w:r>
      <w: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stone volume</w:t>
      </w:r>
      <w:r>
        <w:rPr>
          <w:rFonts w:ascii="Times New Roman" w:hAnsi="Times New Roman" w:hint="eastAsia"/>
          <w:color w:val="000000"/>
          <w:sz w:val="24"/>
          <w:szCs w:val="24"/>
        </w:rPr>
        <w:t>.</w:t>
      </w:r>
    </w:p>
    <w:p w:rsidR="006336D1" w:rsidRDefault="006336D1">
      <w:pPr>
        <w:rPr>
          <w:rFonts w:ascii="Times New Roman" w:hAnsi="Times New Roman"/>
          <w:color w:val="000000"/>
          <w:sz w:val="24"/>
          <w:szCs w:val="24"/>
        </w:rPr>
      </w:pPr>
    </w:p>
    <w:p w:rsidR="006336D1" w:rsidRDefault="006336D1">
      <w:pPr>
        <w:rPr>
          <w:rFonts w:ascii="Times New Roman" w:hAnsi="Times New Roman"/>
          <w:color w:val="000000"/>
          <w:sz w:val="24"/>
          <w:szCs w:val="24"/>
        </w:rPr>
      </w:pPr>
    </w:p>
    <w:p w:rsidR="006336D1" w:rsidRDefault="006336D1" w:rsidP="006336D1">
      <w:pPr>
        <w:rPr>
          <w:rFonts w:ascii="Times New Roman" w:hAnsi="Times New Roman"/>
          <w:b/>
          <w:bCs/>
          <w:sz w:val="24"/>
          <w:szCs w:val="24"/>
        </w:rPr>
      </w:pPr>
    </w:p>
    <w:p w:rsidR="006336D1" w:rsidRDefault="006336D1" w:rsidP="006336D1">
      <w:pPr>
        <w:rPr>
          <w:rFonts w:ascii="Times New Roman" w:hAnsi="Times New Roman"/>
          <w:b/>
          <w:bCs/>
          <w:sz w:val="24"/>
          <w:szCs w:val="24"/>
        </w:rPr>
      </w:pPr>
    </w:p>
    <w:p w:rsidR="006336D1" w:rsidRDefault="006336D1" w:rsidP="006336D1">
      <w:pPr>
        <w:rPr>
          <w:rFonts w:ascii="Times New Roman" w:hAnsi="Times New Roman"/>
          <w:b/>
          <w:bCs/>
          <w:sz w:val="24"/>
          <w:szCs w:val="24"/>
        </w:rPr>
      </w:pPr>
    </w:p>
    <w:p w:rsidR="006336D1" w:rsidRDefault="006336D1" w:rsidP="006336D1">
      <w:pPr>
        <w:rPr>
          <w:rFonts w:ascii="Times New Roman" w:hAnsi="Times New Roman"/>
          <w:b/>
          <w:bCs/>
          <w:sz w:val="24"/>
          <w:szCs w:val="24"/>
        </w:rPr>
      </w:pPr>
    </w:p>
    <w:p w:rsidR="006336D1" w:rsidRPr="006336D1" w:rsidRDefault="006336D1" w:rsidP="006336D1">
      <w:pPr>
        <w:rPr>
          <w:rFonts w:ascii="Times New Roman" w:hAnsi="Times New Roman"/>
          <w:color w:val="FF0000"/>
          <w:sz w:val="24"/>
          <w:szCs w:val="24"/>
        </w:rPr>
      </w:pPr>
      <w:r w:rsidRPr="006336D1">
        <w:rPr>
          <w:rFonts w:ascii="Times New Roman" w:hAnsi="Times New Roman" w:hint="eastAsia"/>
          <w:b/>
          <w:bCs/>
          <w:color w:val="FF0000"/>
          <w:sz w:val="24"/>
          <w:szCs w:val="24"/>
        </w:rPr>
        <w:t xml:space="preserve">Table S3. </w:t>
      </w:r>
      <w:proofErr w:type="gramStart"/>
      <w:r w:rsidRPr="006336D1">
        <w:rPr>
          <w:rFonts w:ascii="Times New Roman" w:hAnsi="Times New Roman"/>
          <w:color w:val="FF0000"/>
          <w:sz w:val="24"/>
          <w:szCs w:val="24"/>
        </w:rPr>
        <w:t>Pearson correlation analysis of maximum stone diameter and stone volume.</w:t>
      </w:r>
      <w:proofErr w:type="gramEnd"/>
    </w:p>
    <w:p w:rsidR="006336D1" w:rsidRPr="006336D1" w:rsidRDefault="006336D1">
      <w:pPr>
        <w:rPr>
          <w:rFonts w:ascii="Times New Roman" w:hAnsi="Times New Roman"/>
          <w:color w:val="FF0000"/>
          <w:sz w:val="24"/>
          <w:szCs w:val="24"/>
        </w:rPr>
      </w:pPr>
      <w:r w:rsidRPr="006336D1">
        <w:rPr>
          <w:rFonts w:ascii="Times New Roman" w:hAnsi="Times New Roman" w:hint="eastAsia"/>
          <w:color w:val="FF0000"/>
          <w:sz w:val="24"/>
          <w:szCs w:val="24"/>
        </w:rPr>
        <w:t xml:space="preserve"> </w:t>
      </w:r>
    </w:p>
    <w:tbl>
      <w:tblPr>
        <w:tblStyle w:val="a7"/>
        <w:tblW w:w="875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3119"/>
        <w:gridCol w:w="1134"/>
        <w:gridCol w:w="2693"/>
      </w:tblGrid>
      <w:tr w:rsidR="006336D1" w:rsidRPr="006336D1" w:rsidTr="006336D1">
        <w:trPr>
          <w:trHeight w:val="1165"/>
        </w:trPr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36D1" w:rsidRPr="006336D1" w:rsidRDefault="006336D1" w:rsidP="006336D1">
            <w:pPr>
              <w:rPr>
                <w:color w:val="FF0000"/>
                <w:kern w:val="0"/>
                <w:sz w:val="24"/>
                <w:szCs w:val="24"/>
              </w:rPr>
            </w:pPr>
            <w:r w:rsidRPr="006336D1">
              <w:rPr>
                <w:color w:val="FF0000"/>
                <w:kern w:val="0"/>
                <w:sz w:val="24"/>
                <w:szCs w:val="24"/>
              </w:rPr>
              <w:t>Variable Pair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36D1" w:rsidRPr="006336D1" w:rsidRDefault="006336D1" w:rsidP="006336D1">
            <w:pPr>
              <w:rPr>
                <w:color w:val="FF0000"/>
                <w:kern w:val="0"/>
                <w:sz w:val="24"/>
                <w:szCs w:val="24"/>
              </w:rPr>
            </w:pPr>
            <w:r w:rsidRPr="006336D1">
              <w:rPr>
                <w:color w:val="FF0000"/>
                <w:kern w:val="0"/>
                <w:sz w:val="24"/>
                <w:szCs w:val="24"/>
              </w:rPr>
              <w:t>Correlation Coefficient (r)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36D1" w:rsidRPr="006336D1" w:rsidRDefault="006336D1" w:rsidP="006336D1">
            <w:pPr>
              <w:rPr>
                <w:color w:val="FF0000"/>
                <w:kern w:val="0"/>
                <w:sz w:val="24"/>
                <w:szCs w:val="24"/>
              </w:rPr>
            </w:pPr>
            <w:r w:rsidRPr="006336D1">
              <w:rPr>
                <w:color w:val="FF0000"/>
                <w:kern w:val="0"/>
                <w:sz w:val="24"/>
                <w:szCs w:val="24"/>
              </w:rPr>
              <w:t>p-value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36D1" w:rsidRPr="006336D1" w:rsidRDefault="006336D1" w:rsidP="006336D1">
            <w:pPr>
              <w:rPr>
                <w:color w:val="FF0000"/>
                <w:kern w:val="0"/>
                <w:sz w:val="24"/>
                <w:szCs w:val="24"/>
              </w:rPr>
            </w:pPr>
            <w:r w:rsidRPr="006336D1">
              <w:rPr>
                <w:color w:val="FF0000"/>
                <w:kern w:val="0"/>
                <w:sz w:val="24"/>
                <w:szCs w:val="24"/>
              </w:rPr>
              <w:t>Interpretation</w:t>
            </w:r>
          </w:p>
        </w:tc>
      </w:tr>
      <w:tr w:rsidR="006336D1" w:rsidRPr="006336D1" w:rsidTr="006336D1">
        <w:trPr>
          <w:trHeight w:val="1826"/>
        </w:trPr>
        <w:tc>
          <w:tcPr>
            <w:tcW w:w="1809" w:type="dxa"/>
            <w:tcBorders>
              <w:top w:val="single" w:sz="4" w:space="0" w:color="auto"/>
            </w:tcBorders>
            <w:vAlign w:val="center"/>
          </w:tcPr>
          <w:p w:rsidR="006336D1" w:rsidRPr="006336D1" w:rsidRDefault="006336D1" w:rsidP="006336D1">
            <w:pPr>
              <w:rPr>
                <w:color w:val="FF0000"/>
                <w:kern w:val="0"/>
                <w:sz w:val="24"/>
                <w:szCs w:val="24"/>
              </w:rPr>
            </w:pPr>
            <w:r w:rsidRPr="006336D1">
              <w:rPr>
                <w:color w:val="FF0000"/>
                <w:kern w:val="0"/>
                <w:sz w:val="24"/>
                <w:szCs w:val="24"/>
              </w:rPr>
              <w:t xml:space="preserve">Maximum stone diameter </w:t>
            </w:r>
            <w:proofErr w:type="spellStart"/>
            <w:r w:rsidRPr="006336D1">
              <w:rPr>
                <w:color w:val="FF0000"/>
                <w:kern w:val="0"/>
                <w:sz w:val="24"/>
                <w:szCs w:val="24"/>
              </w:rPr>
              <w:t>vs</w:t>
            </w:r>
            <w:proofErr w:type="spellEnd"/>
            <w:r w:rsidRPr="006336D1">
              <w:rPr>
                <w:color w:val="FF0000"/>
                <w:kern w:val="0"/>
                <w:sz w:val="24"/>
                <w:szCs w:val="24"/>
              </w:rPr>
              <w:t xml:space="preserve"> stone volume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:rsidR="006336D1" w:rsidRPr="006336D1" w:rsidRDefault="006336D1" w:rsidP="006336D1">
            <w:pPr>
              <w:jc w:val="center"/>
              <w:rPr>
                <w:color w:val="FF0000"/>
                <w:kern w:val="0"/>
                <w:sz w:val="24"/>
                <w:szCs w:val="24"/>
              </w:rPr>
            </w:pPr>
            <w:r w:rsidRPr="006336D1">
              <w:rPr>
                <w:color w:val="FF0000"/>
                <w:kern w:val="0"/>
                <w:sz w:val="24"/>
                <w:szCs w:val="24"/>
              </w:rPr>
              <w:t>0.486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6336D1" w:rsidRPr="006336D1" w:rsidRDefault="006336D1" w:rsidP="006336D1">
            <w:pPr>
              <w:rPr>
                <w:color w:val="FF0000"/>
                <w:kern w:val="0"/>
                <w:sz w:val="24"/>
                <w:szCs w:val="24"/>
              </w:rPr>
            </w:pPr>
            <w:r w:rsidRPr="006336D1">
              <w:rPr>
                <w:color w:val="FF0000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6336D1" w:rsidRPr="006336D1" w:rsidRDefault="006336D1" w:rsidP="006336D1">
            <w:pPr>
              <w:rPr>
                <w:color w:val="FF0000"/>
                <w:kern w:val="0"/>
                <w:sz w:val="24"/>
                <w:szCs w:val="24"/>
              </w:rPr>
            </w:pPr>
            <w:r w:rsidRPr="006336D1">
              <w:rPr>
                <w:color w:val="FF0000"/>
                <w:kern w:val="0"/>
                <w:sz w:val="24"/>
                <w:szCs w:val="24"/>
              </w:rPr>
              <w:t>Moderate correlation, no redundancy</w:t>
            </w:r>
          </w:p>
        </w:tc>
      </w:tr>
    </w:tbl>
    <w:p w:rsidR="00A61EF9" w:rsidRPr="006336D1" w:rsidRDefault="002845CD">
      <w:pPr>
        <w:rPr>
          <w:rFonts w:ascii="Times New Roman" w:hAnsi="Times New Roman"/>
          <w:color w:val="000000"/>
          <w:kern w:val="0"/>
          <w:sz w:val="24"/>
          <w:szCs w:val="24"/>
        </w:rPr>
      </w:pPr>
      <w:r w:rsidRPr="006336D1">
        <w:rPr>
          <w:rFonts w:ascii="Times New Roman" w:hAnsi="Times New Roman"/>
          <w:color w:val="000000"/>
          <w:kern w:val="0"/>
          <w:sz w:val="24"/>
          <w:szCs w:val="24"/>
        </w:rPr>
        <w:br w:type="page"/>
      </w:r>
    </w:p>
    <w:p w:rsidR="00A61EF9" w:rsidRDefault="002845CD">
      <w:pPr>
        <w:rPr>
          <w:rFonts w:ascii="Times New Roman" w:hAnsi="Times New Roman"/>
          <w:sz w:val="24"/>
          <w:szCs w:val="24"/>
        </w:rPr>
      </w:pPr>
      <w:r w:rsidRPr="006336D1">
        <w:rPr>
          <w:rFonts w:ascii="Times New Roman" w:hAnsi="Times New Roman" w:hint="eastAsia"/>
          <w:b/>
          <w:bCs/>
          <w:color w:val="FF0000"/>
          <w:sz w:val="24"/>
          <w:szCs w:val="24"/>
        </w:rPr>
        <w:lastRenderedPageBreak/>
        <w:t>Table S</w:t>
      </w:r>
      <w:r w:rsidR="006336D1" w:rsidRPr="006336D1">
        <w:rPr>
          <w:rFonts w:ascii="Times New Roman" w:hAnsi="Times New Roman" w:hint="eastAsia"/>
          <w:b/>
          <w:bCs/>
          <w:color w:val="FF0000"/>
          <w:sz w:val="24"/>
          <w:szCs w:val="24"/>
        </w:rPr>
        <w:t>4</w:t>
      </w:r>
      <w:r w:rsidRPr="006336D1">
        <w:rPr>
          <w:rFonts w:ascii="Times New Roman" w:hAnsi="Times New Roman" w:hint="eastAsia"/>
          <w:b/>
          <w:bCs/>
          <w:color w:val="FF0000"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Multivariate logistic regression analyses of characteristic variables were selected jointly by LASSO regression and </w:t>
      </w:r>
      <w:proofErr w:type="spellStart"/>
      <w:r>
        <w:rPr>
          <w:rFonts w:ascii="Times New Roman" w:hAnsi="Times New Roman"/>
          <w:sz w:val="24"/>
          <w:szCs w:val="24"/>
        </w:rPr>
        <w:t>Boruta</w:t>
      </w:r>
      <w:proofErr w:type="spellEnd"/>
      <w:r>
        <w:rPr>
          <w:rFonts w:ascii="Times New Roman" w:hAnsi="Times New Roman" w:hint="eastAsia"/>
          <w:sz w:val="24"/>
          <w:szCs w:val="24"/>
        </w:rPr>
        <w:t>.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1417"/>
        <w:gridCol w:w="1843"/>
        <w:gridCol w:w="1468"/>
      </w:tblGrid>
      <w:tr w:rsidR="00A61EF9">
        <w:trPr>
          <w:trHeight w:val="454"/>
        </w:trPr>
        <w:tc>
          <w:tcPr>
            <w:tcW w:w="3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C</w:t>
            </w:r>
            <w:r>
              <w:rPr>
                <w:kern w:val="0"/>
                <w:sz w:val="24"/>
                <w:szCs w:val="24"/>
              </w:rPr>
              <w:t>haracteristic variables</w:t>
            </w:r>
          </w:p>
        </w:tc>
        <w:tc>
          <w:tcPr>
            <w:tcW w:w="47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61EF9" w:rsidRDefault="002845CD">
            <w:pPr>
              <w:widowControl/>
              <w:jc w:val="left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0"/>
                <w:sz w:val="24"/>
                <w:szCs w:val="24"/>
              </w:rPr>
              <w:t>Multivariable logistic regression analysis</w:t>
            </w:r>
          </w:p>
        </w:tc>
      </w:tr>
      <w:tr w:rsidR="00A61EF9">
        <w:trPr>
          <w:trHeight w:val="454"/>
        </w:trPr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1EF9" w:rsidRDefault="00A61EF9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OR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95%CI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i/>
                <w:kern w:val="0"/>
                <w:sz w:val="24"/>
                <w:szCs w:val="24"/>
              </w:rPr>
              <w:t>P</w:t>
            </w:r>
            <w:r>
              <w:rPr>
                <w:rFonts w:hint="eastAsia"/>
                <w:kern w:val="0"/>
                <w:sz w:val="24"/>
                <w:szCs w:val="24"/>
              </w:rPr>
              <w:t>-</w:t>
            </w:r>
            <w:r>
              <w:rPr>
                <w:kern w:val="0"/>
                <w:sz w:val="24"/>
                <w:szCs w:val="24"/>
              </w:rPr>
              <w:t>value</w:t>
            </w:r>
          </w:p>
        </w:tc>
      </w:tr>
      <w:tr w:rsidR="00A61EF9">
        <w:trPr>
          <w:trHeight w:val="454"/>
        </w:trPr>
        <w:tc>
          <w:tcPr>
            <w:tcW w:w="3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Maximum stone diameter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0.892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0.786-1.005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0.066</w:t>
            </w:r>
          </w:p>
        </w:tc>
      </w:tr>
      <w:tr w:rsidR="00A61EF9">
        <w:trPr>
          <w:trHeight w:val="454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Mean stone density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A61EF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A61EF9">
            <w:pPr>
              <w:rPr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A61EF9">
            <w:pPr>
              <w:rPr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/>
                <w:kern w:val="0"/>
                <w:sz w:val="24"/>
                <w:szCs w:val="24"/>
              </w:rPr>
              <w:t>＜</w:t>
            </w:r>
            <w:r>
              <w:rPr>
                <w:kern w:val="0"/>
                <w:sz w:val="24"/>
                <w:szCs w:val="24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A61EF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A61EF9">
            <w:pPr>
              <w:rPr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A61EF9">
            <w:pPr>
              <w:rPr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  500-1000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0.758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0.186-2.770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0.683</w:t>
            </w:r>
          </w:p>
        </w:tc>
      </w:tr>
      <w:tr w:rsidR="00A61EF9">
        <w:trPr>
          <w:trHeight w:val="454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  ≥1000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0.444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0.094-1.899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0.284</w:t>
            </w:r>
          </w:p>
        </w:tc>
      </w:tr>
      <w:tr w:rsidR="00A61EF9">
        <w:trPr>
          <w:trHeight w:val="454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Inferior pole stone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A61EF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A61EF9">
            <w:pPr>
              <w:rPr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A61EF9">
            <w:pPr>
              <w:rPr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   non-inferior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A61EF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A61EF9">
            <w:pPr>
              <w:rPr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A61EF9">
            <w:pPr>
              <w:rPr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   inferior with RIPA</w:t>
            </w:r>
            <w:r>
              <w:rPr>
                <w:rFonts w:ascii="宋体" w:hAnsi="宋体"/>
                <w:kern w:val="0"/>
                <w:sz w:val="24"/>
                <w:szCs w:val="24"/>
              </w:rPr>
              <w:t>＞</w:t>
            </w:r>
            <w:r>
              <w:rPr>
                <w:kern w:val="0"/>
                <w:sz w:val="24"/>
                <w:szCs w:val="24"/>
              </w:rPr>
              <w:t>30°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0.229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0.070-0.705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0.012</w:t>
            </w:r>
          </w:p>
        </w:tc>
      </w:tr>
      <w:tr w:rsidR="00A61EF9">
        <w:trPr>
          <w:trHeight w:val="454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   inferior with RIPA≤30°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0.034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0.004-0.204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0.001</w:t>
            </w:r>
          </w:p>
        </w:tc>
      </w:tr>
      <w:tr w:rsidR="00A61EF9">
        <w:trPr>
          <w:trHeight w:val="454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CPH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A61EF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A61EF9">
            <w:pPr>
              <w:rPr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A61EF9">
            <w:pPr>
              <w:rPr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/>
                <w:kern w:val="0"/>
                <w:sz w:val="24"/>
                <w:szCs w:val="24"/>
              </w:rPr>
              <w:t>＜</w:t>
            </w:r>
            <w:r>
              <w:rPr>
                <w:kern w:val="0"/>
                <w:sz w:val="24"/>
                <w:szCs w:val="24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A61EF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A61EF9">
            <w:pPr>
              <w:rPr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A61EF9">
            <w:pPr>
              <w:rPr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  30-50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0.283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0.087-0.886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0.031</w:t>
            </w:r>
          </w:p>
        </w:tc>
      </w:tr>
      <w:tr w:rsidR="00A61EF9">
        <w:trPr>
          <w:trHeight w:val="454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  ≥50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0.217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0.04-1.118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0.067</w:t>
            </w:r>
          </w:p>
        </w:tc>
      </w:tr>
      <w:tr w:rsidR="00A61EF9">
        <w:trPr>
          <w:trHeight w:val="454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Number of stones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A61EF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A61EF9">
            <w:pPr>
              <w:rPr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A61EF9">
            <w:pPr>
              <w:rPr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A61EF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A61EF9">
            <w:pPr>
              <w:rPr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A61EF9">
            <w:pPr>
              <w:rPr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4.244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1.003-22.636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0.066</w:t>
            </w:r>
          </w:p>
        </w:tc>
      </w:tr>
      <w:tr w:rsidR="00A61EF9">
        <w:trPr>
          <w:trHeight w:val="454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  ≥3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0.369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0.104-1.313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0.119</w:t>
            </w:r>
          </w:p>
        </w:tc>
      </w:tr>
      <w:tr w:rsidR="00A61EF9">
        <w:trPr>
          <w:trHeight w:val="454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SV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A61EF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A61EF9">
            <w:pPr>
              <w:rPr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A61EF9">
            <w:pPr>
              <w:rPr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/>
                <w:kern w:val="0"/>
                <w:sz w:val="24"/>
                <w:szCs w:val="24"/>
              </w:rPr>
              <w:t>＜</w:t>
            </w:r>
            <w:r>
              <w:rPr>
                <w:kern w:val="0"/>
                <w:sz w:val="24"/>
                <w:szCs w:val="24"/>
              </w:rPr>
              <w:t>1000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A61EF9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A61EF9">
            <w:pPr>
              <w:rPr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:rsidR="00A61EF9" w:rsidRDefault="00A61EF9">
            <w:pPr>
              <w:rPr>
                <w:sz w:val="24"/>
                <w:szCs w:val="24"/>
              </w:rPr>
            </w:pPr>
          </w:p>
        </w:tc>
      </w:tr>
      <w:tr w:rsidR="00A61EF9">
        <w:trPr>
          <w:trHeight w:val="454"/>
        </w:trPr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  ≥1000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0.837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0.160-4.304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1EF9" w:rsidRDefault="002845CD">
            <w:pPr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0.831</w:t>
            </w:r>
          </w:p>
        </w:tc>
      </w:tr>
    </w:tbl>
    <w:p w:rsidR="00C426E8" w:rsidRDefault="002845CD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Note: </w:t>
      </w:r>
      <w:r>
        <w:rPr>
          <w:rFonts w:ascii="Times New Roman" w:hAnsi="Times New Roman" w:hint="eastAsia"/>
          <w:color w:val="000000"/>
          <w:sz w:val="24"/>
          <w:szCs w:val="24"/>
        </w:rPr>
        <w:t xml:space="preserve">CPH, </w:t>
      </w:r>
      <w:r>
        <w:rPr>
          <w:rFonts w:ascii="Times New Roman" w:hAnsi="Times New Roman"/>
          <w:color w:val="000000"/>
          <w:sz w:val="24"/>
          <w:szCs w:val="24"/>
        </w:rPr>
        <w:t>calyx pelvic height</w:t>
      </w:r>
      <w:r>
        <w:rPr>
          <w:rFonts w:ascii="Times New Roman" w:hAnsi="Times New Roman" w:hint="eastAsia"/>
          <w:color w:val="000000"/>
          <w:sz w:val="24"/>
          <w:szCs w:val="24"/>
        </w:rPr>
        <w:t>; SV,</w:t>
      </w:r>
      <w: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stone volume</w:t>
      </w:r>
      <w:r>
        <w:rPr>
          <w:rFonts w:ascii="Times New Roman" w:hAnsi="Times New Roman" w:hint="eastAsia"/>
          <w:color w:val="000000"/>
          <w:sz w:val="24"/>
          <w:szCs w:val="24"/>
        </w:rPr>
        <w:t>; OR,</w:t>
      </w:r>
      <w: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Odds Ratio</w:t>
      </w:r>
      <w:r>
        <w:rPr>
          <w:rFonts w:ascii="Times New Roman" w:hAnsi="Times New Roman" w:hint="eastAsia"/>
          <w:color w:val="000000"/>
          <w:sz w:val="24"/>
          <w:szCs w:val="24"/>
        </w:rPr>
        <w:t xml:space="preserve">; CI, </w:t>
      </w:r>
      <w:r>
        <w:rPr>
          <w:rFonts w:ascii="Times New Roman" w:hAnsi="Times New Roman"/>
          <w:color w:val="000000"/>
          <w:sz w:val="24"/>
          <w:szCs w:val="24"/>
        </w:rPr>
        <w:t>Confidence Interval</w:t>
      </w:r>
      <w:r>
        <w:rPr>
          <w:rFonts w:ascii="Times New Roman" w:hAnsi="Times New Roman" w:hint="eastAsia"/>
          <w:color w:val="000000"/>
          <w:sz w:val="24"/>
          <w:szCs w:val="24"/>
        </w:rPr>
        <w:t>.</w:t>
      </w:r>
      <w:r w:rsidR="00C426E8">
        <w:rPr>
          <w:rFonts w:ascii="Times New Roman" w:hAnsi="Times New Roman"/>
          <w:color w:val="000000"/>
          <w:sz w:val="24"/>
          <w:szCs w:val="24"/>
        </w:rPr>
        <w:br w:type="page"/>
      </w:r>
    </w:p>
    <w:p w:rsidR="00C426E8" w:rsidRPr="00FB1D81" w:rsidRDefault="00C426E8">
      <w:pPr>
        <w:rPr>
          <w:rFonts w:ascii="Times New Roman" w:hAnsi="Times New Roman" w:hint="eastAsia"/>
          <w:color w:val="FF0000"/>
          <w:sz w:val="24"/>
          <w:szCs w:val="24"/>
        </w:rPr>
      </w:pPr>
      <w:bookmarkStart w:id="0" w:name="_GoBack"/>
      <w:r w:rsidRPr="00FB1D81">
        <w:rPr>
          <w:rFonts w:ascii="Times New Roman" w:hAnsi="Times New Roman"/>
          <w:b/>
          <w:color w:val="FF0000"/>
          <w:sz w:val="24"/>
          <w:szCs w:val="24"/>
        </w:rPr>
        <w:lastRenderedPageBreak/>
        <w:t>Table S</w:t>
      </w:r>
      <w:r w:rsidR="00630121" w:rsidRPr="00FB1D81">
        <w:rPr>
          <w:rFonts w:ascii="Times New Roman" w:hAnsi="Times New Roman" w:hint="eastAsia"/>
          <w:b/>
          <w:color w:val="FF0000"/>
          <w:sz w:val="24"/>
          <w:szCs w:val="24"/>
        </w:rPr>
        <w:t>5</w:t>
      </w:r>
      <w:r w:rsidRPr="00FB1D81">
        <w:rPr>
          <w:rFonts w:ascii="Times New Roman" w:hAnsi="Times New Roman"/>
          <w:b/>
          <w:color w:val="FF0000"/>
          <w:sz w:val="24"/>
          <w:szCs w:val="24"/>
        </w:rPr>
        <w:t>.</w:t>
      </w:r>
      <w:r w:rsidRPr="00FB1D81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gramStart"/>
      <w:r w:rsidRPr="00FB1D81">
        <w:rPr>
          <w:rFonts w:ascii="Times New Roman" w:hAnsi="Times New Roman"/>
          <w:color w:val="FF0000"/>
          <w:sz w:val="24"/>
          <w:szCs w:val="24"/>
        </w:rPr>
        <w:t xml:space="preserve">Conversion between total </w:t>
      </w:r>
      <w:proofErr w:type="spellStart"/>
      <w:r w:rsidRPr="00FB1D81">
        <w:rPr>
          <w:rFonts w:ascii="Times New Roman" w:hAnsi="Times New Roman"/>
          <w:color w:val="FF0000"/>
          <w:sz w:val="24"/>
          <w:szCs w:val="24"/>
        </w:rPr>
        <w:t>nomogram</w:t>
      </w:r>
      <w:proofErr w:type="spellEnd"/>
      <w:r w:rsidRPr="00FB1D81">
        <w:rPr>
          <w:rFonts w:ascii="Times New Roman" w:hAnsi="Times New Roman"/>
          <w:color w:val="FF0000"/>
          <w:sz w:val="24"/>
          <w:szCs w:val="24"/>
        </w:rPr>
        <w:t xml:space="preserve"> scores and predicted probabilities of achieving Stone-Free Status (SFS).</w:t>
      </w:r>
      <w:proofErr w:type="gramEnd"/>
    </w:p>
    <w:tbl>
      <w:tblPr>
        <w:tblStyle w:val="a7"/>
        <w:tblpPr w:leftFromText="180" w:rightFromText="180" w:vertAnchor="text" w:horzAnchor="margin" w:tblpY="198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1560"/>
        <w:gridCol w:w="2551"/>
        <w:gridCol w:w="3169"/>
      </w:tblGrid>
      <w:tr w:rsidR="00FB1D81" w:rsidRPr="00FB1D81" w:rsidTr="00630121">
        <w:trPr>
          <w:trHeight w:val="624"/>
        </w:trPr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26E8" w:rsidRPr="00FB1D81" w:rsidRDefault="00C426E8" w:rsidP="00630121">
            <w:pPr>
              <w:rPr>
                <w:rFonts w:eastAsia="宋体"/>
                <w:color w:val="FF0000"/>
                <w:sz w:val="24"/>
                <w:szCs w:val="24"/>
              </w:rPr>
            </w:pPr>
            <w:r w:rsidRPr="00FB1D81">
              <w:rPr>
                <w:rFonts w:eastAsia="宋体"/>
                <w:color w:val="FF0000"/>
                <w:sz w:val="24"/>
                <w:szCs w:val="24"/>
              </w:rPr>
              <w:t>Total Score Range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26E8" w:rsidRPr="00FB1D81" w:rsidRDefault="00C426E8" w:rsidP="00630121">
            <w:pPr>
              <w:rPr>
                <w:rFonts w:eastAsia="宋体"/>
                <w:color w:val="FF0000"/>
                <w:sz w:val="24"/>
                <w:szCs w:val="24"/>
              </w:rPr>
            </w:pPr>
            <w:r w:rsidRPr="00FB1D81">
              <w:rPr>
                <w:rFonts w:eastAsia="宋体"/>
                <w:color w:val="FF0000"/>
                <w:sz w:val="24"/>
                <w:szCs w:val="24"/>
              </w:rPr>
              <w:t>Predicted Probability of SFS (%)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26E8" w:rsidRPr="00FB1D81" w:rsidRDefault="00C426E8" w:rsidP="00630121">
            <w:pPr>
              <w:rPr>
                <w:rFonts w:eastAsia="宋体"/>
                <w:color w:val="FF0000"/>
                <w:sz w:val="24"/>
                <w:szCs w:val="24"/>
              </w:rPr>
            </w:pPr>
            <w:r w:rsidRPr="00FB1D81">
              <w:rPr>
                <w:rFonts w:eastAsia="宋体"/>
                <w:color w:val="FF0000"/>
                <w:sz w:val="24"/>
                <w:szCs w:val="24"/>
              </w:rPr>
              <w:t>Risk Level</w:t>
            </w:r>
          </w:p>
        </w:tc>
        <w:tc>
          <w:tcPr>
            <w:tcW w:w="3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26E8" w:rsidRPr="00FB1D81" w:rsidRDefault="00C426E8" w:rsidP="00630121">
            <w:pPr>
              <w:rPr>
                <w:rFonts w:eastAsia="宋体"/>
                <w:color w:val="FF0000"/>
                <w:sz w:val="24"/>
                <w:szCs w:val="24"/>
              </w:rPr>
            </w:pPr>
            <w:r w:rsidRPr="00FB1D81">
              <w:rPr>
                <w:rFonts w:eastAsia="宋体"/>
                <w:color w:val="FF0000"/>
                <w:sz w:val="24"/>
                <w:szCs w:val="24"/>
              </w:rPr>
              <w:t>Clinical Recommendation</w:t>
            </w:r>
          </w:p>
        </w:tc>
      </w:tr>
      <w:tr w:rsidR="00FB1D81" w:rsidRPr="00FB1D81" w:rsidTr="00630121">
        <w:trPr>
          <w:trHeight w:val="624"/>
        </w:trPr>
        <w:tc>
          <w:tcPr>
            <w:tcW w:w="1242" w:type="dxa"/>
            <w:tcBorders>
              <w:top w:val="single" w:sz="4" w:space="0" w:color="auto"/>
            </w:tcBorders>
            <w:vAlign w:val="center"/>
          </w:tcPr>
          <w:p w:rsidR="00C426E8" w:rsidRPr="00FB1D81" w:rsidRDefault="00C426E8" w:rsidP="00630121">
            <w:pPr>
              <w:rPr>
                <w:rFonts w:eastAsia="宋体" w:hint="eastAsia"/>
                <w:color w:val="FF0000"/>
                <w:sz w:val="24"/>
                <w:szCs w:val="24"/>
              </w:rPr>
            </w:pPr>
            <w:r w:rsidRPr="00FB1D81">
              <w:rPr>
                <w:rFonts w:eastAsia="宋体" w:hint="eastAsia"/>
                <w:color w:val="FF0000"/>
                <w:sz w:val="24"/>
                <w:szCs w:val="24"/>
              </w:rPr>
              <w:t>≤</w:t>
            </w:r>
            <w:r w:rsidRPr="00FB1D81">
              <w:rPr>
                <w:rFonts w:eastAsia="宋体" w:hint="eastAsia"/>
                <w:color w:val="FF0000"/>
                <w:sz w:val="24"/>
                <w:szCs w:val="24"/>
              </w:rPr>
              <w:t xml:space="preserve"> 30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C426E8" w:rsidRPr="00FB1D81" w:rsidRDefault="00C426E8" w:rsidP="00630121">
            <w:pPr>
              <w:rPr>
                <w:rFonts w:eastAsia="宋体" w:hint="eastAsia"/>
                <w:color w:val="FF0000"/>
                <w:sz w:val="24"/>
                <w:szCs w:val="24"/>
              </w:rPr>
            </w:pPr>
            <w:r w:rsidRPr="00FB1D81">
              <w:rPr>
                <w:rFonts w:eastAsia="宋体" w:hint="eastAsia"/>
                <w:color w:val="FF0000"/>
                <w:sz w:val="24"/>
                <w:szCs w:val="24"/>
              </w:rPr>
              <w:t>&lt; 15%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:rsidR="00C426E8" w:rsidRPr="00FB1D81" w:rsidRDefault="00C426E8" w:rsidP="00630121">
            <w:pPr>
              <w:rPr>
                <w:rFonts w:eastAsia="宋体" w:hint="eastAsia"/>
                <w:color w:val="FF0000"/>
                <w:sz w:val="24"/>
                <w:szCs w:val="24"/>
              </w:rPr>
            </w:pPr>
            <w:r w:rsidRPr="00FB1D81">
              <w:rPr>
                <w:rFonts w:eastAsia="宋体" w:hint="eastAsia"/>
                <w:color w:val="FF0000"/>
                <w:sz w:val="24"/>
                <w:szCs w:val="24"/>
              </w:rPr>
              <w:t>Very high risk</w:t>
            </w:r>
          </w:p>
        </w:tc>
        <w:tc>
          <w:tcPr>
            <w:tcW w:w="3169" w:type="dxa"/>
            <w:tcBorders>
              <w:top w:val="single" w:sz="4" w:space="0" w:color="auto"/>
            </w:tcBorders>
            <w:vAlign w:val="center"/>
          </w:tcPr>
          <w:p w:rsidR="00C426E8" w:rsidRPr="00FB1D81" w:rsidRDefault="00C426E8" w:rsidP="00630121">
            <w:pPr>
              <w:rPr>
                <w:rFonts w:eastAsia="宋体" w:hint="eastAsia"/>
                <w:color w:val="FF0000"/>
                <w:sz w:val="24"/>
                <w:szCs w:val="24"/>
              </w:rPr>
            </w:pPr>
            <w:r w:rsidRPr="00FB1D81">
              <w:rPr>
                <w:rFonts w:eastAsia="宋体" w:hint="eastAsia"/>
                <w:color w:val="FF0000"/>
                <w:sz w:val="24"/>
                <w:szCs w:val="24"/>
              </w:rPr>
              <w:t>RIRS not recommended</w:t>
            </w:r>
          </w:p>
        </w:tc>
      </w:tr>
      <w:tr w:rsidR="00FB1D81" w:rsidRPr="00FB1D81" w:rsidTr="00630121">
        <w:trPr>
          <w:trHeight w:val="624"/>
        </w:trPr>
        <w:tc>
          <w:tcPr>
            <w:tcW w:w="1242" w:type="dxa"/>
            <w:vAlign w:val="center"/>
          </w:tcPr>
          <w:p w:rsidR="00C426E8" w:rsidRPr="00FB1D81" w:rsidRDefault="00C426E8" w:rsidP="00630121">
            <w:pPr>
              <w:rPr>
                <w:rFonts w:eastAsia="宋体"/>
                <w:color w:val="FF0000"/>
                <w:sz w:val="24"/>
                <w:szCs w:val="24"/>
              </w:rPr>
            </w:pPr>
            <w:r w:rsidRPr="00FB1D81">
              <w:rPr>
                <w:rFonts w:eastAsia="宋体"/>
                <w:color w:val="FF0000"/>
                <w:sz w:val="24"/>
                <w:szCs w:val="24"/>
              </w:rPr>
              <w:t>31–60</w:t>
            </w:r>
          </w:p>
        </w:tc>
        <w:tc>
          <w:tcPr>
            <w:tcW w:w="1560" w:type="dxa"/>
            <w:vAlign w:val="center"/>
          </w:tcPr>
          <w:p w:rsidR="00C426E8" w:rsidRPr="00FB1D81" w:rsidRDefault="00C426E8" w:rsidP="00630121">
            <w:pPr>
              <w:rPr>
                <w:rFonts w:eastAsia="宋体"/>
                <w:color w:val="FF0000"/>
                <w:sz w:val="24"/>
                <w:szCs w:val="24"/>
              </w:rPr>
            </w:pPr>
            <w:r w:rsidRPr="00FB1D81">
              <w:rPr>
                <w:rFonts w:eastAsia="宋体"/>
                <w:color w:val="FF0000"/>
                <w:sz w:val="24"/>
                <w:szCs w:val="24"/>
              </w:rPr>
              <w:t>15–30%</w:t>
            </w:r>
          </w:p>
        </w:tc>
        <w:tc>
          <w:tcPr>
            <w:tcW w:w="2551" w:type="dxa"/>
            <w:vAlign w:val="center"/>
          </w:tcPr>
          <w:p w:rsidR="00C426E8" w:rsidRPr="00FB1D81" w:rsidRDefault="00C426E8" w:rsidP="00630121">
            <w:pPr>
              <w:rPr>
                <w:rFonts w:eastAsia="宋体"/>
                <w:color w:val="FF0000"/>
                <w:sz w:val="24"/>
                <w:szCs w:val="24"/>
              </w:rPr>
            </w:pPr>
            <w:r w:rsidRPr="00FB1D81">
              <w:rPr>
                <w:rFonts w:eastAsia="宋体"/>
                <w:color w:val="FF0000"/>
                <w:sz w:val="24"/>
                <w:szCs w:val="24"/>
              </w:rPr>
              <w:t>High risk</w:t>
            </w:r>
          </w:p>
        </w:tc>
        <w:tc>
          <w:tcPr>
            <w:tcW w:w="3169" w:type="dxa"/>
            <w:vAlign w:val="center"/>
          </w:tcPr>
          <w:p w:rsidR="00C426E8" w:rsidRPr="00FB1D81" w:rsidRDefault="00C426E8" w:rsidP="00630121">
            <w:pPr>
              <w:rPr>
                <w:rFonts w:eastAsia="宋体"/>
                <w:color w:val="FF0000"/>
                <w:sz w:val="24"/>
                <w:szCs w:val="24"/>
              </w:rPr>
            </w:pPr>
            <w:r w:rsidRPr="00FB1D81">
              <w:rPr>
                <w:rFonts w:eastAsia="宋体"/>
                <w:color w:val="FF0000"/>
                <w:sz w:val="24"/>
                <w:szCs w:val="24"/>
              </w:rPr>
              <w:t>Consider PCNL or alternative</w:t>
            </w:r>
          </w:p>
        </w:tc>
      </w:tr>
      <w:tr w:rsidR="00FB1D81" w:rsidRPr="00FB1D81" w:rsidTr="00630121">
        <w:trPr>
          <w:trHeight w:val="624"/>
        </w:trPr>
        <w:tc>
          <w:tcPr>
            <w:tcW w:w="1242" w:type="dxa"/>
            <w:vAlign w:val="center"/>
          </w:tcPr>
          <w:p w:rsidR="00C426E8" w:rsidRPr="00FB1D81" w:rsidRDefault="00C426E8" w:rsidP="00630121">
            <w:pPr>
              <w:rPr>
                <w:rFonts w:eastAsia="宋体"/>
                <w:color w:val="FF0000"/>
                <w:sz w:val="24"/>
                <w:szCs w:val="24"/>
              </w:rPr>
            </w:pPr>
            <w:r w:rsidRPr="00FB1D81">
              <w:rPr>
                <w:rFonts w:eastAsia="宋体"/>
                <w:color w:val="FF0000"/>
                <w:sz w:val="24"/>
                <w:szCs w:val="24"/>
              </w:rPr>
              <w:t>61–90</w:t>
            </w:r>
          </w:p>
        </w:tc>
        <w:tc>
          <w:tcPr>
            <w:tcW w:w="1560" w:type="dxa"/>
            <w:vAlign w:val="center"/>
          </w:tcPr>
          <w:p w:rsidR="00C426E8" w:rsidRPr="00FB1D81" w:rsidRDefault="00C426E8" w:rsidP="00630121">
            <w:pPr>
              <w:rPr>
                <w:rFonts w:eastAsia="宋体"/>
                <w:color w:val="FF0000"/>
                <w:sz w:val="24"/>
                <w:szCs w:val="24"/>
              </w:rPr>
            </w:pPr>
            <w:r w:rsidRPr="00FB1D81">
              <w:rPr>
                <w:rFonts w:eastAsia="宋体"/>
                <w:color w:val="FF0000"/>
                <w:sz w:val="24"/>
                <w:szCs w:val="24"/>
              </w:rPr>
              <w:t>30–60%</w:t>
            </w:r>
          </w:p>
        </w:tc>
        <w:tc>
          <w:tcPr>
            <w:tcW w:w="2551" w:type="dxa"/>
            <w:vAlign w:val="center"/>
          </w:tcPr>
          <w:p w:rsidR="00C426E8" w:rsidRPr="00FB1D81" w:rsidRDefault="00C426E8" w:rsidP="00630121">
            <w:pPr>
              <w:rPr>
                <w:rFonts w:eastAsia="宋体"/>
                <w:color w:val="FF0000"/>
                <w:sz w:val="24"/>
                <w:szCs w:val="24"/>
              </w:rPr>
            </w:pPr>
            <w:r w:rsidRPr="00FB1D81">
              <w:rPr>
                <w:rFonts w:eastAsia="宋体"/>
                <w:color w:val="FF0000"/>
                <w:sz w:val="24"/>
                <w:szCs w:val="24"/>
              </w:rPr>
              <w:t>Moderate risk</w:t>
            </w:r>
          </w:p>
        </w:tc>
        <w:tc>
          <w:tcPr>
            <w:tcW w:w="3169" w:type="dxa"/>
            <w:vAlign w:val="center"/>
          </w:tcPr>
          <w:p w:rsidR="00C426E8" w:rsidRPr="00FB1D81" w:rsidRDefault="00C426E8" w:rsidP="00630121">
            <w:pPr>
              <w:rPr>
                <w:rFonts w:eastAsia="宋体"/>
                <w:color w:val="FF0000"/>
                <w:sz w:val="24"/>
                <w:szCs w:val="24"/>
              </w:rPr>
            </w:pPr>
            <w:r w:rsidRPr="00FB1D81">
              <w:rPr>
                <w:rFonts w:eastAsia="宋体"/>
                <w:color w:val="FF0000"/>
                <w:sz w:val="24"/>
                <w:szCs w:val="24"/>
              </w:rPr>
              <w:t>Consider RIRS with caution</w:t>
            </w:r>
          </w:p>
        </w:tc>
      </w:tr>
      <w:tr w:rsidR="00FB1D81" w:rsidRPr="00FB1D81" w:rsidTr="00630121">
        <w:trPr>
          <w:trHeight w:val="624"/>
        </w:trPr>
        <w:tc>
          <w:tcPr>
            <w:tcW w:w="1242" w:type="dxa"/>
            <w:vAlign w:val="center"/>
          </w:tcPr>
          <w:p w:rsidR="00C426E8" w:rsidRPr="00FB1D81" w:rsidRDefault="00C426E8" w:rsidP="00630121">
            <w:pPr>
              <w:rPr>
                <w:rFonts w:eastAsia="宋体"/>
                <w:color w:val="FF0000"/>
                <w:sz w:val="24"/>
                <w:szCs w:val="24"/>
              </w:rPr>
            </w:pPr>
            <w:r w:rsidRPr="00FB1D81">
              <w:rPr>
                <w:rFonts w:eastAsia="宋体"/>
                <w:color w:val="FF0000"/>
                <w:sz w:val="24"/>
                <w:szCs w:val="24"/>
              </w:rPr>
              <w:t>91–120</w:t>
            </w:r>
          </w:p>
        </w:tc>
        <w:tc>
          <w:tcPr>
            <w:tcW w:w="1560" w:type="dxa"/>
            <w:vAlign w:val="center"/>
          </w:tcPr>
          <w:p w:rsidR="00C426E8" w:rsidRPr="00FB1D81" w:rsidRDefault="00C426E8" w:rsidP="00630121">
            <w:pPr>
              <w:rPr>
                <w:rFonts w:eastAsia="宋体"/>
                <w:color w:val="FF0000"/>
                <w:sz w:val="24"/>
                <w:szCs w:val="24"/>
              </w:rPr>
            </w:pPr>
            <w:r w:rsidRPr="00FB1D81">
              <w:rPr>
                <w:rFonts w:eastAsia="宋体"/>
                <w:color w:val="FF0000"/>
                <w:sz w:val="24"/>
                <w:szCs w:val="24"/>
              </w:rPr>
              <w:t>60–85%</w:t>
            </w:r>
          </w:p>
        </w:tc>
        <w:tc>
          <w:tcPr>
            <w:tcW w:w="2551" w:type="dxa"/>
            <w:vAlign w:val="center"/>
          </w:tcPr>
          <w:p w:rsidR="00C426E8" w:rsidRPr="00FB1D81" w:rsidRDefault="00C426E8" w:rsidP="00630121">
            <w:pPr>
              <w:rPr>
                <w:rFonts w:eastAsia="宋体"/>
                <w:color w:val="FF0000"/>
                <w:sz w:val="24"/>
                <w:szCs w:val="24"/>
              </w:rPr>
            </w:pPr>
            <w:r w:rsidRPr="00FB1D81">
              <w:rPr>
                <w:rFonts w:eastAsia="宋体"/>
                <w:color w:val="FF0000"/>
                <w:sz w:val="24"/>
                <w:szCs w:val="24"/>
              </w:rPr>
              <w:t>Low-moderate risk</w:t>
            </w:r>
          </w:p>
        </w:tc>
        <w:tc>
          <w:tcPr>
            <w:tcW w:w="3169" w:type="dxa"/>
            <w:vAlign w:val="center"/>
          </w:tcPr>
          <w:p w:rsidR="00C426E8" w:rsidRPr="00FB1D81" w:rsidRDefault="00C426E8" w:rsidP="00630121">
            <w:pPr>
              <w:rPr>
                <w:rFonts w:eastAsia="宋体"/>
                <w:color w:val="FF0000"/>
                <w:sz w:val="24"/>
                <w:szCs w:val="24"/>
              </w:rPr>
            </w:pPr>
            <w:r w:rsidRPr="00FB1D81">
              <w:rPr>
                <w:rFonts w:eastAsia="宋体"/>
                <w:color w:val="FF0000"/>
                <w:sz w:val="24"/>
                <w:szCs w:val="24"/>
              </w:rPr>
              <w:t>RIRS recommended</w:t>
            </w:r>
          </w:p>
        </w:tc>
      </w:tr>
      <w:tr w:rsidR="00FB1D81" w:rsidRPr="00FB1D81" w:rsidTr="00630121">
        <w:trPr>
          <w:trHeight w:val="624"/>
        </w:trPr>
        <w:tc>
          <w:tcPr>
            <w:tcW w:w="1242" w:type="dxa"/>
            <w:vAlign w:val="center"/>
          </w:tcPr>
          <w:p w:rsidR="00C426E8" w:rsidRPr="00FB1D81" w:rsidRDefault="00C426E8" w:rsidP="00630121">
            <w:pPr>
              <w:rPr>
                <w:rFonts w:eastAsia="宋体"/>
                <w:color w:val="FF0000"/>
                <w:sz w:val="24"/>
                <w:szCs w:val="24"/>
              </w:rPr>
            </w:pPr>
            <w:r w:rsidRPr="00FB1D81">
              <w:rPr>
                <w:rFonts w:eastAsia="宋体"/>
                <w:color w:val="FF0000"/>
                <w:sz w:val="24"/>
                <w:szCs w:val="24"/>
              </w:rPr>
              <w:t>&gt; 120</w:t>
            </w:r>
          </w:p>
        </w:tc>
        <w:tc>
          <w:tcPr>
            <w:tcW w:w="1560" w:type="dxa"/>
            <w:vAlign w:val="center"/>
          </w:tcPr>
          <w:p w:rsidR="00C426E8" w:rsidRPr="00FB1D81" w:rsidRDefault="00C426E8" w:rsidP="00630121">
            <w:pPr>
              <w:rPr>
                <w:rFonts w:eastAsia="宋体"/>
                <w:color w:val="FF0000"/>
                <w:sz w:val="24"/>
                <w:szCs w:val="24"/>
              </w:rPr>
            </w:pPr>
            <w:r w:rsidRPr="00FB1D81">
              <w:rPr>
                <w:rFonts w:eastAsia="宋体"/>
                <w:color w:val="FF0000"/>
                <w:sz w:val="24"/>
                <w:szCs w:val="24"/>
              </w:rPr>
              <w:t>&gt; 85%</w:t>
            </w:r>
          </w:p>
        </w:tc>
        <w:tc>
          <w:tcPr>
            <w:tcW w:w="2551" w:type="dxa"/>
            <w:vAlign w:val="center"/>
          </w:tcPr>
          <w:p w:rsidR="00C426E8" w:rsidRPr="00FB1D81" w:rsidRDefault="00C426E8" w:rsidP="00630121">
            <w:pPr>
              <w:rPr>
                <w:rFonts w:eastAsia="宋体"/>
                <w:color w:val="FF0000"/>
                <w:sz w:val="24"/>
                <w:szCs w:val="24"/>
              </w:rPr>
            </w:pPr>
            <w:r w:rsidRPr="00FB1D81">
              <w:rPr>
                <w:rFonts w:eastAsia="宋体"/>
                <w:color w:val="FF0000"/>
                <w:sz w:val="24"/>
                <w:szCs w:val="24"/>
              </w:rPr>
              <w:t>Low risk</w:t>
            </w:r>
          </w:p>
        </w:tc>
        <w:tc>
          <w:tcPr>
            <w:tcW w:w="3169" w:type="dxa"/>
            <w:vAlign w:val="center"/>
          </w:tcPr>
          <w:p w:rsidR="00C426E8" w:rsidRPr="00FB1D81" w:rsidRDefault="00C426E8" w:rsidP="00630121">
            <w:pPr>
              <w:rPr>
                <w:rFonts w:eastAsia="宋体"/>
                <w:color w:val="FF0000"/>
                <w:sz w:val="24"/>
                <w:szCs w:val="24"/>
              </w:rPr>
            </w:pPr>
            <w:r w:rsidRPr="00FB1D81">
              <w:rPr>
                <w:rFonts w:eastAsia="宋体"/>
                <w:color w:val="FF0000"/>
                <w:sz w:val="24"/>
                <w:szCs w:val="24"/>
              </w:rPr>
              <w:t>RIRS strongly recommended</w:t>
            </w:r>
          </w:p>
        </w:tc>
      </w:tr>
    </w:tbl>
    <w:p w:rsidR="00C426E8" w:rsidRPr="00FB1D81" w:rsidRDefault="00C426E8">
      <w:pPr>
        <w:rPr>
          <w:rFonts w:ascii="Times New Roman" w:hAnsi="Times New Roman" w:hint="eastAsia"/>
          <w:color w:val="FF0000"/>
          <w:sz w:val="24"/>
          <w:szCs w:val="24"/>
        </w:rPr>
      </w:pPr>
    </w:p>
    <w:p w:rsidR="00C426E8" w:rsidRPr="00FB1D81" w:rsidRDefault="00C426E8" w:rsidP="00C426E8">
      <w:pPr>
        <w:rPr>
          <w:rFonts w:ascii="Times New Roman" w:hAnsi="Times New Roman" w:hint="eastAsia"/>
          <w:color w:val="FF0000"/>
          <w:sz w:val="24"/>
          <w:szCs w:val="24"/>
        </w:rPr>
      </w:pPr>
      <w:r w:rsidRPr="00FB1D81">
        <w:rPr>
          <w:rFonts w:ascii="Times New Roman" w:hAnsi="Times New Roman"/>
          <w:color w:val="FF0000"/>
          <w:sz w:val="24"/>
          <w:szCs w:val="24"/>
        </w:rPr>
        <w:t>Note:</w:t>
      </w:r>
      <w:r w:rsidR="00630121" w:rsidRPr="00FB1D81">
        <w:rPr>
          <w:rFonts w:ascii="Times New Roman" w:hAnsi="Times New Roman" w:hint="eastAsia"/>
          <w:color w:val="FF0000"/>
          <w:sz w:val="24"/>
          <w:szCs w:val="24"/>
        </w:rPr>
        <w:t xml:space="preserve"> </w:t>
      </w:r>
      <w:r w:rsidRPr="00FB1D81">
        <w:rPr>
          <w:rFonts w:ascii="Times New Roman" w:hAnsi="Times New Roman"/>
          <w:color w:val="FF0000"/>
          <w:sz w:val="24"/>
          <w:szCs w:val="24"/>
        </w:rPr>
        <w:t xml:space="preserve">The predicted probabilities were calculated from the logistic regression model used to construct the </w:t>
      </w:r>
      <w:proofErr w:type="spellStart"/>
      <w:r w:rsidRPr="00FB1D81">
        <w:rPr>
          <w:rFonts w:ascii="Times New Roman" w:hAnsi="Times New Roman"/>
          <w:color w:val="FF0000"/>
          <w:sz w:val="24"/>
          <w:szCs w:val="24"/>
        </w:rPr>
        <w:t>nomogram</w:t>
      </w:r>
      <w:proofErr w:type="spellEnd"/>
      <w:r w:rsidRPr="00FB1D81">
        <w:rPr>
          <w:rFonts w:ascii="Times New Roman" w:hAnsi="Times New Roman"/>
          <w:color w:val="FF0000"/>
          <w:sz w:val="24"/>
          <w:szCs w:val="24"/>
        </w:rPr>
        <w:t>. Total points were divided into clinically interpretable categories according to their distribution and corresponding predicted SFS probabilities.</w:t>
      </w:r>
      <w:r w:rsidR="00630121" w:rsidRPr="00FB1D81">
        <w:rPr>
          <w:rFonts w:ascii="Times New Roman" w:hAnsi="Times New Roman" w:hint="eastAsia"/>
          <w:color w:val="FF0000"/>
          <w:sz w:val="24"/>
          <w:szCs w:val="24"/>
        </w:rPr>
        <w:t xml:space="preserve"> </w:t>
      </w:r>
      <w:r w:rsidRPr="00FB1D81">
        <w:rPr>
          <w:rFonts w:ascii="Times New Roman" w:hAnsi="Times New Roman"/>
          <w:color w:val="FF0000"/>
          <w:sz w:val="24"/>
          <w:szCs w:val="24"/>
        </w:rPr>
        <w:t>Higher total points indicate a higher probability of achieving SFS.</w:t>
      </w:r>
    </w:p>
    <w:bookmarkEnd w:id="0"/>
    <w:p w:rsidR="00C426E8" w:rsidRPr="00630121" w:rsidRDefault="00C426E8">
      <w:pPr>
        <w:rPr>
          <w:rFonts w:ascii="Times New Roman" w:hAnsi="Times New Roman" w:hint="eastAsia"/>
          <w:sz w:val="24"/>
          <w:szCs w:val="24"/>
        </w:rPr>
      </w:pPr>
    </w:p>
    <w:p w:rsidR="00C426E8" w:rsidRPr="00630121" w:rsidRDefault="00C426E8">
      <w:pPr>
        <w:rPr>
          <w:rFonts w:ascii="Times New Roman" w:hAnsi="Times New Roman" w:hint="eastAsia"/>
          <w:sz w:val="24"/>
          <w:szCs w:val="24"/>
        </w:rPr>
      </w:pPr>
    </w:p>
    <w:p w:rsidR="00C426E8" w:rsidRDefault="00C426E8">
      <w:pPr>
        <w:rPr>
          <w:rFonts w:ascii="Times New Roman" w:hAnsi="Times New Roman" w:hint="eastAsia"/>
          <w:color w:val="000000"/>
          <w:sz w:val="24"/>
          <w:szCs w:val="24"/>
        </w:rPr>
      </w:pPr>
    </w:p>
    <w:p w:rsidR="00A61EF9" w:rsidRDefault="002845CD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br w:type="page"/>
      </w:r>
    </w:p>
    <w:p w:rsidR="00A61EF9" w:rsidRDefault="002845CD">
      <w:r>
        <w:rPr>
          <w:rFonts w:hint="eastAsia"/>
          <w:noProof/>
        </w:rPr>
        <w:lastRenderedPageBreak/>
        <w:drawing>
          <wp:inline distT="0" distB="0" distL="114300" distR="114300">
            <wp:extent cx="5262880" cy="5247640"/>
            <wp:effectExtent l="0" t="0" r="13970" b="10160"/>
            <wp:docPr id="1" name="图片 1" descr="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524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1EF9" w:rsidRDefault="002845CD">
      <w:pPr>
        <w:pStyle w:val="EndNoteBibliography"/>
        <w:widowControl/>
        <w:ind w:left="720" w:hanging="72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Figure </w:t>
      </w:r>
      <w:r>
        <w:rPr>
          <w:rFonts w:ascii="Times New Roman" w:hAnsi="Times New Roman" w:hint="eastAsia"/>
          <w:b/>
          <w:color w:val="000000"/>
          <w:sz w:val="24"/>
          <w:szCs w:val="24"/>
        </w:rPr>
        <w:t>S</w:t>
      </w:r>
      <w:r>
        <w:rPr>
          <w:rFonts w:ascii="Times New Roman" w:hAnsi="Times New Roman"/>
          <w:b/>
          <w:color w:val="000000"/>
          <w:sz w:val="24"/>
          <w:szCs w:val="24"/>
        </w:rPr>
        <w:t>1.</w:t>
      </w:r>
      <w:r>
        <w:rPr>
          <w:b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Inclusion exclusion flowchart for this study.</w:t>
      </w:r>
      <w:proofErr w:type="gramEnd"/>
    </w:p>
    <w:p w:rsidR="00A61EF9" w:rsidRDefault="00A61EF9">
      <w:pPr>
        <w:pStyle w:val="a3"/>
        <w:rPr>
          <w:rFonts w:eastAsia="宋体"/>
        </w:rPr>
      </w:pPr>
    </w:p>
    <w:p w:rsidR="00A61EF9" w:rsidRDefault="00A61EF9"/>
    <w:p w:rsidR="00A61EF9" w:rsidRDefault="00A61EF9">
      <w:pPr>
        <w:pStyle w:val="a6"/>
        <w:rPr>
          <w:rFonts w:ascii="Times New Roman" w:hAnsi="Times New Roman"/>
          <w:color w:val="000000"/>
          <w:szCs w:val="24"/>
          <w:lang w:bidi="ar"/>
        </w:rPr>
      </w:pPr>
    </w:p>
    <w:p w:rsidR="00A61EF9" w:rsidRDefault="00A61EF9">
      <w:pPr>
        <w:pStyle w:val="a6"/>
        <w:rPr>
          <w:rFonts w:ascii="Times New Roman" w:hAnsi="Times New Roman"/>
          <w:color w:val="000000"/>
          <w:szCs w:val="24"/>
          <w:lang w:bidi="ar"/>
        </w:rPr>
      </w:pPr>
    </w:p>
    <w:p w:rsidR="00A61EF9" w:rsidRDefault="00A61EF9">
      <w:pPr>
        <w:pStyle w:val="a6"/>
        <w:rPr>
          <w:rFonts w:ascii="Times New Roman" w:hAnsi="Times New Roman"/>
          <w:color w:val="000000"/>
          <w:szCs w:val="24"/>
          <w:lang w:bidi="ar"/>
        </w:rPr>
      </w:pPr>
    </w:p>
    <w:p w:rsidR="00A61EF9" w:rsidRDefault="00A61EF9">
      <w:pPr>
        <w:pStyle w:val="a6"/>
        <w:rPr>
          <w:rFonts w:ascii="Times New Roman" w:hAnsi="Times New Roman"/>
          <w:color w:val="000000"/>
          <w:szCs w:val="24"/>
          <w:lang w:bidi="ar"/>
        </w:rPr>
      </w:pPr>
    </w:p>
    <w:p w:rsidR="00A61EF9" w:rsidRDefault="00A61EF9">
      <w:pPr>
        <w:pStyle w:val="a6"/>
        <w:rPr>
          <w:rFonts w:ascii="Times New Roman" w:hAnsi="Times New Roman"/>
          <w:color w:val="000000"/>
          <w:szCs w:val="24"/>
          <w:lang w:bidi="ar"/>
        </w:rPr>
      </w:pPr>
    </w:p>
    <w:p w:rsidR="00A61EF9" w:rsidRDefault="00A61EF9">
      <w:pPr>
        <w:pStyle w:val="a6"/>
        <w:rPr>
          <w:rFonts w:ascii="Times New Roman" w:hAnsi="Times New Roman"/>
          <w:color w:val="000000"/>
          <w:szCs w:val="24"/>
          <w:lang w:bidi="ar"/>
        </w:rPr>
      </w:pPr>
    </w:p>
    <w:p w:rsidR="00A61EF9" w:rsidRDefault="00A61EF9">
      <w:pPr>
        <w:pStyle w:val="a6"/>
        <w:rPr>
          <w:rFonts w:ascii="Times New Roman" w:hAnsi="Times New Roman"/>
          <w:color w:val="000000"/>
          <w:szCs w:val="24"/>
          <w:lang w:bidi="ar"/>
        </w:rPr>
      </w:pPr>
    </w:p>
    <w:p w:rsidR="00A61EF9" w:rsidRDefault="00A61EF9">
      <w:pPr>
        <w:pStyle w:val="a6"/>
        <w:rPr>
          <w:rFonts w:ascii="Times New Roman" w:hAnsi="Times New Roman"/>
          <w:color w:val="000000"/>
          <w:szCs w:val="24"/>
          <w:lang w:bidi="ar"/>
        </w:rPr>
      </w:pPr>
    </w:p>
    <w:p w:rsidR="00A61EF9" w:rsidRDefault="00A61EF9">
      <w:pPr>
        <w:pStyle w:val="a6"/>
        <w:rPr>
          <w:rFonts w:ascii="Times New Roman" w:hAnsi="Times New Roman"/>
          <w:color w:val="000000"/>
          <w:szCs w:val="24"/>
          <w:lang w:bidi="ar"/>
        </w:rPr>
      </w:pPr>
    </w:p>
    <w:p w:rsidR="00A61EF9" w:rsidRDefault="00A61EF9">
      <w:pPr>
        <w:pStyle w:val="a6"/>
        <w:rPr>
          <w:rFonts w:ascii="Times New Roman" w:hAnsi="Times New Roman"/>
          <w:color w:val="000000"/>
          <w:szCs w:val="24"/>
          <w:lang w:bidi="ar"/>
        </w:rPr>
      </w:pPr>
    </w:p>
    <w:p w:rsidR="00A61EF9" w:rsidRDefault="00A61EF9">
      <w:pPr>
        <w:pStyle w:val="a6"/>
        <w:rPr>
          <w:rFonts w:ascii="Times New Roman" w:hAnsi="Times New Roman"/>
          <w:color w:val="000000"/>
          <w:szCs w:val="24"/>
          <w:lang w:bidi="ar"/>
        </w:rPr>
      </w:pPr>
    </w:p>
    <w:p w:rsidR="00A61EF9" w:rsidRDefault="002845CD">
      <w:pPr>
        <w:pStyle w:val="a3"/>
        <w:rPr>
          <w:rFonts w:eastAsia="宋体"/>
        </w:rPr>
      </w:pPr>
      <w:r>
        <w:rPr>
          <w:rFonts w:eastAsia="宋体" w:hint="eastAsia"/>
          <w:noProof/>
        </w:rPr>
        <w:lastRenderedPageBreak/>
        <w:drawing>
          <wp:inline distT="0" distB="0" distL="114300" distR="114300">
            <wp:extent cx="5267960" cy="2521585"/>
            <wp:effectExtent l="0" t="0" r="8890" b="12065"/>
            <wp:docPr id="3" name="图片 3" descr="Fig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52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1EF9" w:rsidRDefault="002845CD">
      <w:pPr>
        <w:pStyle w:val="a6"/>
        <w:jc w:val="left"/>
        <w:rPr>
          <w:rFonts w:ascii="Times New Roman" w:hAnsi="Times New Roman"/>
          <w:color w:val="000000"/>
          <w:szCs w:val="24"/>
          <w:lang w:bidi="ar"/>
        </w:rPr>
      </w:pPr>
      <w:r>
        <w:rPr>
          <w:rFonts w:ascii="Times New Roman" w:hAnsi="Times New Roman"/>
          <w:b/>
          <w:color w:val="000000"/>
          <w:szCs w:val="24"/>
          <w:lang w:bidi="ar"/>
        </w:rPr>
        <w:t xml:space="preserve">Figure </w:t>
      </w:r>
      <w:r>
        <w:rPr>
          <w:rFonts w:ascii="Times New Roman" w:hAnsi="Times New Roman" w:hint="eastAsia"/>
          <w:b/>
          <w:color w:val="000000"/>
          <w:szCs w:val="24"/>
          <w:lang w:bidi="ar"/>
        </w:rPr>
        <w:t>S2</w:t>
      </w:r>
      <w:r>
        <w:rPr>
          <w:rFonts w:ascii="Times New Roman" w:hAnsi="Times New Roman"/>
          <w:b/>
          <w:color w:val="000000"/>
          <w:szCs w:val="24"/>
          <w:lang w:bidi="ar"/>
        </w:rPr>
        <w:t xml:space="preserve">. </w:t>
      </w:r>
      <w:r>
        <w:rPr>
          <w:rFonts w:ascii="Times New Roman" w:hAnsi="Times New Roman"/>
          <w:color w:val="000000"/>
          <w:szCs w:val="24"/>
          <w:lang w:bidi="ar"/>
        </w:rPr>
        <w:t>Development of line plots comparing ROC curves with existing scores and individual predictor variables. (A) The training set multi-model comparison. (B) Test set multi-model comparison.</w:t>
      </w:r>
    </w:p>
    <w:p w:rsidR="00A61EF9" w:rsidRDefault="00A61EF9">
      <w:pPr>
        <w:pStyle w:val="a6"/>
        <w:jc w:val="left"/>
        <w:rPr>
          <w:rFonts w:ascii="Times New Roman" w:hAnsi="Times New Roman"/>
          <w:color w:val="000000"/>
          <w:szCs w:val="24"/>
          <w:lang w:bidi="ar"/>
        </w:rPr>
      </w:pPr>
    </w:p>
    <w:p w:rsidR="00A61EF9" w:rsidRDefault="00A61EF9">
      <w:pPr>
        <w:pStyle w:val="a6"/>
        <w:jc w:val="left"/>
        <w:rPr>
          <w:rFonts w:ascii="Times New Roman" w:hAnsi="Times New Roman"/>
          <w:color w:val="000000"/>
          <w:szCs w:val="24"/>
          <w:lang w:bidi="ar"/>
        </w:rPr>
      </w:pPr>
    </w:p>
    <w:p w:rsidR="00A61EF9" w:rsidRDefault="00A61EF9">
      <w:pPr>
        <w:pStyle w:val="a6"/>
        <w:jc w:val="left"/>
        <w:rPr>
          <w:rFonts w:ascii="Times New Roman" w:hAnsi="Times New Roman"/>
          <w:color w:val="000000"/>
          <w:szCs w:val="24"/>
          <w:lang w:bidi="ar"/>
        </w:rPr>
      </w:pPr>
    </w:p>
    <w:p w:rsidR="00A61EF9" w:rsidRDefault="002845CD">
      <w:pPr>
        <w:pStyle w:val="a3"/>
      </w:pPr>
      <w:r>
        <w:rPr>
          <w:rFonts w:hint="eastAsia"/>
          <w:noProof/>
        </w:rPr>
        <w:drawing>
          <wp:inline distT="0" distB="0" distL="114300" distR="114300">
            <wp:extent cx="5268595" cy="4075430"/>
            <wp:effectExtent l="0" t="0" r="8255" b="1270"/>
            <wp:docPr id="4" name="图片 4" descr="Fig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07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1EF9" w:rsidRDefault="002845CD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  <w:lang w:bidi="ar"/>
        </w:rPr>
        <w:t xml:space="preserve">Figure </w:t>
      </w:r>
      <w:r>
        <w:rPr>
          <w:rFonts w:ascii="Times New Roman" w:hAnsi="Times New Roman" w:hint="eastAsia"/>
          <w:b/>
          <w:color w:val="000000"/>
          <w:szCs w:val="24"/>
          <w:lang w:bidi="ar"/>
        </w:rPr>
        <w:t>S3</w:t>
      </w:r>
      <w:r>
        <w:rPr>
          <w:rFonts w:ascii="Times New Roman" w:hAnsi="Times New Roman"/>
          <w:b/>
          <w:color w:val="000000"/>
          <w:szCs w:val="24"/>
          <w:lang w:bidi="ar"/>
        </w:rPr>
        <w:t>.</w:t>
      </w:r>
      <w:r>
        <w:rPr>
          <w:rFonts w:cs="Calibri"/>
          <w:b/>
          <w:sz w:val="20"/>
          <w:szCs w:val="22"/>
          <w:lang w:bidi="ar"/>
        </w:rPr>
        <w:t xml:space="preserve"> </w:t>
      </w:r>
      <w:r>
        <w:rPr>
          <w:rFonts w:ascii="Times New Roman" w:hAnsi="Times New Roman"/>
          <w:color w:val="000000"/>
          <w:szCs w:val="24"/>
          <w:lang w:bidi="ar"/>
        </w:rPr>
        <w:t>Demonstrating the importance of predictor variables in a column-line graphical model based on traditional logistic regression coefficients.</w:t>
      </w:r>
    </w:p>
    <w:p w:rsidR="00A61EF9" w:rsidRDefault="00A61EF9">
      <w:pPr>
        <w:pStyle w:val="a3"/>
      </w:pPr>
    </w:p>
    <w:sectPr w:rsidR="00A61E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4F0" w:rsidRDefault="00B514F0" w:rsidP="006336D1">
      <w:r>
        <w:separator/>
      </w:r>
    </w:p>
  </w:endnote>
  <w:endnote w:type="continuationSeparator" w:id="0">
    <w:p w:rsidR="00B514F0" w:rsidRDefault="00B514F0" w:rsidP="00633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4F0" w:rsidRDefault="00B514F0" w:rsidP="006336D1">
      <w:r>
        <w:separator/>
      </w:r>
    </w:p>
  </w:footnote>
  <w:footnote w:type="continuationSeparator" w:id="0">
    <w:p w:rsidR="00B514F0" w:rsidRDefault="00B514F0" w:rsidP="006336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E1MjS3NDe3sDQzt7BQ0lEKTi0uzszPAykwqQUAxDzuvCwAAAA="/>
  </w:docVars>
  <w:rsids>
    <w:rsidRoot w:val="007C321B"/>
    <w:rsid w:val="002845CD"/>
    <w:rsid w:val="00303418"/>
    <w:rsid w:val="00521F4B"/>
    <w:rsid w:val="00614DBE"/>
    <w:rsid w:val="00630121"/>
    <w:rsid w:val="006336D1"/>
    <w:rsid w:val="00707AD6"/>
    <w:rsid w:val="007C321B"/>
    <w:rsid w:val="00811412"/>
    <w:rsid w:val="00867881"/>
    <w:rsid w:val="009B4148"/>
    <w:rsid w:val="00A61EF9"/>
    <w:rsid w:val="00B030DC"/>
    <w:rsid w:val="00B35C21"/>
    <w:rsid w:val="00B514F0"/>
    <w:rsid w:val="00C426E8"/>
    <w:rsid w:val="00C86CBA"/>
    <w:rsid w:val="00CB36FE"/>
    <w:rsid w:val="00CF2FEF"/>
    <w:rsid w:val="00DC4B87"/>
    <w:rsid w:val="00E31124"/>
    <w:rsid w:val="00FB1D81"/>
    <w:rsid w:val="00FC120F"/>
    <w:rsid w:val="416A181A"/>
    <w:rsid w:val="5CE10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rPr>
      <w:rFonts w:ascii="Arial" w:eastAsia="黑体" w:hAnsi="Arial"/>
      <w:sz w:val="20"/>
    </w:rPr>
  </w:style>
  <w:style w:type="paragraph" w:styleId="a4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6">
    <w:name w:val="Normal (Web)"/>
    <w:basedOn w:val="a"/>
    <w:uiPriority w:val="99"/>
    <w:semiHidden/>
    <w:unhideWhenUsed/>
    <w:rPr>
      <w:sz w:val="24"/>
    </w:rPr>
  </w:style>
  <w:style w:type="table" w:styleId="a7">
    <w:name w:val="Table Grid"/>
    <w:basedOn w:val="a1"/>
    <w:uiPriority w:val="99"/>
    <w:unhideWhenUsed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5"/>
    <w:uiPriority w:val="99"/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rPr>
      <w:sz w:val="18"/>
      <w:szCs w:val="18"/>
    </w:rPr>
  </w:style>
  <w:style w:type="character" w:customStyle="1" w:styleId="EndNoteBibliographyChar">
    <w:name w:val="EndNote Bibliography Char"/>
    <w:basedOn w:val="a0"/>
    <w:link w:val="EndNoteBibliography"/>
    <w:rPr>
      <w:rFonts w:ascii="Calibri" w:hAnsi="Calibri" w:cs="Calibri" w:hint="default"/>
      <w:sz w:val="20"/>
    </w:rPr>
  </w:style>
  <w:style w:type="paragraph" w:customStyle="1" w:styleId="EndNoteBibliography">
    <w:name w:val="EndNote Bibliography"/>
    <w:basedOn w:val="a"/>
    <w:link w:val="EndNoteBibliographyChar"/>
    <w:rPr>
      <w:sz w:val="20"/>
      <w:szCs w:val="22"/>
    </w:rPr>
  </w:style>
  <w:style w:type="paragraph" w:styleId="a8">
    <w:name w:val="Balloon Text"/>
    <w:basedOn w:val="a"/>
    <w:link w:val="Char1"/>
    <w:uiPriority w:val="99"/>
    <w:semiHidden/>
    <w:unhideWhenUsed/>
    <w:rsid w:val="006336D1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6336D1"/>
    <w:rPr>
      <w:rFonts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rPr>
      <w:rFonts w:ascii="Arial" w:eastAsia="黑体" w:hAnsi="Arial"/>
      <w:sz w:val="20"/>
    </w:rPr>
  </w:style>
  <w:style w:type="paragraph" w:styleId="a4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6">
    <w:name w:val="Normal (Web)"/>
    <w:basedOn w:val="a"/>
    <w:uiPriority w:val="99"/>
    <w:semiHidden/>
    <w:unhideWhenUsed/>
    <w:rPr>
      <w:sz w:val="24"/>
    </w:rPr>
  </w:style>
  <w:style w:type="table" w:styleId="a7">
    <w:name w:val="Table Grid"/>
    <w:basedOn w:val="a1"/>
    <w:uiPriority w:val="99"/>
    <w:unhideWhenUsed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5"/>
    <w:uiPriority w:val="99"/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rPr>
      <w:sz w:val="18"/>
      <w:szCs w:val="18"/>
    </w:rPr>
  </w:style>
  <w:style w:type="character" w:customStyle="1" w:styleId="EndNoteBibliographyChar">
    <w:name w:val="EndNote Bibliography Char"/>
    <w:basedOn w:val="a0"/>
    <w:link w:val="EndNoteBibliography"/>
    <w:rPr>
      <w:rFonts w:ascii="Calibri" w:hAnsi="Calibri" w:cs="Calibri" w:hint="default"/>
      <w:sz w:val="20"/>
    </w:rPr>
  </w:style>
  <w:style w:type="paragraph" w:customStyle="1" w:styleId="EndNoteBibliography">
    <w:name w:val="EndNote Bibliography"/>
    <w:basedOn w:val="a"/>
    <w:link w:val="EndNoteBibliographyChar"/>
    <w:rPr>
      <w:sz w:val="20"/>
      <w:szCs w:val="22"/>
    </w:rPr>
  </w:style>
  <w:style w:type="paragraph" w:styleId="a8">
    <w:name w:val="Balloon Text"/>
    <w:basedOn w:val="a"/>
    <w:link w:val="Char1"/>
    <w:uiPriority w:val="99"/>
    <w:semiHidden/>
    <w:unhideWhenUsed/>
    <w:rsid w:val="006336D1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6336D1"/>
    <w:rPr>
      <w:rFonts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789</Words>
  <Characters>4499</Characters>
  <Application>Microsoft Office Word</Application>
  <DocSecurity>0</DocSecurity>
  <Lines>37</Lines>
  <Paragraphs>10</Paragraphs>
  <ScaleCrop>false</ScaleCrop>
  <Company>Microsoft</Company>
  <LinksUpToDate>false</LinksUpToDate>
  <CharactersWithSpaces>5278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16</cp:revision>
  <dcterms:created xsi:type="dcterms:W3CDTF">2025-06-16T04:29:00Z</dcterms:created>
  <dcterms:modified xsi:type="dcterms:W3CDTF">2025-10-29T04:00:00Z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eyJoZGlkIjoiODA0YjU1ZTkyZTBkMTcwMjRiMGRjOTM2NjliNTJlMTAiLCJ1c2VySWQiOiIzNzg0ODEwODgifQ==</vt:lpwstr>
  </property>
  <property fmtid="{D5CDD505-2E9C-101B-9397-08002B2CF9AE}" pid="3" name="KSOProductBuildVer">
    <vt:lpwstr>2052-12.1.0.21541</vt:lpwstr>
  </property>
  <property fmtid="{D5CDD505-2E9C-101B-9397-08002B2CF9AE}" pid="4" name="ICV">
    <vt:lpwstr>F151C347D29E4AD9AC6B89C4308D5586_12</vt:lpwstr>
  </property>
</Properties>
</file>