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FB40" w14:textId="77777777" w:rsidR="004D1E71" w:rsidRPr="00571230" w:rsidRDefault="004D1E71" w:rsidP="004D1E71">
      <w:pPr>
        <w:keepNext/>
      </w:pPr>
      <w:r w:rsidRPr="00571230">
        <w:rPr>
          <w:noProof/>
        </w:rPr>
        <w:drawing>
          <wp:inline distT="0" distB="0" distL="0" distR="0" wp14:anchorId="38DCDD3F" wp14:editId="0C209142">
            <wp:extent cx="4730750" cy="2561164"/>
            <wp:effectExtent l="0" t="0" r="0" b="0"/>
            <wp:docPr id="27903291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032910" name="Grafik 27903291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" b="28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91" cy="2566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F917A" w14:textId="77777777" w:rsidR="004D1E71" w:rsidRPr="00571230" w:rsidRDefault="004D1E71" w:rsidP="004D1E71">
      <w:pPr>
        <w:pStyle w:val="Caption"/>
        <w:rPr>
          <w:color w:val="auto"/>
          <w:lang w:val="en-US"/>
        </w:rPr>
      </w:pPr>
      <w:r w:rsidRPr="00571230">
        <w:rPr>
          <w:color w:val="auto"/>
        </w:rPr>
        <w:t xml:space="preserve">Supplementary Figure </w:t>
      </w:r>
      <w:r w:rsidRPr="00571230">
        <w:rPr>
          <w:color w:val="auto"/>
        </w:rPr>
        <w:fldChar w:fldCharType="begin"/>
      </w:r>
      <w:r w:rsidRPr="00571230">
        <w:rPr>
          <w:color w:val="auto"/>
        </w:rPr>
        <w:instrText xml:space="preserve"> SEQ Figure \* ARABIC </w:instrText>
      </w:r>
      <w:r w:rsidRPr="00571230">
        <w:rPr>
          <w:color w:val="auto"/>
        </w:rPr>
        <w:fldChar w:fldCharType="separate"/>
      </w:r>
      <w:r w:rsidRPr="00571230">
        <w:rPr>
          <w:noProof/>
          <w:color w:val="auto"/>
        </w:rPr>
        <w:t>2</w:t>
      </w:r>
      <w:r w:rsidRPr="00571230">
        <w:rPr>
          <w:color w:val="auto"/>
        </w:rPr>
        <w:fldChar w:fldCharType="end"/>
      </w:r>
      <w:r w:rsidRPr="00571230">
        <w:rPr>
          <w:color w:val="auto"/>
        </w:rPr>
        <w:t>: Decision curve analysis demonstrating the clinical net benefit of the advanced model incorporating modified G8 score compared to the basic model with age groups only. Clinical net benefit has a ready clinical interpretation. At a threshold probability of 40% clinical net benefit values of 0.07 and 0.13 can be interpreted as follows: “Compared to using the basic model with age groups, performing robot-assisted radical cystectomy on the basis of the model with modified G8 score is the equivalent of a strategy that found 6 per hundred patients saved from major postoperative complications”</w:t>
      </w:r>
    </w:p>
    <w:p w14:paraId="5D90B5F1" w14:textId="77777777" w:rsidR="00EF288D" w:rsidRDefault="00EF288D"/>
    <w:sectPr w:rsidR="00EF288D" w:rsidSect="004D1E7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71"/>
    <w:rsid w:val="00055EED"/>
    <w:rsid w:val="004D1E71"/>
    <w:rsid w:val="005D5C21"/>
    <w:rsid w:val="00836481"/>
    <w:rsid w:val="00A22F46"/>
    <w:rsid w:val="00E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3E84"/>
  <w15:chartTrackingRefBased/>
  <w15:docId w15:val="{6A1F5097-77BA-49EA-A3E0-7A1E9888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E71"/>
    <w:pPr>
      <w:spacing w:after="120" w:line="264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E7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E7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E7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E7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E7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E7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E7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E7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E7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E7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1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E7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1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E71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1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E7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D1E7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4D1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 alhamdani</dc:creator>
  <cp:keywords/>
  <dc:description/>
  <cp:lastModifiedBy>zein alhamdani</cp:lastModifiedBy>
  <cp:revision>1</cp:revision>
  <dcterms:created xsi:type="dcterms:W3CDTF">2026-03-06T18:59:00Z</dcterms:created>
  <dcterms:modified xsi:type="dcterms:W3CDTF">2026-03-06T19:00:00Z</dcterms:modified>
</cp:coreProperties>
</file>