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D30D5" w14:textId="061F2986" w:rsidR="00C414CB" w:rsidRDefault="00C414CB">
      <w:r>
        <w:rPr>
          <w:noProof/>
        </w:rPr>
        <w:drawing>
          <wp:inline distT="0" distB="0" distL="0" distR="0" wp14:anchorId="5A7151CC" wp14:editId="3B773C95">
            <wp:extent cx="5264150" cy="2406650"/>
            <wp:effectExtent l="0" t="0" r="0" b="0"/>
            <wp:docPr id="4506085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2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ACB3C" w14:textId="0E60D6E4" w:rsidR="0078366D" w:rsidRPr="00C414CB" w:rsidRDefault="00C414CB">
      <w:pPr>
        <w:rPr>
          <w:rFonts w:ascii="Times New Roman" w:eastAsia="黑体" w:hAnsi="Times New Roman" w:cstheme="majorBidi"/>
          <w:i/>
          <w:color w:val="000000" w:themeColor="text1"/>
          <w:sz w:val="15"/>
          <w:szCs w:val="15"/>
          <w14:ligatures w14:val="none"/>
        </w:rPr>
      </w:pPr>
      <w:r w:rsidRPr="00C414CB">
        <w:rPr>
          <w:rFonts w:ascii="Times New Roman" w:eastAsia="黑体" w:hAnsi="Times New Roman" w:cs="Times New Roman"/>
          <w:b/>
          <w:bCs/>
          <w:iCs/>
          <w:color w:val="000000" w:themeColor="text1"/>
          <w:sz w:val="20"/>
          <w:szCs w:val="20"/>
          <w14:ligatures w14:val="none"/>
        </w:rPr>
        <w:t>Supplementary Figure S1</w:t>
      </w:r>
      <w:r w:rsidRPr="00C414CB">
        <w:rPr>
          <w:rFonts w:ascii="Times New Roman" w:eastAsia="黑体" w:hAnsi="Times New Roman" w:cs="Times New Roman"/>
          <w:i/>
          <w:color w:val="000000" w:themeColor="text1"/>
          <w:sz w:val="20"/>
          <w:szCs w:val="20"/>
          <w14:ligatures w14:val="none"/>
        </w:rPr>
        <w:t>. Calibration plots of the PHI-extended models. (Left) Briganti 2017 + PHI model. (Right) MSKCC + PHI model</w:t>
      </w:r>
      <w:r w:rsidRPr="00C414CB">
        <w:t xml:space="preserve">. </w:t>
      </w:r>
      <w:r>
        <w:rPr>
          <w:rFonts w:hint="eastAsia"/>
        </w:rPr>
        <w:t>*</w:t>
      </w:r>
      <w:r w:rsidRPr="00C414CB">
        <w:rPr>
          <w:rFonts w:ascii="Times New Roman" w:eastAsia="黑体" w:hAnsi="Times New Roman" w:cstheme="majorBidi"/>
          <w:i/>
          <w:color w:val="000000" w:themeColor="text1"/>
          <w:sz w:val="15"/>
          <w:szCs w:val="15"/>
          <w14:ligatures w14:val="none"/>
        </w:rPr>
        <w:t>The diagonal dashed line represents perfect calibration. The solid blue line represents the LOWESS smoothed observed-versus-predicted curve. The green dots indicate the observed probabilities for each group. The vertical green lines represent the 95% confidence intervals. Both PHI-extended models showed satisfactory calibration, with curves closely following the diagonal reference line.</w:t>
      </w:r>
    </w:p>
    <w:sectPr w:rsidR="0078366D" w:rsidRPr="00C414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ADE"/>
    <w:rsid w:val="0078366D"/>
    <w:rsid w:val="00936ADE"/>
    <w:rsid w:val="00B82376"/>
    <w:rsid w:val="00C2012A"/>
    <w:rsid w:val="00C414CB"/>
    <w:rsid w:val="00CC3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4BA28"/>
  <w15:chartTrackingRefBased/>
  <w15:docId w15:val="{684E04CB-164B-4000-9C21-B55368B73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36AD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AD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AD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AD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AD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AD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AD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AD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36A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36A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36A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36A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36AD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36A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36A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36A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36AD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36A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36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AD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36A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6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36A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36AD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36AD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6A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36AD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6A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胖 小</dc:creator>
  <cp:keywords/>
  <dc:description/>
  <cp:lastModifiedBy>胖 小</cp:lastModifiedBy>
  <cp:revision>2</cp:revision>
  <dcterms:created xsi:type="dcterms:W3CDTF">2026-06-23T08:13:00Z</dcterms:created>
  <dcterms:modified xsi:type="dcterms:W3CDTF">2026-06-23T08:16:00Z</dcterms:modified>
</cp:coreProperties>
</file>