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9B4D7" w14:textId="4DBDB4ED" w:rsidR="00AF7FED" w:rsidRPr="00AF7FED" w:rsidRDefault="00AF7FED">
      <w:pPr>
        <w:rPr>
          <w:b/>
          <w:bCs/>
          <w:sz w:val="20"/>
          <w:szCs w:val="20"/>
        </w:rPr>
      </w:pPr>
      <w:r w:rsidRPr="00AF7FED">
        <w:rPr>
          <w:rFonts w:hint="eastAsia"/>
          <w:b/>
          <w:bCs/>
          <w:sz w:val="20"/>
          <w:szCs w:val="20"/>
        </w:rPr>
        <w:t>Supplementary Table S1. Item-level weighted kappa agreement between AI-predicted and ground-truth IPSS and OABSS items</w:t>
      </w:r>
    </w:p>
    <w:p w14:paraId="0D94E3CB" w14:textId="4E0E2555" w:rsidR="00AF7FED" w:rsidRDefault="00AF7FED">
      <w:pPr>
        <w:rPr>
          <w:sz w:val="20"/>
          <w:szCs w:val="20"/>
        </w:rPr>
      </w:pPr>
      <w:r w:rsidRPr="00AF7FED">
        <w:rPr>
          <w:sz w:val="20"/>
          <w:szCs w:val="20"/>
        </w:rPr>
        <w:t>Weighted kappa coefficients comparing AI-predicted and ground-truth item responses for the IPSS</w:t>
      </w:r>
      <w:r>
        <w:rPr>
          <w:rFonts w:hint="eastAsia"/>
          <w:sz w:val="20"/>
          <w:szCs w:val="20"/>
        </w:rPr>
        <w:t xml:space="preserve"> (</w:t>
      </w:r>
      <w:r w:rsidRPr="00AF7FED">
        <w:rPr>
          <w:sz w:val="20"/>
          <w:szCs w:val="20"/>
        </w:rPr>
        <w:t>Q1–Q</w:t>
      </w:r>
      <w:r w:rsidR="0044030B">
        <w:rPr>
          <w:rFonts w:hint="eastAsia"/>
          <w:sz w:val="20"/>
          <w:szCs w:val="20"/>
        </w:rPr>
        <w:t>8</w:t>
      </w:r>
      <w:r w:rsidRPr="00AF7FED">
        <w:rPr>
          <w:sz w:val="20"/>
          <w:szCs w:val="20"/>
        </w:rPr>
        <w:t xml:space="preserve">) and the OABSS </w:t>
      </w:r>
      <w:r>
        <w:rPr>
          <w:rFonts w:hint="eastAsia"/>
          <w:sz w:val="20"/>
          <w:szCs w:val="20"/>
        </w:rPr>
        <w:t>(</w:t>
      </w:r>
      <w:r w:rsidRPr="00AF7FED">
        <w:rPr>
          <w:sz w:val="20"/>
          <w:szCs w:val="20"/>
        </w:rPr>
        <w:t>Q1–Q4). Kappa values are presented separately for ChatGPT-4o and ChatGPT-5.1. Agreement was interpreted using weighted kappa to account for the ordinal structure of questionnaire responses.</w:t>
      </w:r>
    </w:p>
    <w:p w14:paraId="769042EC" w14:textId="77777777" w:rsidR="00AF7FED" w:rsidRDefault="00AF7FED">
      <w:pPr>
        <w:rPr>
          <w:sz w:val="20"/>
          <w:szCs w:val="20"/>
        </w:rPr>
      </w:pPr>
    </w:p>
    <w:tbl>
      <w:tblPr>
        <w:tblStyle w:val="aa"/>
        <w:tblW w:w="0" w:type="auto"/>
        <w:tblInd w:w="-5" w:type="dxa"/>
        <w:tblLook w:val="04A0" w:firstRow="1" w:lastRow="0" w:firstColumn="1" w:lastColumn="0" w:noHBand="0" w:noVBand="1"/>
      </w:tblPr>
      <w:tblGrid>
        <w:gridCol w:w="993"/>
        <w:gridCol w:w="638"/>
        <w:gridCol w:w="3331"/>
        <w:gridCol w:w="2126"/>
        <w:gridCol w:w="2126"/>
        <w:gridCol w:w="1247"/>
      </w:tblGrid>
      <w:tr w:rsidR="0046335A" w:rsidRPr="00DE63BF" w14:paraId="4A1C1B25" w14:textId="2C9290CF" w:rsidTr="00B74C08">
        <w:trPr>
          <w:trHeight w:val="343"/>
        </w:trPr>
        <w:tc>
          <w:tcPr>
            <w:tcW w:w="993" w:type="dxa"/>
            <w:shd w:val="clear" w:color="auto" w:fill="F2F2F2" w:themeFill="background1" w:themeFillShade="F2"/>
            <w:vAlign w:val="center"/>
          </w:tcPr>
          <w:p w14:paraId="07E749E3" w14:textId="77777777" w:rsidR="0046335A" w:rsidRPr="00DE63BF" w:rsidRDefault="0046335A" w:rsidP="001F0F13">
            <w:pPr>
              <w:widowControl/>
              <w:wordWrap/>
              <w:autoSpaceDE/>
              <w:autoSpaceDN/>
              <w:jc w:val="center"/>
              <w:rPr>
                <w:b/>
                <w:bCs/>
                <w:sz w:val="20"/>
                <w:szCs w:val="20"/>
              </w:rPr>
            </w:pPr>
            <w:r>
              <w:rPr>
                <w:rFonts w:hint="eastAsia"/>
                <w:b/>
                <w:bCs/>
                <w:sz w:val="20"/>
                <w:szCs w:val="20"/>
              </w:rPr>
              <w:t>Score</w:t>
            </w:r>
          </w:p>
        </w:tc>
        <w:tc>
          <w:tcPr>
            <w:tcW w:w="3969" w:type="dxa"/>
            <w:gridSpan w:val="2"/>
            <w:shd w:val="clear" w:color="auto" w:fill="F2F2F2" w:themeFill="background1" w:themeFillShade="F2"/>
            <w:vAlign w:val="center"/>
          </w:tcPr>
          <w:p w14:paraId="4F0A2DBB" w14:textId="77777777" w:rsidR="0046335A" w:rsidRPr="00DE63BF" w:rsidRDefault="0046335A" w:rsidP="001F0F13">
            <w:pPr>
              <w:widowControl/>
              <w:wordWrap/>
              <w:autoSpaceDE/>
              <w:autoSpaceDN/>
              <w:jc w:val="center"/>
              <w:rPr>
                <w:b/>
                <w:bCs/>
                <w:sz w:val="20"/>
                <w:szCs w:val="20"/>
              </w:rPr>
            </w:pPr>
            <w:r>
              <w:rPr>
                <w:rFonts w:hint="eastAsia"/>
                <w:b/>
                <w:bCs/>
                <w:sz w:val="20"/>
                <w:szCs w:val="20"/>
              </w:rPr>
              <w:t>Item</w:t>
            </w:r>
          </w:p>
        </w:tc>
        <w:tc>
          <w:tcPr>
            <w:tcW w:w="2126" w:type="dxa"/>
            <w:shd w:val="clear" w:color="auto" w:fill="F2F2F2" w:themeFill="background1" w:themeFillShade="F2"/>
            <w:vAlign w:val="center"/>
          </w:tcPr>
          <w:p w14:paraId="5489357A" w14:textId="77777777" w:rsidR="0046335A" w:rsidRPr="00DE63BF" w:rsidRDefault="0046335A" w:rsidP="001F0F13">
            <w:pPr>
              <w:widowControl/>
              <w:wordWrap/>
              <w:autoSpaceDE/>
              <w:autoSpaceDN/>
              <w:jc w:val="center"/>
              <w:rPr>
                <w:b/>
                <w:bCs/>
                <w:sz w:val="20"/>
                <w:szCs w:val="20"/>
              </w:rPr>
            </w:pPr>
            <w:r>
              <w:rPr>
                <w:rFonts w:hint="eastAsia"/>
                <w:b/>
                <w:bCs/>
                <w:sz w:val="20"/>
                <w:szCs w:val="20"/>
              </w:rPr>
              <w:t>ChatGPT-4o κ</w:t>
            </w:r>
          </w:p>
        </w:tc>
        <w:tc>
          <w:tcPr>
            <w:tcW w:w="2126" w:type="dxa"/>
            <w:shd w:val="clear" w:color="auto" w:fill="F2F2F2" w:themeFill="background1" w:themeFillShade="F2"/>
            <w:vAlign w:val="center"/>
          </w:tcPr>
          <w:p w14:paraId="2ED55B4B" w14:textId="77777777" w:rsidR="0046335A" w:rsidRPr="00DE63BF" w:rsidRDefault="0046335A" w:rsidP="001F0F13">
            <w:pPr>
              <w:widowControl/>
              <w:wordWrap/>
              <w:autoSpaceDE/>
              <w:autoSpaceDN/>
              <w:jc w:val="center"/>
              <w:rPr>
                <w:b/>
                <w:bCs/>
                <w:sz w:val="20"/>
                <w:szCs w:val="20"/>
              </w:rPr>
            </w:pPr>
            <w:r>
              <w:rPr>
                <w:rFonts w:hint="eastAsia"/>
                <w:b/>
                <w:bCs/>
                <w:sz w:val="20"/>
                <w:szCs w:val="20"/>
              </w:rPr>
              <w:t>ChatGPT-5.1 κ</w:t>
            </w:r>
          </w:p>
        </w:tc>
        <w:tc>
          <w:tcPr>
            <w:tcW w:w="1247" w:type="dxa"/>
            <w:shd w:val="clear" w:color="auto" w:fill="F2F2F2" w:themeFill="background1" w:themeFillShade="F2"/>
          </w:tcPr>
          <w:p w14:paraId="0DCA1857" w14:textId="0714FAF1" w:rsidR="0046335A" w:rsidRDefault="0046335A" w:rsidP="001F0F13">
            <w:pPr>
              <w:widowControl/>
              <w:wordWrap/>
              <w:autoSpaceDE/>
              <w:autoSpaceDN/>
              <w:jc w:val="center"/>
              <w:rPr>
                <w:b/>
                <w:bCs/>
                <w:sz w:val="20"/>
                <w:szCs w:val="20"/>
              </w:rPr>
            </w:pPr>
            <w:r>
              <w:rPr>
                <w:rFonts w:hint="eastAsia"/>
                <w:b/>
                <w:bCs/>
                <w:sz w:val="20"/>
                <w:szCs w:val="20"/>
              </w:rPr>
              <w:t>p-value</w:t>
            </w:r>
          </w:p>
        </w:tc>
      </w:tr>
      <w:tr w:rsidR="00B74C08" w:rsidRPr="00DE63BF" w14:paraId="54053708" w14:textId="1D146B7E" w:rsidTr="00B74C08">
        <w:trPr>
          <w:trHeight w:val="351"/>
        </w:trPr>
        <w:tc>
          <w:tcPr>
            <w:tcW w:w="993" w:type="dxa"/>
            <w:vMerge w:val="restart"/>
            <w:vAlign w:val="center"/>
          </w:tcPr>
          <w:p w14:paraId="334A3E8C" w14:textId="77777777" w:rsidR="00B74C08" w:rsidRPr="00B1706C" w:rsidRDefault="00B74C08" w:rsidP="001F0F13">
            <w:pPr>
              <w:widowControl/>
              <w:wordWrap/>
              <w:autoSpaceDE/>
              <w:autoSpaceDN/>
              <w:jc w:val="center"/>
              <w:rPr>
                <w:b/>
                <w:bCs/>
                <w:sz w:val="20"/>
                <w:szCs w:val="20"/>
              </w:rPr>
            </w:pPr>
            <w:r>
              <w:rPr>
                <w:rFonts w:hint="eastAsia"/>
                <w:b/>
                <w:bCs/>
                <w:sz w:val="20"/>
                <w:szCs w:val="20"/>
              </w:rPr>
              <w:t>IPSS</w:t>
            </w:r>
          </w:p>
        </w:tc>
        <w:tc>
          <w:tcPr>
            <w:tcW w:w="638" w:type="dxa"/>
            <w:tcBorders>
              <w:right w:val="nil"/>
            </w:tcBorders>
            <w:vAlign w:val="center"/>
          </w:tcPr>
          <w:p w14:paraId="424E4E1C" w14:textId="7E098AE4" w:rsidR="00B74C08" w:rsidRPr="00DE63BF" w:rsidRDefault="00B74C08" w:rsidP="00B74C08">
            <w:pPr>
              <w:widowControl/>
              <w:wordWrap/>
              <w:autoSpaceDE/>
              <w:autoSpaceDN/>
              <w:jc w:val="center"/>
              <w:rPr>
                <w:sz w:val="20"/>
                <w:szCs w:val="20"/>
              </w:rPr>
            </w:pPr>
            <w:r>
              <w:rPr>
                <w:rFonts w:hint="eastAsia"/>
                <w:sz w:val="20"/>
                <w:szCs w:val="20"/>
              </w:rPr>
              <w:t>Q1</w:t>
            </w:r>
          </w:p>
        </w:tc>
        <w:tc>
          <w:tcPr>
            <w:tcW w:w="3331" w:type="dxa"/>
            <w:tcBorders>
              <w:left w:val="nil"/>
            </w:tcBorders>
            <w:vAlign w:val="center"/>
          </w:tcPr>
          <w:p w14:paraId="3DA1F5C2" w14:textId="5739E1A2" w:rsidR="00B74C08" w:rsidRPr="00DE63BF" w:rsidRDefault="00B74C08" w:rsidP="00B74C08">
            <w:pPr>
              <w:widowControl/>
              <w:wordWrap/>
              <w:autoSpaceDE/>
              <w:autoSpaceDN/>
              <w:jc w:val="both"/>
              <w:rPr>
                <w:sz w:val="20"/>
                <w:szCs w:val="20"/>
              </w:rPr>
            </w:pPr>
            <w:r w:rsidRPr="00B74C08">
              <w:rPr>
                <w:sz w:val="20"/>
                <w:szCs w:val="20"/>
              </w:rPr>
              <w:t>Feeling of incomplete emptying</w:t>
            </w:r>
          </w:p>
        </w:tc>
        <w:tc>
          <w:tcPr>
            <w:tcW w:w="2126" w:type="dxa"/>
            <w:vAlign w:val="center"/>
          </w:tcPr>
          <w:p w14:paraId="51176C6D" w14:textId="4A5BC504" w:rsidR="00B74C08" w:rsidRPr="00DE63BF" w:rsidRDefault="00B74C08" w:rsidP="001F0F13">
            <w:pPr>
              <w:widowControl/>
              <w:wordWrap/>
              <w:autoSpaceDE/>
              <w:autoSpaceDN/>
              <w:jc w:val="center"/>
              <w:rPr>
                <w:sz w:val="20"/>
                <w:szCs w:val="20"/>
              </w:rPr>
            </w:pPr>
            <w:r>
              <w:rPr>
                <w:rFonts w:hint="eastAsia"/>
                <w:sz w:val="20"/>
                <w:szCs w:val="20"/>
              </w:rPr>
              <w:t>0.51</w:t>
            </w:r>
          </w:p>
        </w:tc>
        <w:tc>
          <w:tcPr>
            <w:tcW w:w="2126" w:type="dxa"/>
            <w:vAlign w:val="center"/>
          </w:tcPr>
          <w:p w14:paraId="0AA76CCA" w14:textId="77777777" w:rsidR="00B74C08" w:rsidRPr="00DE63BF" w:rsidRDefault="00B74C08" w:rsidP="001F0F13">
            <w:pPr>
              <w:widowControl/>
              <w:wordWrap/>
              <w:autoSpaceDE/>
              <w:autoSpaceDN/>
              <w:jc w:val="center"/>
              <w:rPr>
                <w:sz w:val="20"/>
                <w:szCs w:val="20"/>
              </w:rPr>
            </w:pPr>
            <w:r>
              <w:rPr>
                <w:rFonts w:hint="eastAsia"/>
                <w:sz w:val="20"/>
                <w:szCs w:val="20"/>
              </w:rPr>
              <w:t>0.56</w:t>
            </w:r>
          </w:p>
        </w:tc>
        <w:tc>
          <w:tcPr>
            <w:tcW w:w="1247" w:type="dxa"/>
          </w:tcPr>
          <w:p w14:paraId="336C88DB" w14:textId="327D1BC0"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761D08F6" w14:textId="65CB095B" w:rsidTr="00B74C08">
        <w:trPr>
          <w:trHeight w:val="143"/>
        </w:trPr>
        <w:tc>
          <w:tcPr>
            <w:tcW w:w="993" w:type="dxa"/>
            <w:vMerge/>
            <w:vAlign w:val="center"/>
          </w:tcPr>
          <w:p w14:paraId="671D09D7" w14:textId="77777777" w:rsidR="00B74C08" w:rsidRPr="00DE63BF" w:rsidRDefault="00B74C08" w:rsidP="001F0F13">
            <w:pPr>
              <w:widowControl/>
              <w:wordWrap/>
              <w:autoSpaceDE/>
              <w:autoSpaceDN/>
              <w:jc w:val="center"/>
              <w:rPr>
                <w:sz w:val="20"/>
                <w:szCs w:val="20"/>
              </w:rPr>
            </w:pPr>
          </w:p>
        </w:tc>
        <w:tc>
          <w:tcPr>
            <w:tcW w:w="638" w:type="dxa"/>
            <w:tcBorders>
              <w:right w:val="nil"/>
            </w:tcBorders>
            <w:vAlign w:val="center"/>
          </w:tcPr>
          <w:p w14:paraId="600F7870" w14:textId="6E6B6642" w:rsidR="00B74C08" w:rsidRPr="00DE63BF" w:rsidRDefault="00B74C08" w:rsidP="00B74C08">
            <w:pPr>
              <w:widowControl/>
              <w:wordWrap/>
              <w:autoSpaceDE/>
              <w:autoSpaceDN/>
              <w:jc w:val="center"/>
              <w:rPr>
                <w:sz w:val="20"/>
                <w:szCs w:val="20"/>
              </w:rPr>
            </w:pPr>
            <w:r>
              <w:rPr>
                <w:rFonts w:hint="eastAsia"/>
                <w:sz w:val="20"/>
                <w:szCs w:val="20"/>
              </w:rPr>
              <w:t>Q2</w:t>
            </w:r>
          </w:p>
        </w:tc>
        <w:tc>
          <w:tcPr>
            <w:tcW w:w="3331" w:type="dxa"/>
            <w:tcBorders>
              <w:left w:val="nil"/>
            </w:tcBorders>
            <w:vAlign w:val="center"/>
          </w:tcPr>
          <w:p w14:paraId="09D4D17E" w14:textId="7DEBD550" w:rsidR="00B74C08" w:rsidRPr="00DE63BF" w:rsidRDefault="00B74C08" w:rsidP="00B74C08">
            <w:pPr>
              <w:widowControl/>
              <w:wordWrap/>
              <w:autoSpaceDE/>
              <w:autoSpaceDN/>
              <w:jc w:val="both"/>
              <w:rPr>
                <w:sz w:val="20"/>
                <w:szCs w:val="20"/>
              </w:rPr>
            </w:pPr>
            <w:r>
              <w:rPr>
                <w:rFonts w:hint="eastAsia"/>
                <w:sz w:val="20"/>
                <w:szCs w:val="20"/>
              </w:rPr>
              <w:t>F</w:t>
            </w:r>
            <w:r w:rsidRPr="00B74C08">
              <w:rPr>
                <w:sz w:val="20"/>
                <w:szCs w:val="20"/>
              </w:rPr>
              <w:t>requency</w:t>
            </w:r>
          </w:p>
        </w:tc>
        <w:tc>
          <w:tcPr>
            <w:tcW w:w="2126" w:type="dxa"/>
            <w:vAlign w:val="center"/>
          </w:tcPr>
          <w:p w14:paraId="4C8C39C7" w14:textId="798F4EF4" w:rsidR="00B74C08" w:rsidRPr="00DE63BF" w:rsidRDefault="00B74C08" w:rsidP="001F0F13">
            <w:pPr>
              <w:widowControl/>
              <w:wordWrap/>
              <w:autoSpaceDE/>
              <w:autoSpaceDN/>
              <w:jc w:val="center"/>
              <w:rPr>
                <w:sz w:val="20"/>
                <w:szCs w:val="20"/>
              </w:rPr>
            </w:pPr>
            <w:r>
              <w:rPr>
                <w:rFonts w:hint="eastAsia"/>
                <w:sz w:val="20"/>
                <w:szCs w:val="20"/>
              </w:rPr>
              <w:t>0.43</w:t>
            </w:r>
          </w:p>
        </w:tc>
        <w:tc>
          <w:tcPr>
            <w:tcW w:w="2126" w:type="dxa"/>
            <w:vAlign w:val="center"/>
          </w:tcPr>
          <w:p w14:paraId="3A916002" w14:textId="77777777" w:rsidR="00B74C08" w:rsidRPr="00DE63BF" w:rsidRDefault="00B74C08" w:rsidP="001F0F13">
            <w:pPr>
              <w:widowControl/>
              <w:wordWrap/>
              <w:autoSpaceDE/>
              <w:autoSpaceDN/>
              <w:jc w:val="center"/>
              <w:rPr>
                <w:sz w:val="20"/>
                <w:szCs w:val="20"/>
              </w:rPr>
            </w:pPr>
            <w:r>
              <w:rPr>
                <w:rFonts w:hint="eastAsia"/>
                <w:sz w:val="20"/>
                <w:szCs w:val="20"/>
              </w:rPr>
              <w:t>0.14</w:t>
            </w:r>
          </w:p>
        </w:tc>
        <w:tc>
          <w:tcPr>
            <w:tcW w:w="1247" w:type="dxa"/>
          </w:tcPr>
          <w:p w14:paraId="3932D30F" w14:textId="29715C8C"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61FC82BA" w14:textId="6DD7A89C" w:rsidTr="00B74C08">
        <w:trPr>
          <w:trHeight w:val="143"/>
        </w:trPr>
        <w:tc>
          <w:tcPr>
            <w:tcW w:w="993" w:type="dxa"/>
            <w:vMerge/>
            <w:vAlign w:val="center"/>
          </w:tcPr>
          <w:p w14:paraId="52EDB635" w14:textId="77777777" w:rsidR="00B74C08" w:rsidRPr="00B1706C" w:rsidRDefault="00B74C08" w:rsidP="001F0F13">
            <w:pPr>
              <w:widowControl/>
              <w:wordWrap/>
              <w:autoSpaceDE/>
              <w:autoSpaceDN/>
              <w:jc w:val="center"/>
              <w:rPr>
                <w:b/>
                <w:bCs/>
                <w:sz w:val="20"/>
                <w:szCs w:val="20"/>
              </w:rPr>
            </w:pPr>
          </w:p>
        </w:tc>
        <w:tc>
          <w:tcPr>
            <w:tcW w:w="638" w:type="dxa"/>
            <w:tcBorders>
              <w:right w:val="nil"/>
            </w:tcBorders>
            <w:vAlign w:val="center"/>
          </w:tcPr>
          <w:p w14:paraId="0473FE60" w14:textId="6E4B06FA" w:rsidR="00B74C08" w:rsidRDefault="00B74C08" w:rsidP="00B74C08">
            <w:pPr>
              <w:widowControl/>
              <w:wordWrap/>
              <w:autoSpaceDE/>
              <w:autoSpaceDN/>
              <w:jc w:val="center"/>
              <w:rPr>
                <w:sz w:val="20"/>
                <w:szCs w:val="20"/>
              </w:rPr>
            </w:pPr>
            <w:r>
              <w:rPr>
                <w:rFonts w:hint="eastAsia"/>
                <w:sz w:val="20"/>
                <w:szCs w:val="20"/>
              </w:rPr>
              <w:t>Q3</w:t>
            </w:r>
          </w:p>
        </w:tc>
        <w:tc>
          <w:tcPr>
            <w:tcW w:w="3331" w:type="dxa"/>
            <w:tcBorders>
              <w:left w:val="nil"/>
            </w:tcBorders>
            <w:vAlign w:val="center"/>
          </w:tcPr>
          <w:p w14:paraId="206F5A7F" w14:textId="673197BC" w:rsidR="00B74C08" w:rsidRDefault="00B74C08" w:rsidP="00B74C08">
            <w:pPr>
              <w:widowControl/>
              <w:wordWrap/>
              <w:autoSpaceDE/>
              <w:autoSpaceDN/>
              <w:jc w:val="both"/>
              <w:rPr>
                <w:sz w:val="20"/>
                <w:szCs w:val="20"/>
              </w:rPr>
            </w:pPr>
            <w:r>
              <w:rPr>
                <w:rFonts w:hint="eastAsia"/>
                <w:sz w:val="20"/>
                <w:szCs w:val="20"/>
              </w:rPr>
              <w:t>Intermittency</w:t>
            </w:r>
          </w:p>
        </w:tc>
        <w:tc>
          <w:tcPr>
            <w:tcW w:w="2126" w:type="dxa"/>
            <w:vAlign w:val="center"/>
          </w:tcPr>
          <w:p w14:paraId="70F26AA9" w14:textId="24385707" w:rsidR="00B74C08" w:rsidRDefault="00B74C08" w:rsidP="001F0F13">
            <w:pPr>
              <w:widowControl/>
              <w:wordWrap/>
              <w:autoSpaceDE/>
              <w:autoSpaceDN/>
              <w:jc w:val="center"/>
              <w:rPr>
                <w:sz w:val="20"/>
                <w:szCs w:val="20"/>
              </w:rPr>
            </w:pPr>
            <w:r>
              <w:rPr>
                <w:rFonts w:hint="eastAsia"/>
                <w:sz w:val="20"/>
                <w:szCs w:val="20"/>
              </w:rPr>
              <w:t>0.31</w:t>
            </w:r>
          </w:p>
        </w:tc>
        <w:tc>
          <w:tcPr>
            <w:tcW w:w="2126" w:type="dxa"/>
            <w:vAlign w:val="center"/>
          </w:tcPr>
          <w:p w14:paraId="1EF2C1AB" w14:textId="77777777" w:rsidR="00B74C08" w:rsidRDefault="00B74C08" w:rsidP="001F0F13">
            <w:pPr>
              <w:widowControl/>
              <w:wordWrap/>
              <w:autoSpaceDE/>
              <w:autoSpaceDN/>
              <w:jc w:val="center"/>
              <w:rPr>
                <w:sz w:val="20"/>
                <w:szCs w:val="20"/>
              </w:rPr>
            </w:pPr>
            <w:r>
              <w:rPr>
                <w:rFonts w:hint="eastAsia"/>
                <w:sz w:val="20"/>
                <w:szCs w:val="20"/>
              </w:rPr>
              <w:t>0.69</w:t>
            </w:r>
          </w:p>
        </w:tc>
        <w:tc>
          <w:tcPr>
            <w:tcW w:w="1247" w:type="dxa"/>
          </w:tcPr>
          <w:p w14:paraId="056C516D" w14:textId="7CF8353B"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4869CE02" w14:textId="277C73AD" w:rsidTr="00B74C08">
        <w:trPr>
          <w:trHeight w:val="143"/>
        </w:trPr>
        <w:tc>
          <w:tcPr>
            <w:tcW w:w="993" w:type="dxa"/>
            <w:vMerge/>
            <w:vAlign w:val="center"/>
          </w:tcPr>
          <w:p w14:paraId="2F300FF5"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61E1038B" w14:textId="6D51EC4E" w:rsidR="00B74C08" w:rsidRDefault="00B74C08" w:rsidP="00B74C08">
            <w:pPr>
              <w:widowControl/>
              <w:wordWrap/>
              <w:autoSpaceDE/>
              <w:autoSpaceDN/>
              <w:jc w:val="center"/>
              <w:rPr>
                <w:sz w:val="20"/>
                <w:szCs w:val="20"/>
              </w:rPr>
            </w:pPr>
            <w:r>
              <w:rPr>
                <w:rFonts w:hint="eastAsia"/>
                <w:sz w:val="20"/>
                <w:szCs w:val="20"/>
              </w:rPr>
              <w:t>Q4</w:t>
            </w:r>
          </w:p>
        </w:tc>
        <w:tc>
          <w:tcPr>
            <w:tcW w:w="3331" w:type="dxa"/>
            <w:tcBorders>
              <w:left w:val="nil"/>
            </w:tcBorders>
            <w:vAlign w:val="center"/>
          </w:tcPr>
          <w:p w14:paraId="1FD99CC7" w14:textId="78DC188A" w:rsidR="00B74C08" w:rsidRDefault="00B74C08" w:rsidP="00B74C08">
            <w:pPr>
              <w:widowControl/>
              <w:wordWrap/>
              <w:autoSpaceDE/>
              <w:autoSpaceDN/>
              <w:jc w:val="both"/>
              <w:rPr>
                <w:sz w:val="20"/>
                <w:szCs w:val="20"/>
              </w:rPr>
            </w:pPr>
            <w:r>
              <w:rPr>
                <w:rFonts w:hint="eastAsia"/>
                <w:sz w:val="20"/>
                <w:szCs w:val="20"/>
              </w:rPr>
              <w:t>Urgency</w:t>
            </w:r>
          </w:p>
        </w:tc>
        <w:tc>
          <w:tcPr>
            <w:tcW w:w="2126" w:type="dxa"/>
            <w:vAlign w:val="center"/>
          </w:tcPr>
          <w:p w14:paraId="1051C7A9" w14:textId="61193A2C" w:rsidR="00B74C08" w:rsidRDefault="00B74C08" w:rsidP="001F0F13">
            <w:pPr>
              <w:widowControl/>
              <w:wordWrap/>
              <w:autoSpaceDE/>
              <w:autoSpaceDN/>
              <w:jc w:val="center"/>
              <w:rPr>
                <w:sz w:val="20"/>
                <w:szCs w:val="20"/>
              </w:rPr>
            </w:pPr>
            <w:r>
              <w:rPr>
                <w:rFonts w:hint="eastAsia"/>
                <w:sz w:val="20"/>
                <w:szCs w:val="20"/>
              </w:rPr>
              <w:t>0.41</w:t>
            </w:r>
          </w:p>
        </w:tc>
        <w:tc>
          <w:tcPr>
            <w:tcW w:w="2126" w:type="dxa"/>
            <w:vAlign w:val="center"/>
          </w:tcPr>
          <w:p w14:paraId="2C6561E8" w14:textId="77777777" w:rsidR="00B74C08" w:rsidRDefault="00B74C08" w:rsidP="001F0F13">
            <w:pPr>
              <w:widowControl/>
              <w:wordWrap/>
              <w:autoSpaceDE/>
              <w:autoSpaceDN/>
              <w:jc w:val="center"/>
              <w:rPr>
                <w:sz w:val="20"/>
                <w:szCs w:val="20"/>
              </w:rPr>
            </w:pPr>
            <w:r>
              <w:rPr>
                <w:rFonts w:hint="eastAsia"/>
                <w:sz w:val="20"/>
                <w:szCs w:val="20"/>
              </w:rPr>
              <w:t>0.50</w:t>
            </w:r>
          </w:p>
        </w:tc>
        <w:tc>
          <w:tcPr>
            <w:tcW w:w="1247" w:type="dxa"/>
          </w:tcPr>
          <w:p w14:paraId="6C6E8CB6" w14:textId="591F187C"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7470D813" w14:textId="68190C4A" w:rsidTr="00B74C08">
        <w:trPr>
          <w:trHeight w:val="143"/>
        </w:trPr>
        <w:tc>
          <w:tcPr>
            <w:tcW w:w="993" w:type="dxa"/>
            <w:vMerge/>
            <w:vAlign w:val="center"/>
          </w:tcPr>
          <w:p w14:paraId="1E10FC91"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0CB6185A" w14:textId="7FED714A" w:rsidR="00B74C08" w:rsidRDefault="00B74C08" w:rsidP="00B74C08">
            <w:pPr>
              <w:widowControl/>
              <w:wordWrap/>
              <w:autoSpaceDE/>
              <w:autoSpaceDN/>
              <w:jc w:val="center"/>
              <w:rPr>
                <w:sz w:val="20"/>
                <w:szCs w:val="20"/>
              </w:rPr>
            </w:pPr>
            <w:r>
              <w:rPr>
                <w:rFonts w:hint="eastAsia"/>
                <w:sz w:val="20"/>
                <w:szCs w:val="20"/>
              </w:rPr>
              <w:t>Q5</w:t>
            </w:r>
          </w:p>
        </w:tc>
        <w:tc>
          <w:tcPr>
            <w:tcW w:w="3331" w:type="dxa"/>
            <w:tcBorders>
              <w:left w:val="nil"/>
            </w:tcBorders>
            <w:vAlign w:val="center"/>
          </w:tcPr>
          <w:p w14:paraId="19D17D83" w14:textId="61705968" w:rsidR="00B74C08" w:rsidRDefault="00B74C08" w:rsidP="00B74C08">
            <w:pPr>
              <w:widowControl/>
              <w:wordWrap/>
              <w:autoSpaceDE/>
              <w:autoSpaceDN/>
              <w:jc w:val="both"/>
              <w:rPr>
                <w:sz w:val="20"/>
                <w:szCs w:val="20"/>
              </w:rPr>
            </w:pPr>
            <w:r>
              <w:rPr>
                <w:rFonts w:hint="eastAsia"/>
                <w:sz w:val="20"/>
                <w:szCs w:val="20"/>
              </w:rPr>
              <w:t>Weak urinary stream</w:t>
            </w:r>
          </w:p>
        </w:tc>
        <w:tc>
          <w:tcPr>
            <w:tcW w:w="2126" w:type="dxa"/>
            <w:vAlign w:val="center"/>
          </w:tcPr>
          <w:p w14:paraId="40D0E7B9" w14:textId="0348C59B" w:rsidR="00B74C08" w:rsidRDefault="00B74C08" w:rsidP="001F0F13">
            <w:pPr>
              <w:widowControl/>
              <w:wordWrap/>
              <w:autoSpaceDE/>
              <w:autoSpaceDN/>
              <w:jc w:val="center"/>
              <w:rPr>
                <w:sz w:val="20"/>
                <w:szCs w:val="20"/>
              </w:rPr>
            </w:pPr>
            <w:r>
              <w:rPr>
                <w:rFonts w:hint="eastAsia"/>
                <w:sz w:val="20"/>
                <w:szCs w:val="20"/>
              </w:rPr>
              <w:t>0.41</w:t>
            </w:r>
          </w:p>
        </w:tc>
        <w:tc>
          <w:tcPr>
            <w:tcW w:w="2126" w:type="dxa"/>
            <w:vAlign w:val="center"/>
          </w:tcPr>
          <w:p w14:paraId="2956726F" w14:textId="77777777" w:rsidR="00B74C08" w:rsidRDefault="00B74C08" w:rsidP="001F0F13">
            <w:pPr>
              <w:widowControl/>
              <w:wordWrap/>
              <w:autoSpaceDE/>
              <w:autoSpaceDN/>
              <w:jc w:val="center"/>
              <w:rPr>
                <w:sz w:val="20"/>
                <w:szCs w:val="20"/>
              </w:rPr>
            </w:pPr>
            <w:r>
              <w:rPr>
                <w:rFonts w:hint="eastAsia"/>
                <w:sz w:val="20"/>
                <w:szCs w:val="20"/>
              </w:rPr>
              <w:t>0.55</w:t>
            </w:r>
          </w:p>
        </w:tc>
        <w:tc>
          <w:tcPr>
            <w:tcW w:w="1247" w:type="dxa"/>
          </w:tcPr>
          <w:p w14:paraId="23F95B8F" w14:textId="18FB3739"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08F35FE3" w14:textId="303A4D46" w:rsidTr="00B74C08">
        <w:trPr>
          <w:trHeight w:val="143"/>
        </w:trPr>
        <w:tc>
          <w:tcPr>
            <w:tcW w:w="993" w:type="dxa"/>
            <w:vMerge/>
            <w:vAlign w:val="center"/>
          </w:tcPr>
          <w:p w14:paraId="281E433F"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2C06828F" w14:textId="13882C92" w:rsidR="00B74C08" w:rsidRDefault="00B74C08" w:rsidP="00B74C08">
            <w:pPr>
              <w:widowControl/>
              <w:wordWrap/>
              <w:autoSpaceDE/>
              <w:autoSpaceDN/>
              <w:jc w:val="center"/>
              <w:rPr>
                <w:sz w:val="20"/>
                <w:szCs w:val="20"/>
              </w:rPr>
            </w:pPr>
            <w:r>
              <w:rPr>
                <w:rFonts w:hint="eastAsia"/>
                <w:sz w:val="20"/>
                <w:szCs w:val="20"/>
              </w:rPr>
              <w:t>Q6</w:t>
            </w:r>
          </w:p>
        </w:tc>
        <w:tc>
          <w:tcPr>
            <w:tcW w:w="3331" w:type="dxa"/>
            <w:tcBorders>
              <w:left w:val="nil"/>
            </w:tcBorders>
            <w:vAlign w:val="center"/>
          </w:tcPr>
          <w:p w14:paraId="5BB5919E" w14:textId="36599EC8" w:rsidR="00B74C08" w:rsidRDefault="00B74C08" w:rsidP="00B74C08">
            <w:pPr>
              <w:widowControl/>
              <w:wordWrap/>
              <w:autoSpaceDE/>
              <w:autoSpaceDN/>
              <w:jc w:val="both"/>
              <w:rPr>
                <w:sz w:val="20"/>
                <w:szCs w:val="20"/>
              </w:rPr>
            </w:pPr>
            <w:r>
              <w:rPr>
                <w:rFonts w:hint="eastAsia"/>
                <w:sz w:val="20"/>
                <w:szCs w:val="20"/>
              </w:rPr>
              <w:t>Straining</w:t>
            </w:r>
          </w:p>
        </w:tc>
        <w:tc>
          <w:tcPr>
            <w:tcW w:w="2126" w:type="dxa"/>
            <w:vAlign w:val="center"/>
          </w:tcPr>
          <w:p w14:paraId="10CB640B" w14:textId="185A4FD6" w:rsidR="00B74C08" w:rsidRDefault="00B74C08" w:rsidP="001F0F13">
            <w:pPr>
              <w:widowControl/>
              <w:wordWrap/>
              <w:autoSpaceDE/>
              <w:autoSpaceDN/>
              <w:jc w:val="center"/>
              <w:rPr>
                <w:sz w:val="20"/>
                <w:szCs w:val="20"/>
              </w:rPr>
            </w:pPr>
            <w:r>
              <w:rPr>
                <w:rFonts w:hint="eastAsia"/>
                <w:sz w:val="20"/>
                <w:szCs w:val="20"/>
              </w:rPr>
              <w:t>0.21</w:t>
            </w:r>
          </w:p>
        </w:tc>
        <w:tc>
          <w:tcPr>
            <w:tcW w:w="2126" w:type="dxa"/>
            <w:vAlign w:val="center"/>
          </w:tcPr>
          <w:p w14:paraId="65C9C765" w14:textId="77777777" w:rsidR="00B74C08" w:rsidRDefault="00B74C08" w:rsidP="001F0F13">
            <w:pPr>
              <w:widowControl/>
              <w:wordWrap/>
              <w:autoSpaceDE/>
              <w:autoSpaceDN/>
              <w:jc w:val="center"/>
              <w:rPr>
                <w:sz w:val="20"/>
                <w:szCs w:val="20"/>
              </w:rPr>
            </w:pPr>
            <w:r>
              <w:rPr>
                <w:rFonts w:hint="eastAsia"/>
                <w:sz w:val="20"/>
                <w:szCs w:val="20"/>
              </w:rPr>
              <w:t>0.39</w:t>
            </w:r>
          </w:p>
        </w:tc>
        <w:tc>
          <w:tcPr>
            <w:tcW w:w="1247" w:type="dxa"/>
          </w:tcPr>
          <w:p w14:paraId="47B3457B" w14:textId="788247F1"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3BEFB228" w14:textId="437D4B5C" w:rsidTr="00B74C08">
        <w:trPr>
          <w:trHeight w:val="143"/>
        </w:trPr>
        <w:tc>
          <w:tcPr>
            <w:tcW w:w="993" w:type="dxa"/>
            <w:vMerge/>
            <w:vAlign w:val="center"/>
          </w:tcPr>
          <w:p w14:paraId="7BB2340B"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7E838D1E" w14:textId="4A541208" w:rsidR="00B74C08" w:rsidRDefault="00B74C08" w:rsidP="00B74C08">
            <w:pPr>
              <w:widowControl/>
              <w:wordWrap/>
              <w:autoSpaceDE/>
              <w:autoSpaceDN/>
              <w:jc w:val="center"/>
              <w:rPr>
                <w:sz w:val="20"/>
                <w:szCs w:val="20"/>
              </w:rPr>
            </w:pPr>
            <w:r>
              <w:rPr>
                <w:rFonts w:hint="eastAsia"/>
                <w:sz w:val="20"/>
                <w:szCs w:val="20"/>
              </w:rPr>
              <w:t>Q7</w:t>
            </w:r>
          </w:p>
        </w:tc>
        <w:tc>
          <w:tcPr>
            <w:tcW w:w="3331" w:type="dxa"/>
            <w:tcBorders>
              <w:left w:val="nil"/>
            </w:tcBorders>
            <w:vAlign w:val="center"/>
          </w:tcPr>
          <w:p w14:paraId="1E3A24B4" w14:textId="51750F96" w:rsidR="00B74C08" w:rsidRDefault="00B74C08" w:rsidP="00B74C08">
            <w:pPr>
              <w:widowControl/>
              <w:wordWrap/>
              <w:autoSpaceDE/>
              <w:autoSpaceDN/>
              <w:jc w:val="both"/>
              <w:rPr>
                <w:sz w:val="20"/>
                <w:szCs w:val="20"/>
              </w:rPr>
            </w:pPr>
            <w:r>
              <w:rPr>
                <w:rFonts w:hint="eastAsia"/>
                <w:sz w:val="20"/>
                <w:szCs w:val="20"/>
              </w:rPr>
              <w:t>Nocturia</w:t>
            </w:r>
          </w:p>
        </w:tc>
        <w:tc>
          <w:tcPr>
            <w:tcW w:w="2126" w:type="dxa"/>
            <w:vAlign w:val="center"/>
          </w:tcPr>
          <w:p w14:paraId="17C9B34F" w14:textId="0AD4BBED" w:rsidR="00B74C08" w:rsidRDefault="00B74C08" w:rsidP="001F0F13">
            <w:pPr>
              <w:widowControl/>
              <w:wordWrap/>
              <w:autoSpaceDE/>
              <w:autoSpaceDN/>
              <w:jc w:val="center"/>
              <w:rPr>
                <w:sz w:val="20"/>
                <w:szCs w:val="20"/>
              </w:rPr>
            </w:pPr>
            <w:r>
              <w:rPr>
                <w:rFonts w:hint="eastAsia"/>
                <w:sz w:val="20"/>
                <w:szCs w:val="20"/>
              </w:rPr>
              <w:t>0.31</w:t>
            </w:r>
          </w:p>
        </w:tc>
        <w:tc>
          <w:tcPr>
            <w:tcW w:w="2126" w:type="dxa"/>
            <w:vAlign w:val="center"/>
          </w:tcPr>
          <w:p w14:paraId="2FF09778" w14:textId="77777777" w:rsidR="00B74C08" w:rsidRDefault="00B74C08" w:rsidP="001F0F13">
            <w:pPr>
              <w:widowControl/>
              <w:wordWrap/>
              <w:autoSpaceDE/>
              <w:autoSpaceDN/>
              <w:jc w:val="center"/>
              <w:rPr>
                <w:sz w:val="20"/>
                <w:szCs w:val="20"/>
              </w:rPr>
            </w:pPr>
            <w:r>
              <w:rPr>
                <w:rFonts w:hint="eastAsia"/>
                <w:sz w:val="20"/>
                <w:szCs w:val="20"/>
              </w:rPr>
              <w:t>0.57</w:t>
            </w:r>
          </w:p>
        </w:tc>
        <w:tc>
          <w:tcPr>
            <w:tcW w:w="1247" w:type="dxa"/>
          </w:tcPr>
          <w:p w14:paraId="38C0F3CB" w14:textId="390ED845"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6726319A" w14:textId="5D5597BF" w:rsidTr="00B74C08">
        <w:trPr>
          <w:trHeight w:val="143"/>
        </w:trPr>
        <w:tc>
          <w:tcPr>
            <w:tcW w:w="993" w:type="dxa"/>
            <w:vMerge/>
            <w:vAlign w:val="center"/>
          </w:tcPr>
          <w:p w14:paraId="3DDA696C"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7F0B2B13" w14:textId="602CD0FF" w:rsidR="00B74C08" w:rsidRDefault="00B74C08" w:rsidP="00B74C08">
            <w:pPr>
              <w:widowControl/>
              <w:wordWrap/>
              <w:autoSpaceDE/>
              <w:autoSpaceDN/>
              <w:jc w:val="center"/>
              <w:rPr>
                <w:sz w:val="20"/>
                <w:szCs w:val="20"/>
              </w:rPr>
            </w:pPr>
            <w:r>
              <w:rPr>
                <w:rFonts w:hint="eastAsia"/>
                <w:sz w:val="20"/>
                <w:szCs w:val="20"/>
              </w:rPr>
              <w:t>Q8</w:t>
            </w:r>
          </w:p>
        </w:tc>
        <w:tc>
          <w:tcPr>
            <w:tcW w:w="3331" w:type="dxa"/>
            <w:tcBorders>
              <w:left w:val="nil"/>
            </w:tcBorders>
            <w:vAlign w:val="center"/>
          </w:tcPr>
          <w:p w14:paraId="23FFCC59" w14:textId="5BD91A1B" w:rsidR="00B74C08" w:rsidRDefault="00B74C08" w:rsidP="00B74C08">
            <w:pPr>
              <w:widowControl/>
              <w:wordWrap/>
              <w:autoSpaceDE/>
              <w:autoSpaceDN/>
              <w:jc w:val="both"/>
              <w:rPr>
                <w:sz w:val="20"/>
                <w:szCs w:val="20"/>
              </w:rPr>
            </w:pPr>
            <w:r>
              <w:rPr>
                <w:rFonts w:hint="eastAsia"/>
                <w:sz w:val="20"/>
                <w:szCs w:val="20"/>
              </w:rPr>
              <w:t>QoL</w:t>
            </w:r>
          </w:p>
        </w:tc>
        <w:tc>
          <w:tcPr>
            <w:tcW w:w="2126" w:type="dxa"/>
            <w:vAlign w:val="center"/>
          </w:tcPr>
          <w:p w14:paraId="6A8065BF" w14:textId="4BD0CAC5" w:rsidR="00B74C08" w:rsidRDefault="00B74C08" w:rsidP="001F0F13">
            <w:pPr>
              <w:widowControl/>
              <w:wordWrap/>
              <w:autoSpaceDE/>
              <w:autoSpaceDN/>
              <w:jc w:val="center"/>
              <w:rPr>
                <w:sz w:val="20"/>
                <w:szCs w:val="20"/>
              </w:rPr>
            </w:pPr>
            <w:r>
              <w:rPr>
                <w:rFonts w:hint="eastAsia"/>
                <w:sz w:val="20"/>
                <w:szCs w:val="20"/>
              </w:rPr>
              <w:t>0.82</w:t>
            </w:r>
          </w:p>
        </w:tc>
        <w:tc>
          <w:tcPr>
            <w:tcW w:w="2126" w:type="dxa"/>
            <w:vAlign w:val="center"/>
          </w:tcPr>
          <w:p w14:paraId="5ACC3550" w14:textId="2AEFE673" w:rsidR="00B74C08" w:rsidRDefault="00B74C08" w:rsidP="001F0F13">
            <w:pPr>
              <w:widowControl/>
              <w:wordWrap/>
              <w:autoSpaceDE/>
              <w:autoSpaceDN/>
              <w:jc w:val="center"/>
              <w:rPr>
                <w:sz w:val="20"/>
                <w:szCs w:val="20"/>
              </w:rPr>
            </w:pPr>
            <w:r>
              <w:rPr>
                <w:rFonts w:hint="eastAsia"/>
                <w:sz w:val="20"/>
                <w:szCs w:val="20"/>
              </w:rPr>
              <w:t>0.53</w:t>
            </w:r>
          </w:p>
        </w:tc>
        <w:tc>
          <w:tcPr>
            <w:tcW w:w="1247" w:type="dxa"/>
          </w:tcPr>
          <w:p w14:paraId="37AB74E5" w14:textId="08034420"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7B75D29C" w14:textId="47B04E5B" w:rsidTr="00B74C08">
        <w:trPr>
          <w:trHeight w:val="343"/>
        </w:trPr>
        <w:tc>
          <w:tcPr>
            <w:tcW w:w="993" w:type="dxa"/>
            <w:vMerge w:val="restart"/>
            <w:vAlign w:val="center"/>
          </w:tcPr>
          <w:p w14:paraId="75928105" w14:textId="77777777" w:rsidR="00B74C08" w:rsidRDefault="00B74C08" w:rsidP="001F0F13">
            <w:pPr>
              <w:widowControl/>
              <w:wordWrap/>
              <w:autoSpaceDE/>
              <w:autoSpaceDN/>
              <w:jc w:val="center"/>
              <w:rPr>
                <w:b/>
                <w:bCs/>
                <w:sz w:val="20"/>
                <w:szCs w:val="20"/>
              </w:rPr>
            </w:pPr>
            <w:r>
              <w:rPr>
                <w:rFonts w:hint="eastAsia"/>
                <w:b/>
                <w:bCs/>
                <w:sz w:val="20"/>
                <w:szCs w:val="20"/>
              </w:rPr>
              <w:t>OABSS</w:t>
            </w:r>
          </w:p>
        </w:tc>
        <w:tc>
          <w:tcPr>
            <w:tcW w:w="638" w:type="dxa"/>
            <w:tcBorders>
              <w:right w:val="nil"/>
            </w:tcBorders>
            <w:vAlign w:val="center"/>
          </w:tcPr>
          <w:p w14:paraId="106C8A84" w14:textId="5D3DB24A" w:rsidR="00B74C08" w:rsidRDefault="00B74C08" w:rsidP="00B74C08">
            <w:pPr>
              <w:widowControl/>
              <w:wordWrap/>
              <w:autoSpaceDE/>
              <w:autoSpaceDN/>
              <w:jc w:val="center"/>
              <w:rPr>
                <w:sz w:val="20"/>
                <w:szCs w:val="20"/>
              </w:rPr>
            </w:pPr>
            <w:r>
              <w:rPr>
                <w:rFonts w:hint="eastAsia"/>
                <w:sz w:val="20"/>
                <w:szCs w:val="20"/>
              </w:rPr>
              <w:t>Q1</w:t>
            </w:r>
          </w:p>
        </w:tc>
        <w:tc>
          <w:tcPr>
            <w:tcW w:w="3331" w:type="dxa"/>
            <w:tcBorders>
              <w:left w:val="nil"/>
            </w:tcBorders>
            <w:vAlign w:val="center"/>
          </w:tcPr>
          <w:p w14:paraId="6E281963" w14:textId="750DA291" w:rsidR="00B74C08" w:rsidRDefault="00B74C08" w:rsidP="00B74C08">
            <w:pPr>
              <w:widowControl/>
              <w:wordWrap/>
              <w:autoSpaceDE/>
              <w:autoSpaceDN/>
              <w:jc w:val="both"/>
              <w:rPr>
                <w:sz w:val="20"/>
                <w:szCs w:val="20"/>
              </w:rPr>
            </w:pPr>
            <w:r>
              <w:rPr>
                <w:rFonts w:hint="eastAsia"/>
                <w:sz w:val="20"/>
                <w:szCs w:val="20"/>
              </w:rPr>
              <w:t>Daytime frequency</w:t>
            </w:r>
          </w:p>
        </w:tc>
        <w:tc>
          <w:tcPr>
            <w:tcW w:w="2126" w:type="dxa"/>
            <w:vAlign w:val="center"/>
          </w:tcPr>
          <w:p w14:paraId="2F0A9A6F" w14:textId="15A821DF" w:rsidR="00B74C08" w:rsidRDefault="00B74C08" w:rsidP="001F0F13">
            <w:pPr>
              <w:widowControl/>
              <w:wordWrap/>
              <w:autoSpaceDE/>
              <w:autoSpaceDN/>
              <w:jc w:val="center"/>
              <w:rPr>
                <w:sz w:val="20"/>
                <w:szCs w:val="20"/>
              </w:rPr>
            </w:pPr>
            <w:r>
              <w:rPr>
                <w:rFonts w:hint="eastAsia"/>
                <w:sz w:val="20"/>
                <w:szCs w:val="20"/>
              </w:rPr>
              <w:t>0.41</w:t>
            </w:r>
          </w:p>
        </w:tc>
        <w:tc>
          <w:tcPr>
            <w:tcW w:w="2126" w:type="dxa"/>
            <w:vAlign w:val="center"/>
          </w:tcPr>
          <w:p w14:paraId="44D35BCE" w14:textId="77777777" w:rsidR="00B74C08" w:rsidRDefault="00B74C08" w:rsidP="001F0F13">
            <w:pPr>
              <w:widowControl/>
              <w:wordWrap/>
              <w:autoSpaceDE/>
              <w:autoSpaceDN/>
              <w:jc w:val="center"/>
              <w:rPr>
                <w:sz w:val="20"/>
                <w:szCs w:val="20"/>
              </w:rPr>
            </w:pPr>
            <w:r>
              <w:rPr>
                <w:rFonts w:hint="eastAsia"/>
                <w:sz w:val="20"/>
                <w:szCs w:val="20"/>
              </w:rPr>
              <w:t>0.40</w:t>
            </w:r>
          </w:p>
        </w:tc>
        <w:tc>
          <w:tcPr>
            <w:tcW w:w="1247" w:type="dxa"/>
          </w:tcPr>
          <w:p w14:paraId="51BAD8BE" w14:textId="4CDEA955"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053A4E45" w14:textId="0819C925" w:rsidTr="00B74C08">
        <w:trPr>
          <w:trHeight w:val="143"/>
        </w:trPr>
        <w:tc>
          <w:tcPr>
            <w:tcW w:w="993" w:type="dxa"/>
            <w:vMerge/>
            <w:vAlign w:val="center"/>
          </w:tcPr>
          <w:p w14:paraId="721DB6A3"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78F470BD" w14:textId="68AA5A3A" w:rsidR="00B74C08" w:rsidRDefault="00B74C08" w:rsidP="00B74C08">
            <w:pPr>
              <w:widowControl/>
              <w:wordWrap/>
              <w:autoSpaceDE/>
              <w:autoSpaceDN/>
              <w:jc w:val="center"/>
              <w:rPr>
                <w:sz w:val="20"/>
                <w:szCs w:val="20"/>
              </w:rPr>
            </w:pPr>
            <w:r>
              <w:rPr>
                <w:rFonts w:hint="eastAsia"/>
                <w:sz w:val="20"/>
                <w:szCs w:val="20"/>
              </w:rPr>
              <w:t>Q2</w:t>
            </w:r>
          </w:p>
        </w:tc>
        <w:tc>
          <w:tcPr>
            <w:tcW w:w="3331" w:type="dxa"/>
            <w:tcBorders>
              <w:left w:val="nil"/>
            </w:tcBorders>
            <w:vAlign w:val="center"/>
          </w:tcPr>
          <w:p w14:paraId="682EF453" w14:textId="19FB2D99" w:rsidR="00B74C08" w:rsidRDefault="00B74C08" w:rsidP="00B74C08">
            <w:pPr>
              <w:widowControl/>
              <w:wordWrap/>
              <w:autoSpaceDE/>
              <w:autoSpaceDN/>
              <w:jc w:val="both"/>
              <w:rPr>
                <w:sz w:val="20"/>
                <w:szCs w:val="20"/>
              </w:rPr>
            </w:pPr>
            <w:r>
              <w:rPr>
                <w:rFonts w:hint="eastAsia"/>
                <w:sz w:val="20"/>
                <w:szCs w:val="20"/>
              </w:rPr>
              <w:t>Nocturia</w:t>
            </w:r>
          </w:p>
        </w:tc>
        <w:tc>
          <w:tcPr>
            <w:tcW w:w="2126" w:type="dxa"/>
            <w:vAlign w:val="center"/>
          </w:tcPr>
          <w:p w14:paraId="549607A8" w14:textId="19DDAC7D" w:rsidR="00B74C08" w:rsidRDefault="00B74C08" w:rsidP="001F0F13">
            <w:pPr>
              <w:widowControl/>
              <w:wordWrap/>
              <w:autoSpaceDE/>
              <w:autoSpaceDN/>
              <w:jc w:val="center"/>
              <w:rPr>
                <w:sz w:val="20"/>
                <w:szCs w:val="20"/>
              </w:rPr>
            </w:pPr>
            <w:r>
              <w:rPr>
                <w:rFonts w:hint="eastAsia"/>
                <w:sz w:val="20"/>
                <w:szCs w:val="20"/>
              </w:rPr>
              <w:t>0.51</w:t>
            </w:r>
          </w:p>
        </w:tc>
        <w:tc>
          <w:tcPr>
            <w:tcW w:w="2126" w:type="dxa"/>
            <w:vAlign w:val="center"/>
          </w:tcPr>
          <w:p w14:paraId="1AB0A1C2" w14:textId="77777777" w:rsidR="00B74C08" w:rsidRDefault="00B74C08" w:rsidP="001F0F13">
            <w:pPr>
              <w:widowControl/>
              <w:wordWrap/>
              <w:autoSpaceDE/>
              <w:autoSpaceDN/>
              <w:jc w:val="center"/>
              <w:rPr>
                <w:sz w:val="20"/>
                <w:szCs w:val="20"/>
              </w:rPr>
            </w:pPr>
            <w:r>
              <w:rPr>
                <w:rFonts w:hint="eastAsia"/>
                <w:sz w:val="20"/>
                <w:szCs w:val="20"/>
              </w:rPr>
              <w:t>0.45</w:t>
            </w:r>
          </w:p>
        </w:tc>
        <w:tc>
          <w:tcPr>
            <w:tcW w:w="1247" w:type="dxa"/>
          </w:tcPr>
          <w:p w14:paraId="604634EE" w14:textId="15130CA8"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27A097C5" w14:textId="006979EA" w:rsidTr="00B74C08">
        <w:trPr>
          <w:trHeight w:val="143"/>
        </w:trPr>
        <w:tc>
          <w:tcPr>
            <w:tcW w:w="993" w:type="dxa"/>
            <w:vMerge/>
            <w:vAlign w:val="center"/>
          </w:tcPr>
          <w:p w14:paraId="28D968C9"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3795B7F1" w14:textId="3DB15CCF" w:rsidR="00B74C08" w:rsidRDefault="00B74C08" w:rsidP="00B74C08">
            <w:pPr>
              <w:widowControl/>
              <w:wordWrap/>
              <w:autoSpaceDE/>
              <w:autoSpaceDN/>
              <w:jc w:val="center"/>
              <w:rPr>
                <w:sz w:val="20"/>
                <w:szCs w:val="20"/>
              </w:rPr>
            </w:pPr>
            <w:r>
              <w:rPr>
                <w:rFonts w:hint="eastAsia"/>
                <w:sz w:val="20"/>
                <w:szCs w:val="20"/>
              </w:rPr>
              <w:t>Q3</w:t>
            </w:r>
          </w:p>
        </w:tc>
        <w:tc>
          <w:tcPr>
            <w:tcW w:w="3331" w:type="dxa"/>
            <w:tcBorders>
              <w:left w:val="nil"/>
            </w:tcBorders>
            <w:vAlign w:val="center"/>
          </w:tcPr>
          <w:p w14:paraId="613B00AE" w14:textId="6CD3A09E" w:rsidR="00B74C08" w:rsidRDefault="00B74C08" w:rsidP="00B74C08">
            <w:pPr>
              <w:widowControl/>
              <w:wordWrap/>
              <w:autoSpaceDE/>
              <w:autoSpaceDN/>
              <w:jc w:val="both"/>
              <w:rPr>
                <w:sz w:val="20"/>
                <w:szCs w:val="20"/>
              </w:rPr>
            </w:pPr>
            <w:r>
              <w:rPr>
                <w:rFonts w:hint="eastAsia"/>
                <w:sz w:val="20"/>
                <w:szCs w:val="20"/>
              </w:rPr>
              <w:t>Urgency</w:t>
            </w:r>
          </w:p>
        </w:tc>
        <w:tc>
          <w:tcPr>
            <w:tcW w:w="2126" w:type="dxa"/>
            <w:vAlign w:val="center"/>
          </w:tcPr>
          <w:p w14:paraId="05BE78FD" w14:textId="56C51171" w:rsidR="00B74C08" w:rsidRDefault="00B74C08" w:rsidP="001F0F13">
            <w:pPr>
              <w:widowControl/>
              <w:wordWrap/>
              <w:autoSpaceDE/>
              <w:autoSpaceDN/>
              <w:jc w:val="center"/>
              <w:rPr>
                <w:sz w:val="20"/>
                <w:szCs w:val="20"/>
              </w:rPr>
            </w:pPr>
            <w:r>
              <w:rPr>
                <w:rFonts w:hint="eastAsia"/>
                <w:sz w:val="20"/>
                <w:szCs w:val="20"/>
              </w:rPr>
              <w:t>0.61</w:t>
            </w:r>
          </w:p>
        </w:tc>
        <w:tc>
          <w:tcPr>
            <w:tcW w:w="2126" w:type="dxa"/>
            <w:vAlign w:val="center"/>
          </w:tcPr>
          <w:p w14:paraId="77342C9E" w14:textId="77777777" w:rsidR="00B74C08" w:rsidRDefault="00B74C08" w:rsidP="001F0F13">
            <w:pPr>
              <w:widowControl/>
              <w:wordWrap/>
              <w:autoSpaceDE/>
              <w:autoSpaceDN/>
              <w:jc w:val="center"/>
              <w:rPr>
                <w:sz w:val="20"/>
                <w:szCs w:val="20"/>
              </w:rPr>
            </w:pPr>
            <w:r>
              <w:rPr>
                <w:rFonts w:hint="eastAsia"/>
                <w:sz w:val="20"/>
                <w:szCs w:val="20"/>
              </w:rPr>
              <w:t>0.60</w:t>
            </w:r>
          </w:p>
        </w:tc>
        <w:tc>
          <w:tcPr>
            <w:tcW w:w="1247" w:type="dxa"/>
          </w:tcPr>
          <w:p w14:paraId="6976A540" w14:textId="16D9364A" w:rsidR="00B74C08" w:rsidRDefault="00B74C08" w:rsidP="001F0F13">
            <w:pPr>
              <w:widowControl/>
              <w:wordWrap/>
              <w:autoSpaceDE/>
              <w:autoSpaceDN/>
              <w:jc w:val="center"/>
              <w:rPr>
                <w:sz w:val="20"/>
                <w:szCs w:val="20"/>
              </w:rPr>
            </w:pPr>
            <w:r>
              <w:rPr>
                <w:rFonts w:hint="eastAsia"/>
                <w:sz w:val="20"/>
                <w:szCs w:val="20"/>
              </w:rPr>
              <w:t>&lt;0.01</w:t>
            </w:r>
          </w:p>
        </w:tc>
      </w:tr>
      <w:tr w:rsidR="00B74C08" w:rsidRPr="00DE63BF" w14:paraId="21E0B437" w14:textId="07AE7EA4" w:rsidTr="00B74C08">
        <w:trPr>
          <w:trHeight w:val="143"/>
        </w:trPr>
        <w:tc>
          <w:tcPr>
            <w:tcW w:w="993" w:type="dxa"/>
            <w:vMerge/>
            <w:vAlign w:val="center"/>
          </w:tcPr>
          <w:p w14:paraId="56EB2978" w14:textId="77777777" w:rsidR="00B74C08" w:rsidRDefault="00B74C08" w:rsidP="001F0F13">
            <w:pPr>
              <w:widowControl/>
              <w:wordWrap/>
              <w:autoSpaceDE/>
              <w:autoSpaceDN/>
              <w:jc w:val="center"/>
              <w:rPr>
                <w:b/>
                <w:bCs/>
                <w:sz w:val="20"/>
                <w:szCs w:val="20"/>
              </w:rPr>
            </w:pPr>
          </w:p>
        </w:tc>
        <w:tc>
          <w:tcPr>
            <w:tcW w:w="638" w:type="dxa"/>
            <w:tcBorders>
              <w:right w:val="nil"/>
            </w:tcBorders>
            <w:vAlign w:val="center"/>
          </w:tcPr>
          <w:p w14:paraId="16A2D6AF" w14:textId="7EFB5632" w:rsidR="00B74C08" w:rsidRDefault="00B74C08" w:rsidP="00B74C08">
            <w:pPr>
              <w:widowControl/>
              <w:wordWrap/>
              <w:autoSpaceDE/>
              <w:autoSpaceDN/>
              <w:jc w:val="center"/>
              <w:rPr>
                <w:sz w:val="20"/>
                <w:szCs w:val="20"/>
              </w:rPr>
            </w:pPr>
            <w:r>
              <w:rPr>
                <w:rFonts w:hint="eastAsia"/>
                <w:sz w:val="20"/>
                <w:szCs w:val="20"/>
              </w:rPr>
              <w:t>Q4</w:t>
            </w:r>
          </w:p>
        </w:tc>
        <w:tc>
          <w:tcPr>
            <w:tcW w:w="3331" w:type="dxa"/>
            <w:tcBorders>
              <w:left w:val="nil"/>
            </w:tcBorders>
            <w:vAlign w:val="center"/>
          </w:tcPr>
          <w:p w14:paraId="64E5CFED" w14:textId="195F40BC" w:rsidR="00B74C08" w:rsidRDefault="00B74C08" w:rsidP="00B74C08">
            <w:pPr>
              <w:widowControl/>
              <w:wordWrap/>
              <w:autoSpaceDE/>
              <w:autoSpaceDN/>
              <w:jc w:val="both"/>
              <w:rPr>
                <w:sz w:val="20"/>
                <w:szCs w:val="20"/>
              </w:rPr>
            </w:pPr>
            <w:r>
              <w:rPr>
                <w:rFonts w:hint="eastAsia"/>
                <w:sz w:val="20"/>
                <w:szCs w:val="20"/>
              </w:rPr>
              <w:t>Urgent urinary incontinence</w:t>
            </w:r>
          </w:p>
        </w:tc>
        <w:tc>
          <w:tcPr>
            <w:tcW w:w="2126" w:type="dxa"/>
            <w:vAlign w:val="center"/>
          </w:tcPr>
          <w:p w14:paraId="0012B53F" w14:textId="6CA3D9C2" w:rsidR="00B74C08" w:rsidRDefault="00B74C08" w:rsidP="001F0F13">
            <w:pPr>
              <w:widowControl/>
              <w:wordWrap/>
              <w:autoSpaceDE/>
              <w:autoSpaceDN/>
              <w:jc w:val="center"/>
              <w:rPr>
                <w:sz w:val="20"/>
                <w:szCs w:val="20"/>
              </w:rPr>
            </w:pPr>
            <w:r>
              <w:rPr>
                <w:rFonts w:hint="eastAsia"/>
                <w:sz w:val="20"/>
                <w:szCs w:val="20"/>
              </w:rPr>
              <w:t>0.73</w:t>
            </w:r>
          </w:p>
        </w:tc>
        <w:tc>
          <w:tcPr>
            <w:tcW w:w="2126" w:type="dxa"/>
            <w:vAlign w:val="center"/>
          </w:tcPr>
          <w:p w14:paraId="68BFD1CE" w14:textId="77777777" w:rsidR="00B74C08" w:rsidRDefault="00B74C08" w:rsidP="001F0F13">
            <w:pPr>
              <w:widowControl/>
              <w:wordWrap/>
              <w:autoSpaceDE/>
              <w:autoSpaceDN/>
              <w:jc w:val="center"/>
              <w:rPr>
                <w:sz w:val="20"/>
                <w:szCs w:val="20"/>
              </w:rPr>
            </w:pPr>
            <w:r>
              <w:rPr>
                <w:rFonts w:hint="eastAsia"/>
                <w:sz w:val="20"/>
                <w:szCs w:val="20"/>
              </w:rPr>
              <w:t>0.61</w:t>
            </w:r>
          </w:p>
        </w:tc>
        <w:tc>
          <w:tcPr>
            <w:tcW w:w="1247" w:type="dxa"/>
          </w:tcPr>
          <w:p w14:paraId="4C3D1B24" w14:textId="260483A2" w:rsidR="00B74C08" w:rsidRDefault="00B74C08" w:rsidP="001F0F13">
            <w:pPr>
              <w:widowControl/>
              <w:wordWrap/>
              <w:autoSpaceDE/>
              <w:autoSpaceDN/>
              <w:jc w:val="center"/>
              <w:rPr>
                <w:sz w:val="20"/>
                <w:szCs w:val="20"/>
              </w:rPr>
            </w:pPr>
            <w:r>
              <w:rPr>
                <w:rFonts w:hint="eastAsia"/>
                <w:sz w:val="20"/>
                <w:szCs w:val="20"/>
              </w:rPr>
              <w:t>&lt;0.01</w:t>
            </w:r>
          </w:p>
        </w:tc>
      </w:tr>
    </w:tbl>
    <w:p w14:paraId="7F97039E" w14:textId="3CD7BC13" w:rsidR="00AF7FED" w:rsidRDefault="00AF7FED">
      <w:pPr>
        <w:rPr>
          <w:sz w:val="20"/>
          <w:szCs w:val="20"/>
        </w:rPr>
      </w:pPr>
    </w:p>
    <w:p w14:paraId="3B56F646" w14:textId="77777777" w:rsidR="00AF7FED" w:rsidRDefault="00AF7FED">
      <w:pPr>
        <w:widowControl/>
        <w:wordWrap/>
        <w:autoSpaceDE/>
        <w:autoSpaceDN/>
        <w:rPr>
          <w:sz w:val="20"/>
          <w:szCs w:val="20"/>
        </w:rPr>
      </w:pPr>
      <w:r>
        <w:rPr>
          <w:sz w:val="20"/>
          <w:szCs w:val="20"/>
        </w:rPr>
        <w:br w:type="page"/>
      </w:r>
    </w:p>
    <w:p w14:paraId="3A8C8BB0" w14:textId="5940D72F" w:rsidR="00AF7FED" w:rsidRDefault="00AF7FED">
      <w:pPr>
        <w:rPr>
          <w:b/>
          <w:bCs/>
          <w:sz w:val="20"/>
          <w:szCs w:val="20"/>
        </w:rPr>
      </w:pPr>
      <w:r>
        <w:rPr>
          <w:rFonts w:hint="eastAsia"/>
          <w:b/>
          <w:bCs/>
          <w:sz w:val="20"/>
          <w:szCs w:val="20"/>
        </w:rPr>
        <w:lastRenderedPageBreak/>
        <w:t xml:space="preserve">Supplementary Figure S1. </w:t>
      </w:r>
      <w:r w:rsidRPr="00AF7FED">
        <w:rPr>
          <w:b/>
          <w:bCs/>
          <w:sz w:val="20"/>
          <w:szCs w:val="20"/>
        </w:rPr>
        <w:t>Bland–Altman plots comparing AI-predicted and ground-truth total scores for IPSS and OABSS</w:t>
      </w:r>
    </w:p>
    <w:p w14:paraId="6C6FE05F" w14:textId="62EDD504" w:rsidR="00AF7FED" w:rsidRDefault="00AF7FED">
      <w:pPr>
        <w:rPr>
          <w:sz w:val="20"/>
          <w:szCs w:val="20"/>
        </w:rPr>
      </w:pPr>
      <w:r w:rsidRPr="00AF7FED">
        <w:rPr>
          <w:sz w:val="20"/>
          <w:szCs w:val="20"/>
        </w:rPr>
        <w:t>Bland–Altman plots illustrating agreement between AI-predicted and ground-truth total scores for the IPSS and the OABSS. Separate panels are shown for ChatGPT-4o and ChatGPT-5.1. The solid horizontal line represents the mean difference (bias), and dashed lines indicate the 95% limits of agreement (mean difference ± 1.96 standard deviations).</w:t>
      </w:r>
    </w:p>
    <w:p w14:paraId="06DA718D" w14:textId="77777777" w:rsidR="00AF7FED" w:rsidRDefault="00AF7FED">
      <w:pPr>
        <w:rPr>
          <w:sz w:val="20"/>
          <w:szCs w:val="20"/>
        </w:rPr>
      </w:pPr>
    </w:p>
    <w:p w14:paraId="716F067B" w14:textId="3F7C6CE9" w:rsidR="00CC0EE0" w:rsidRDefault="00AF7FED">
      <w:pPr>
        <w:rPr>
          <w:sz w:val="20"/>
          <w:szCs w:val="20"/>
        </w:rPr>
      </w:pPr>
      <w:r>
        <w:rPr>
          <w:noProof/>
          <w:sz w:val="20"/>
          <w:szCs w:val="20"/>
        </w:rPr>
        <w:drawing>
          <wp:inline distT="0" distB="0" distL="0" distR="0" wp14:anchorId="470F7D0A" wp14:editId="7E63A6A2">
            <wp:extent cx="4585540" cy="2676525"/>
            <wp:effectExtent l="0" t="0" r="5715" b="0"/>
            <wp:docPr id="1102525987"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29769" cy="2702341"/>
                    </a:xfrm>
                    <a:prstGeom prst="rect">
                      <a:avLst/>
                    </a:prstGeom>
                    <a:noFill/>
                    <a:ln>
                      <a:noFill/>
                    </a:ln>
                  </pic:spPr>
                </pic:pic>
              </a:graphicData>
            </a:graphic>
          </wp:inline>
        </w:drawing>
      </w:r>
      <w:r>
        <w:rPr>
          <w:noProof/>
          <w:sz w:val="20"/>
          <w:szCs w:val="20"/>
        </w:rPr>
        <w:drawing>
          <wp:inline distT="0" distB="0" distL="0" distR="0" wp14:anchorId="11F4F76F" wp14:editId="6D50178A">
            <wp:extent cx="4543425" cy="2651944"/>
            <wp:effectExtent l="0" t="0" r="0" b="0"/>
            <wp:docPr id="115282575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96639" cy="2683004"/>
                    </a:xfrm>
                    <a:prstGeom prst="rect">
                      <a:avLst/>
                    </a:prstGeom>
                    <a:noFill/>
                    <a:ln>
                      <a:noFill/>
                    </a:ln>
                  </pic:spPr>
                </pic:pic>
              </a:graphicData>
            </a:graphic>
          </wp:inline>
        </w:drawing>
      </w:r>
      <w:r>
        <w:rPr>
          <w:noProof/>
          <w:sz w:val="20"/>
          <w:szCs w:val="20"/>
        </w:rPr>
        <w:lastRenderedPageBreak/>
        <w:drawing>
          <wp:inline distT="0" distB="0" distL="0" distR="0" wp14:anchorId="76ED14E3" wp14:editId="76AACAA0">
            <wp:extent cx="4514850" cy="2635264"/>
            <wp:effectExtent l="0" t="0" r="0" b="0"/>
            <wp:docPr id="1680343312"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0779" cy="2656235"/>
                    </a:xfrm>
                    <a:prstGeom prst="rect">
                      <a:avLst/>
                    </a:prstGeom>
                    <a:noFill/>
                    <a:ln>
                      <a:noFill/>
                    </a:ln>
                  </pic:spPr>
                </pic:pic>
              </a:graphicData>
            </a:graphic>
          </wp:inline>
        </w:drawing>
      </w:r>
      <w:r>
        <w:rPr>
          <w:noProof/>
          <w:sz w:val="20"/>
          <w:szCs w:val="20"/>
        </w:rPr>
        <w:drawing>
          <wp:inline distT="0" distB="0" distL="0" distR="0" wp14:anchorId="4E1F3FCE" wp14:editId="6D242E6B">
            <wp:extent cx="4569222" cy="2667000"/>
            <wp:effectExtent l="0" t="0" r="3175" b="0"/>
            <wp:docPr id="935528466"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8580" cy="2695810"/>
                    </a:xfrm>
                    <a:prstGeom prst="rect">
                      <a:avLst/>
                    </a:prstGeom>
                    <a:noFill/>
                    <a:ln>
                      <a:noFill/>
                    </a:ln>
                  </pic:spPr>
                </pic:pic>
              </a:graphicData>
            </a:graphic>
          </wp:inline>
        </w:drawing>
      </w:r>
    </w:p>
    <w:p w14:paraId="236B0A14" w14:textId="77777777" w:rsidR="00CC0EE0" w:rsidRDefault="00CC0EE0">
      <w:pPr>
        <w:widowControl/>
        <w:wordWrap/>
        <w:autoSpaceDE/>
        <w:autoSpaceDN/>
        <w:rPr>
          <w:sz w:val="20"/>
          <w:szCs w:val="20"/>
        </w:rPr>
      </w:pPr>
      <w:r>
        <w:rPr>
          <w:sz w:val="20"/>
          <w:szCs w:val="20"/>
        </w:rPr>
        <w:br w:type="page"/>
      </w:r>
    </w:p>
    <w:p w14:paraId="57645778" w14:textId="6169BD04" w:rsidR="00AF7FED" w:rsidRDefault="00CC0EE0">
      <w:pPr>
        <w:rPr>
          <w:b/>
          <w:bCs/>
          <w:sz w:val="20"/>
          <w:szCs w:val="20"/>
        </w:rPr>
      </w:pPr>
      <w:r>
        <w:rPr>
          <w:rFonts w:hint="eastAsia"/>
          <w:b/>
          <w:bCs/>
          <w:sz w:val="20"/>
          <w:szCs w:val="20"/>
        </w:rPr>
        <w:lastRenderedPageBreak/>
        <w:t>Supplementary Appendix S1. Prompt used for AI inference</w:t>
      </w:r>
    </w:p>
    <w:p w14:paraId="7DEBB74B" w14:textId="58945453" w:rsidR="00CC0EE0" w:rsidRDefault="00390976">
      <w:pPr>
        <w:rPr>
          <w:sz w:val="20"/>
          <w:szCs w:val="20"/>
        </w:rPr>
      </w:pPr>
      <w:r>
        <w:rPr>
          <w:rFonts w:hint="eastAsia"/>
          <w:sz w:val="20"/>
          <w:szCs w:val="20"/>
        </w:rPr>
        <w:t>Assume that you are a board-certified urologist specializing in the evaluation and management of lower urinary tract symptoms (LUTS) in both male and female patients. Your clinical practice routinely includes assessment of symptom severity using the International Prostate Symptom Score (IPSS) and the Overactive Bladder Symptom Score (OABSS).</w:t>
      </w:r>
    </w:p>
    <w:p w14:paraId="70058BAF" w14:textId="50B936BF" w:rsidR="00390976" w:rsidRDefault="00390976">
      <w:pPr>
        <w:rPr>
          <w:sz w:val="20"/>
          <w:szCs w:val="20"/>
        </w:rPr>
      </w:pPr>
      <w:r>
        <w:rPr>
          <w:rFonts w:hint="eastAsia"/>
          <w:sz w:val="20"/>
          <w:szCs w:val="20"/>
        </w:rPr>
        <w:t>In routine practice, however, some patients are unable to complete these standardized questionnaires because of advanced age, limited understanding, or other practical reasons. Therefore, after conducting a natural clinical interview, your task is to infer the most likely IPSS or OABSS responses from the patient</w:t>
      </w:r>
      <w:r>
        <w:rPr>
          <w:sz w:val="20"/>
          <w:szCs w:val="20"/>
        </w:rPr>
        <w:t>’</w:t>
      </w:r>
      <w:r>
        <w:rPr>
          <w:rFonts w:hint="eastAsia"/>
          <w:sz w:val="20"/>
          <w:szCs w:val="20"/>
        </w:rPr>
        <w:t>s narrative description.</w:t>
      </w:r>
    </w:p>
    <w:p w14:paraId="07CAD03D" w14:textId="163465C5" w:rsidR="00390976" w:rsidRDefault="00390976">
      <w:pPr>
        <w:rPr>
          <w:sz w:val="20"/>
          <w:szCs w:val="20"/>
        </w:rPr>
      </w:pPr>
      <w:r>
        <w:rPr>
          <w:rFonts w:hint="eastAsia"/>
          <w:sz w:val="20"/>
          <w:szCs w:val="20"/>
        </w:rPr>
        <w:t xml:space="preserve">For OABSS, provide the estimated scores for the four questionnaire items as a continuous four-digit sequence. For IPSS, provide the estimated scores for the seven questionnaire items as a continuous seven-digit sequence, followed by the estimated quality-of-life (QoL) score. If a particular item cannot reasonably be inferred from the narrative, mark that item as </w:t>
      </w:r>
      <w:r>
        <w:rPr>
          <w:sz w:val="20"/>
          <w:szCs w:val="20"/>
        </w:rPr>
        <w:t>“</w:t>
      </w:r>
      <w:r>
        <w:rPr>
          <w:rFonts w:hint="eastAsia"/>
          <w:sz w:val="20"/>
          <w:szCs w:val="20"/>
        </w:rPr>
        <w:t>x</w:t>
      </w:r>
      <w:r>
        <w:rPr>
          <w:sz w:val="20"/>
          <w:szCs w:val="20"/>
        </w:rPr>
        <w:t>”</w:t>
      </w:r>
      <w:r>
        <w:rPr>
          <w:rFonts w:hint="eastAsia"/>
          <w:sz w:val="20"/>
          <w:szCs w:val="20"/>
        </w:rPr>
        <w:t>.</w:t>
      </w:r>
    </w:p>
    <w:p w14:paraId="39249BEC" w14:textId="140FE3DE" w:rsidR="00390976" w:rsidRPr="00390976" w:rsidRDefault="00390976">
      <w:pPr>
        <w:rPr>
          <w:rFonts w:hint="eastAsia"/>
          <w:sz w:val="20"/>
          <w:szCs w:val="20"/>
        </w:rPr>
      </w:pPr>
      <w:r>
        <w:rPr>
          <w:rFonts w:hint="eastAsia"/>
          <w:sz w:val="20"/>
          <w:szCs w:val="20"/>
        </w:rPr>
        <w:t>Using the following patient interview narrative, estimate the corresponding IPSS or OABSS scores and provide the total score. Please provide only one final best estimate.</w:t>
      </w:r>
    </w:p>
    <w:sectPr w:rsidR="00390976" w:rsidRPr="00390976" w:rsidSect="00AF7FED">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AEDA3" w14:textId="77777777" w:rsidR="004A4CF6" w:rsidRDefault="004A4CF6" w:rsidP="0046335A">
      <w:pPr>
        <w:spacing w:after="0"/>
      </w:pPr>
      <w:r>
        <w:separator/>
      </w:r>
    </w:p>
  </w:endnote>
  <w:endnote w:type="continuationSeparator" w:id="0">
    <w:p w14:paraId="2ECB112B" w14:textId="77777777" w:rsidR="004A4CF6" w:rsidRDefault="004A4CF6" w:rsidP="004633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5A22D" w14:textId="77777777" w:rsidR="004A4CF6" w:rsidRDefault="004A4CF6" w:rsidP="0046335A">
      <w:pPr>
        <w:spacing w:after="0"/>
      </w:pPr>
      <w:r>
        <w:separator/>
      </w:r>
    </w:p>
  </w:footnote>
  <w:footnote w:type="continuationSeparator" w:id="0">
    <w:p w14:paraId="30ED0896" w14:textId="77777777" w:rsidR="004A4CF6" w:rsidRDefault="004A4CF6" w:rsidP="0046335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ED"/>
    <w:rsid w:val="0000465E"/>
    <w:rsid w:val="002267A5"/>
    <w:rsid w:val="00284CC5"/>
    <w:rsid w:val="00390976"/>
    <w:rsid w:val="0044030B"/>
    <w:rsid w:val="0046335A"/>
    <w:rsid w:val="00482123"/>
    <w:rsid w:val="004A4CF6"/>
    <w:rsid w:val="004F0427"/>
    <w:rsid w:val="00AF7FED"/>
    <w:rsid w:val="00B74C08"/>
    <w:rsid w:val="00CC0E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0B49"/>
  <w15:chartTrackingRefBased/>
  <w15:docId w15:val="{D92DE2CD-CB74-4339-895D-84523CEB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F7F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F7F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F7FE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F7F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F7F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F7F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F7F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F7F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F7F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F7FE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F7FE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F7FE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F7FE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F7FE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F7FE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F7FE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F7FE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F7FE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F7FE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F7FE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F7FE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F7FE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F7FED"/>
    <w:pPr>
      <w:spacing w:before="160"/>
      <w:jc w:val="center"/>
    </w:pPr>
    <w:rPr>
      <w:i/>
      <w:iCs/>
      <w:color w:val="404040" w:themeColor="text1" w:themeTint="BF"/>
    </w:rPr>
  </w:style>
  <w:style w:type="character" w:customStyle="1" w:styleId="Char1">
    <w:name w:val="인용 Char"/>
    <w:basedOn w:val="a0"/>
    <w:link w:val="a5"/>
    <w:uiPriority w:val="29"/>
    <w:rsid w:val="00AF7FED"/>
    <w:rPr>
      <w:i/>
      <w:iCs/>
      <w:color w:val="404040" w:themeColor="text1" w:themeTint="BF"/>
    </w:rPr>
  </w:style>
  <w:style w:type="paragraph" w:styleId="a6">
    <w:name w:val="List Paragraph"/>
    <w:basedOn w:val="a"/>
    <w:uiPriority w:val="34"/>
    <w:qFormat/>
    <w:rsid w:val="00AF7FED"/>
    <w:pPr>
      <w:ind w:left="720"/>
      <w:contextualSpacing/>
    </w:pPr>
  </w:style>
  <w:style w:type="character" w:styleId="a7">
    <w:name w:val="Intense Emphasis"/>
    <w:basedOn w:val="a0"/>
    <w:uiPriority w:val="21"/>
    <w:qFormat/>
    <w:rsid w:val="00AF7FED"/>
    <w:rPr>
      <w:i/>
      <w:iCs/>
      <w:color w:val="2F5496" w:themeColor="accent1" w:themeShade="BF"/>
    </w:rPr>
  </w:style>
  <w:style w:type="paragraph" w:styleId="a8">
    <w:name w:val="Intense Quote"/>
    <w:basedOn w:val="a"/>
    <w:next w:val="a"/>
    <w:link w:val="Char2"/>
    <w:uiPriority w:val="30"/>
    <w:qFormat/>
    <w:rsid w:val="00AF7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AF7FED"/>
    <w:rPr>
      <w:i/>
      <w:iCs/>
      <w:color w:val="2F5496" w:themeColor="accent1" w:themeShade="BF"/>
    </w:rPr>
  </w:style>
  <w:style w:type="character" w:styleId="a9">
    <w:name w:val="Intense Reference"/>
    <w:basedOn w:val="a0"/>
    <w:uiPriority w:val="32"/>
    <w:qFormat/>
    <w:rsid w:val="00AF7FED"/>
    <w:rPr>
      <w:b/>
      <w:bCs/>
      <w:smallCaps/>
      <w:color w:val="2F5496" w:themeColor="accent1" w:themeShade="BF"/>
      <w:spacing w:val="5"/>
    </w:rPr>
  </w:style>
  <w:style w:type="table" w:styleId="aa">
    <w:name w:val="Table Grid"/>
    <w:basedOn w:val="a1"/>
    <w:uiPriority w:val="39"/>
    <w:rsid w:val="00AF7F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46335A"/>
    <w:pPr>
      <w:tabs>
        <w:tab w:val="center" w:pos="4513"/>
        <w:tab w:val="right" w:pos="9026"/>
      </w:tabs>
      <w:snapToGrid w:val="0"/>
    </w:pPr>
  </w:style>
  <w:style w:type="character" w:customStyle="1" w:styleId="Char3">
    <w:name w:val="머리글 Char"/>
    <w:basedOn w:val="a0"/>
    <w:link w:val="ab"/>
    <w:uiPriority w:val="99"/>
    <w:rsid w:val="0046335A"/>
  </w:style>
  <w:style w:type="paragraph" w:styleId="ac">
    <w:name w:val="footer"/>
    <w:basedOn w:val="a"/>
    <w:link w:val="Char4"/>
    <w:uiPriority w:val="99"/>
    <w:unhideWhenUsed/>
    <w:rsid w:val="0046335A"/>
    <w:pPr>
      <w:tabs>
        <w:tab w:val="center" w:pos="4513"/>
        <w:tab w:val="right" w:pos="9026"/>
      </w:tabs>
      <w:snapToGrid w:val="0"/>
    </w:pPr>
  </w:style>
  <w:style w:type="character" w:customStyle="1" w:styleId="Char4">
    <w:name w:val="바닥글 Char"/>
    <w:basedOn w:val="a0"/>
    <w:link w:val="ac"/>
    <w:uiPriority w:val="99"/>
    <w:rsid w:val="00463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Jiehyeon Lee</dc:creator>
  <cp:keywords/>
  <dc:description/>
  <cp:lastModifiedBy>Jiehyeon Lee</cp:lastModifiedBy>
  <cp:revision>8</cp:revision>
  <dcterms:created xsi:type="dcterms:W3CDTF">2026-02-21T11:42:00Z</dcterms:created>
  <dcterms:modified xsi:type="dcterms:W3CDTF">2026-06-04T16:47:00Z</dcterms:modified>
</cp:coreProperties>
</file>