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7DB" w:rsidRDefault="00A937DB" w:rsidP="00A937DB">
      <w:pPr>
        <w:pStyle w:val="Heading1"/>
      </w:pPr>
      <w:r>
        <w:t>Supplementary Methods</w:t>
      </w:r>
    </w:p>
    <w:p w:rsidR="0062763D" w:rsidRPr="003E3185" w:rsidRDefault="0062763D" w:rsidP="0062763D">
      <w:pPr>
        <w:pStyle w:val="Heading2"/>
        <w:rPr>
          <w:rFonts w:cs="Times New Roman"/>
          <w:szCs w:val="24"/>
        </w:rPr>
      </w:pPr>
      <w:r w:rsidRPr="003E3185">
        <w:rPr>
          <w:rFonts w:cs="Times New Roman"/>
          <w:szCs w:val="24"/>
        </w:rPr>
        <w:t xml:space="preserve">MSC Isolation </w:t>
      </w:r>
    </w:p>
    <w:p w:rsidR="0062763D" w:rsidRPr="0062763D" w:rsidRDefault="0062763D" w:rsidP="0062763D">
      <w:pPr>
        <w:rPr>
          <w:szCs w:val="24"/>
        </w:rPr>
      </w:pPr>
      <w:r w:rsidRPr="003E3185">
        <w:rPr>
          <w:szCs w:val="24"/>
        </w:rPr>
        <w:t xml:space="preserve">Bovine bone </w:t>
      </w:r>
      <w:r w:rsidR="004E7180">
        <w:rPr>
          <w:szCs w:val="24"/>
        </w:rPr>
        <w:t xml:space="preserve">marrow aspirates were harvested </w:t>
      </w:r>
      <w:r w:rsidRPr="003E3185">
        <w:rPr>
          <w:szCs w:val="24"/>
        </w:rPr>
        <w:t xml:space="preserve">from within the subchondral trabecular bone of the femoral condyles of </w:t>
      </w:r>
      <w:r w:rsidR="004E7180">
        <w:rPr>
          <w:szCs w:val="24"/>
        </w:rPr>
        <w:t xml:space="preserve">the cadaveric limbs from </w:t>
      </w:r>
      <w:r w:rsidRPr="003E3185">
        <w:rPr>
          <w:szCs w:val="24"/>
        </w:rPr>
        <w:t xml:space="preserve">2–4 week old calves </w:t>
      </w:r>
      <w:r w:rsidR="00D2061A">
        <w:rPr>
          <w:szCs w:val="24"/>
        </w:rPr>
        <w:t>within 48 hours of slaughter</w:t>
      </w:r>
      <w:bookmarkStart w:id="0" w:name="_GoBack"/>
      <w:bookmarkEnd w:id="0"/>
      <w:r w:rsidR="004E7180">
        <w:rPr>
          <w:szCs w:val="24"/>
        </w:rPr>
        <w:t xml:space="preserve"> </w:t>
      </w:r>
      <w:r w:rsidRPr="003E3185">
        <w:rPr>
          <w:szCs w:val="24"/>
        </w:rPr>
        <w:t>(Research 87, Marlborough, MA)</w:t>
      </w:r>
      <w:r w:rsidRPr="003E3185">
        <w:rPr>
          <w:szCs w:val="24"/>
          <w:shd w:val="clear" w:color="auto" w:fill="FFFFFF"/>
        </w:rPr>
        <w:t>.  Isolated marrow was mixed with expansion medium (high glucose Dulbecco’s Modified Eagle Medium [DMEM] supplemented with 10% certified fetal bovine serum [FBS] and 1× penicillin-streptomycin-</w:t>
      </w:r>
      <w:proofErr w:type="spellStart"/>
      <w:r w:rsidRPr="003E3185">
        <w:rPr>
          <w:szCs w:val="24"/>
          <w:shd w:val="clear" w:color="auto" w:fill="FFFFFF"/>
        </w:rPr>
        <w:t>fungizone</w:t>
      </w:r>
      <w:proofErr w:type="spellEnd"/>
      <w:r w:rsidRPr="003E3185">
        <w:rPr>
          <w:szCs w:val="24"/>
          <w:shd w:val="clear" w:color="auto" w:fill="FFFFFF"/>
        </w:rPr>
        <w:t xml:space="preserve"> [PSF]) supplemented with 300 U/ml heparin), vortexed to remove any undesirable fat and bone fragments from the marrow, passed through a 60µm cell strainer, and centrifuged to collect cell pellets. Cells were </w:t>
      </w:r>
      <w:proofErr w:type="spellStart"/>
      <w:r w:rsidRPr="003E3185">
        <w:rPr>
          <w:szCs w:val="24"/>
          <w:shd w:val="clear" w:color="auto" w:fill="FFFFFF"/>
        </w:rPr>
        <w:t>resuspended</w:t>
      </w:r>
      <w:proofErr w:type="spellEnd"/>
      <w:r w:rsidRPr="003E3185">
        <w:rPr>
          <w:szCs w:val="24"/>
          <w:shd w:val="clear" w:color="auto" w:fill="FFFFFF"/>
        </w:rPr>
        <w:t xml:space="preserve"> in the expansion medium and plated onto T-75 flasks (Corning, Inc., Corning, NY). After an initial period of 24 hours, non</w:t>
      </w:r>
      <w:r>
        <w:rPr>
          <w:szCs w:val="24"/>
          <w:shd w:val="clear" w:color="auto" w:fill="FFFFFF"/>
        </w:rPr>
        <w:t>-</w:t>
      </w:r>
      <w:r w:rsidRPr="003E3185">
        <w:rPr>
          <w:szCs w:val="24"/>
          <w:shd w:val="clear" w:color="auto" w:fill="FFFFFF"/>
        </w:rPr>
        <w:t xml:space="preserve">adherent cells were removed from the flasks, whereas adherent cells were cultured in expansion medium for an additional 7–10 days until cultures reached confluence.  Subsequent subculturing was carried out to Passage 3 at a splitting ratio of 1:3.  Following Passage 3, MSCs that </w:t>
      </w:r>
      <w:r w:rsidRPr="003E3185">
        <w:rPr>
          <w:szCs w:val="24"/>
        </w:rPr>
        <w:t>were suspended in a cryoprotective medium (70% DMEM, 20% F</w:t>
      </w:r>
      <w:r>
        <w:rPr>
          <w:szCs w:val="24"/>
        </w:rPr>
        <w:t>BS, 10% d</w:t>
      </w:r>
      <w:r w:rsidRPr="003E3185">
        <w:rPr>
          <w:szCs w:val="24"/>
        </w:rPr>
        <w:t xml:space="preserve">imethylsulfoxide, 1X PSF) at a concentration of 1 million cells/mL and stored in liquid nitrogen in 1mL aliquots.  </w:t>
      </w:r>
    </w:p>
    <w:p w:rsidR="00A937DB" w:rsidRPr="003E3185" w:rsidRDefault="00A937DB" w:rsidP="00A937DB">
      <w:pPr>
        <w:pStyle w:val="Heading2"/>
        <w:rPr>
          <w:rFonts w:cs="Times New Roman"/>
          <w:szCs w:val="24"/>
        </w:rPr>
      </w:pPr>
      <w:r>
        <w:rPr>
          <w:rFonts w:cs="Times New Roman"/>
          <w:szCs w:val="24"/>
        </w:rPr>
        <w:t>MSC Characterization</w:t>
      </w:r>
    </w:p>
    <w:p w:rsidR="00A937DB" w:rsidRPr="00435342" w:rsidRDefault="00A937DB" w:rsidP="00A937DB">
      <w:pPr>
        <w:rPr>
          <w:szCs w:val="24"/>
        </w:rPr>
      </w:pPr>
      <w:r>
        <w:rPr>
          <w:szCs w:val="24"/>
          <w:shd w:val="clear" w:color="auto" w:fill="FFFFFF"/>
        </w:rPr>
        <w:t xml:space="preserve">Following Passage 1, a portion of </w:t>
      </w:r>
      <w:r w:rsidRPr="003E3185">
        <w:rPr>
          <w:szCs w:val="24"/>
          <w:shd w:val="clear" w:color="auto" w:fill="FFFFFF"/>
        </w:rPr>
        <w:t xml:space="preserve">MSCs were fixed, treated with a nonspecific blocking agent for 30 minutes, and split into six tubes.  Four of the six populations were then incubated with one of the following fluorescently tagged antibodies:  fluorescein isothiocyanate [FITC]-conjugated mouse anti-human antibodies against each of CD166, CD271, and CD45, or R-phycoerythrin [RPE]-conjugated mouse anti-bovine CD44 antibodies for 1 hour. The remaining two populations </w:t>
      </w:r>
      <w:r w:rsidRPr="003E3185">
        <w:rPr>
          <w:szCs w:val="24"/>
          <w:shd w:val="clear" w:color="auto" w:fill="FFFFFF"/>
        </w:rPr>
        <w:lastRenderedPageBreak/>
        <w:t xml:space="preserve">were incubated with FITC and RPE conjugated antibodies against mouse IgG as the negative isotype controls.  Flow cytometry was performed in a </w:t>
      </w:r>
      <w:proofErr w:type="spellStart"/>
      <w:r w:rsidRPr="003E3185">
        <w:rPr>
          <w:szCs w:val="24"/>
          <w:shd w:val="clear" w:color="auto" w:fill="FFFFFF"/>
        </w:rPr>
        <w:t>FACScan</w:t>
      </w:r>
      <w:proofErr w:type="spellEnd"/>
      <w:r w:rsidRPr="003E3185">
        <w:rPr>
          <w:szCs w:val="24"/>
          <w:shd w:val="clear" w:color="auto" w:fill="FFFFFF"/>
        </w:rPr>
        <w:t xml:space="preserve"> (BD Biosciences, San Jose, CA). Forward scatter and </w:t>
      </w:r>
      <w:r w:rsidRPr="003E3185">
        <w:rPr>
          <w:szCs w:val="24"/>
        </w:rPr>
        <w:t xml:space="preserve">side scatter parameters were used to evaluate the size and granularity of cells, respectively.  </w:t>
      </w:r>
      <w:r>
        <w:rPr>
          <w:rFonts w:eastAsia="Arial Unicode MS"/>
          <w:shd w:val="clear" w:color="auto" w:fill="FFFFFF"/>
        </w:rPr>
        <w:t>Flow cytometric analysis</w:t>
      </w:r>
      <w:r>
        <w:rPr>
          <w:rFonts w:eastAsia="Arial Unicode MS" w:hint="eastAsia"/>
          <w:shd w:val="clear" w:color="auto" w:fill="FFFFFF"/>
        </w:rPr>
        <w:t xml:space="preserve"> showed a consistent expression of </w:t>
      </w:r>
      <w:r>
        <w:t>MSC</w:t>
      </w:r>
      <w:r w:rsidRPr="000636DB">
        <w:rPr>
          <w:rFonts w:hint="eastAsia"/>
        </w:rPr>
        <w:t xml:space="preserve"> </w:t>
      </w:r>
      <w:r>
        <w:t>surface markers (CD166, CD271, CD44) while being negative for CD45, a key hematopoietic stem cell marker (</w:t>
      </w:r>
      <w:r w:rsidRPr="0062763D">
        <w:rPr>
          <w:b/>
        </w:rPr>
        <w:t>Supplementary Figure</w:t>
      </w:r>
      <w:r>
        <w:rPr>
          <w:b/>
        </w:rPr>
        <w:t xml:space="preserve"> 1</w:t>
      </w:r>
      <w:r>
        <w:t>).</w:t>
      </w:r>
      <w:r w:rsidRPr="000636DB">
        <w:rPr>
          <w:rFonts w:hint="eastAsia"/>
        </w:rPr>
        <w:t xml:space="preserve"> </w:t>
      </w:r>
      <w:r>
        <w:t xml:space="preserve"> </w:t>
      </w:r>
    </w:p>
    <w:p w:rsidR="00A937DB" w:rsidRDefault="00A937DB" w:rsidP="00A937DB">
      <w:r>
        <w:rPr>
          <w:szCs w:val="24"/>
          <w:shd w:val="clear" w:color="auto" w:fill="FFFFFF"/>
        </w:rPr>
        <w:t>Following confirmation of a consistent set of multipotent cell surface markers, MSCs</w:t>
      </w:r>
      <w:r w:rsidRPr="003E3185">
        <w:rPr>
          <w:szCs w:val="24"/>
          <w:shd w:val="clear" w:color="auto" w:fill="FFFFFF"/>
        </w:rPr>
        <w:t xml:space="preserve"> were plated in a 12 well plate at a seeding density of 100,000 cell/well in one of four culture media preparations:  expansion medi</w:t>
      </w:r>
      <w:r>
        <w:rPr>
          <w:szCs w:val="24"/>
          <w:shd w:val="clear" w:color="auto" w:fill="FFFFFF"/>
        </w:rPr>
        <w:t>um</w:t>
      </w:r>
      <w:r w:rsidRPr="003E3185">
        <w:rPr>
          <w:szCs w:val="24"/>
          <w:shd w:val="clear" w:color="auto" w:fill="FFFFFF"/>
        </w:rPr>
        <w:t xml:space="preserve"> (EM), osteogenic medi</w:t>
      </w:r>
      <w:r>
        <w:rPr>
          <w:szCs w:val="24"/>
          <w:shd w:val="clear" w:color="auto" w:fill="FFFFFF"/>
        </w:rPr>
        <w:t>um</w:t>
      </w:r>
      <w:r w:rsidRPr="003E3185">
        <w:rPr>
          <w:szCs w:val="24"/>
          <w:shd w:val="clear" w:color="auto" w:fill="FFFFFF"/>
        </w:rPr>
        <w:t xml:space="preserve"> (OM), adipogenic medi</w:t>
      </w:r>
      <w:r>
        <w:rPr>
          <w:szCs w:val="24"/>
          <w:shd w:val="clear" w:color="auto" w:fill="FFFFFF"/>
        </w:rPr>
        <w:t>um</w:t>
      </w:r>
      <w:r w:rsidRPr="003E3185">
        <w:rPr>
          <w:szCs w:val="24"/>
          <w:shd w:val="clear" w:color="auto" w:fill="FFFFFF"/>
        </w:rPr>
        <w:t xml:space="preserve"> (AM), and chondrogenic medi</w:t>
      </w:r>
      <w:r>
        <w:rPr>
          <w:szCs w:val="24"/>
          <w:shd w:val="clear" w:color="auto" w:fill="FFFFFF"/>
        </w:rPr>
        <w:t>um</w:t>
      </w:r>
      <w:r w:rsidRPr="003E3185">
        <w:rPr>
          <w:szCs w:val="24"/>
          <w:shd w:val="clear" w:color="auto" w:fill="FFFFFF"/>
        </w:rPr>
        <w:t xml:space="preserve"> (CM).  Osteogenic medi</w:t>
      </w:r>
      <w:r>
        <w:rPr>
          <w:szCs w:val="24"/>
          <w:shd w:val="clear" w:color="auto" w:fill="FFFFFF"/>
        </w:rPr>
        <w:t>um</w:t>
      </w:r>
      <w:r w:rsidRPr="003E3185">
        <w:rPr>
          <w:szCs w:val="24"/>
          <w:shd w:val="clear" w:color="auto" w:fill="FFFFFF"/>
        </w:rPr>
        <w:t xml:space="preserve"> consisted of high glucose DMEM supplemented with 10% FBS, 1X PSF, 100 </w:t>
      </w:r>
      <w:proofErr w:type="spellStart"/>
      <w:r w:rsidRPr="003E3185">
        <w:rPr>
          <w:szCs w:val="24"/>
          <w:shd w:val="clear" w:color="auto" w:fill="FFFFFF"/>
        </w:rPr>
        <w:t>nM</w:t>
      </w:r>
      <w:proofErr w:type="spellEnd"/>
      <w:r w:rsidRPr="003E3185">
        <w:rPr>
          <w:szCs w:val="24"/>
          <w:shd w:val="clear" w:color="auto" w:fill="FFFFFF"/>
        </w:rPr>
        <w:t xml:space="preserve"> dexamethasone, 10 </w:t>
      </w:r>
      <w:proofErr w:type="spellStart"/>
      <w:r w:rsidRPr="003E3185">
        <w:rPr>
          <w:szCs w:val="24"/>
          <w:shd w:val="clear" w:color="auto" w:fill="FFFFFF"/>
        </w:rPr>
        <w:t>mM</w:t>
      </w:r>
      <w:proofErr w:type="spellEnd"/>
      <w:r w:rsidRPr="003E3185">
        <w:rPr>
          <w:szCs w:val="24"/>
          <w:shd w:val="clear" w:color="auto" w:fill="FFFFFF"/>
        </w:rPr>
        <w:t xml:space="preserve"> sodium β-glycerophosphate, 0.05 </w:t>
      </w:r>
      <w:proofErr w:type="spellStart"/>
      <w:r w:rsidRPr="003E3185">
        <w:rPr>
          <w:szCs w:val="24"/>
          <w:shd w:val="clear" w:color="auto" w:fill="FFFFFF"/>
        </w:rPr>
        <w:t>mM</w:t>
      </w:r>
      <w:proofErr w:type="spellEnd"/>
      <w:r w:rsidRPr="003E3185">
        <w:rPr>
          <w:szCs w:val="24"/>
          <w:shd w:val="clear" w:color="auto" w:fill="FFFFFF"/>
        </w:rPr>
        <w:t xml:space="preserve"> ascorbic acid.  Adipogenic </w:t>
      </w:r>
      <w:r>
        <w:rPr>
          <w:szCs w:val="24"/>
          <w:shd w:val="clear" w:color="auto" w:fill="FFFFFF"/>
        </w:rPr>
        <w:t>m</w:t>
      </w:r>
      <w:r w:rsidRPr="003E3185">
        <w:rPr>
          <w:szCs w:val="24"/>
          <w:shd w:val="clear" w:color="auto" w:fill="FFFFFF"/>
        </w:rPr>
        <w:t>edi</w:t>
      </w:r>
      <w:r>
        <w:rPr>
          <w:szCs w:val="24"/>
          <w:shd w:val="clear" w:color="auto" w:fill="FFFFFF"/>
        </w:rPr>
        <w:t>um</w:t>
      </w:r>
      <w:r w:rsidRPr="003E3185">
        <w:rPr>
          <w:szCs w:val="24"/>
          <w:shd w:val="clear" w:color="auto" w:fill="FFFFFF"/>
        </w:rPr>
        <w:t xml:space="preserve"> consisted of high glucose DMEM supplemented with 10% FBS, 1X PSF, 1 </w:t>
      </w:r>
      <w:proofErr w:type="spellStart"/>
      <w:r w:rsidRPr="003E3185">
        <w:rPr>
          <w:szCs w:val="24"/>
          <w:shd w:val="clear" w:color="auto" w:fill="FFFFFF"/>
        </w:rPr>
        <w:t>μM</w:t>
      </w:r>
      <w:proofErr w:type="spellEnd"/>
      <w:r w:rsidRPr="003E3185">
        <w:rPr>
          <w:szCs w:val="24"/>
          <w:shd w:val="clear" w:color="auto" w:fill="FFFFFF"/>
        </w:rPr>
        <w:t xml:space="preserve"> dexamethasone, 0.5 </w:t>
      </w:r>
      <w:proofErr w:type="spellStart"/>
      <w:r w:rsidRPr="003E3185">
        <w:rPr>
          <w:szCs w:val="24"/>
          <w:shd w:val="clear" w:color="auto" w:fill="FFFFFF"/>
        </w:rPr>
        <w:t>mM</w:t>
      </w:r>
      <w:proofErr w:type="spellEnd"/>
      <w:r w:rsidRPr="003E3185">
        <w:rPr>
          <w:szCs w:val="24"/>
          <w:shd w:val="clear" w:color="auto" w:fill="FFFFFF"/>
        </w:rPr>
        <w:t xml:space="preserve"> indomethacin, 10 μg/ml insulin, 100 </w:t>
      </w:r>
      <w:proofErr w:type="spellStart"/>
      <w:r w:rsidRPr="003E3185">
        <w:rPr>
          <w:szCs w:val="24"/>
          <w:shd w:val="clear" w:color="auto" w:fill="FFFFFF"/>
        </w:rPr>
        <w:t>mM</w:t>
      </w:r>
      <w:proofErr w:type="spellEnd"/>
      <w:r w:rsidRPr="003E3185">
        <w:rPr>
          <w:szCs w:val="24"/>
          <w:shd w:val="clear" w:color="auto" w:fill="FFFFFF"/>
        </w:rPr>
        <w:t xml:space="preserve"> 3-isobutyl-1-methylxantine.  Chondrogenic </w:t>
      </w:r>
      <w:r>
        <w:rPr>
          <w:szCs w:val="24"/>
          <w:shd w:val="clear" w:color="auto" w:fill="FFFFFF"/>
        </w:rPr>
        <w:t>m</w:t>
      </w:r>
      <w:r w:rsidRPr="003E3185">
        <w:rPr>
          <w:szCs w:val="24"/>
          <w:shd w:val="clear" w:color="auto" w:fill="FFFFFF"/>
        </w:rPr>
        <w:t>edi</w:t>
      </w:r>
      <w:r>
        <w:rPr>
          <w:szCs w:val="24"/>
          <w:shd w:val="clear" w:color="auto" w:fill="FFFFFF"/>
        </w:rPr>
        <w:t>um</w:t>
      </w:r>
      <w:r w:rsidRPr="003E3185">
        <w:rPr>
          <w:szCs w:val="24"/>
          <w:shd w:val="clear" w:color="auto" w:fill="FFFFFF"/>
        </w:rPr>
        <w:t xml:space="preserve"> consisted of high glucose DMEM supplemented with 1× PSF, 0.1 µM dexamethasone, 50 µg/mL ascorbate 2-phosphate, 40 µg/mL</w:t>
      </w:r>
      <w:r w:rsidRPr="003E3185">
        <w:rPr>
          <w:szCs w:val="24"/>
        </w:rPr>
        <w:t> l</w:t>
      </w:r>
      <w:r w:rsidRPr="003E3185">
        <w:rPr>
          <w:szCs w:val="24"/>
          <w:shd w:val="clear" w:color="auto" w:fill="FFFFFF"/>
        </w:rPr>
        <w:t>-proline, 100 µg/mL sodium pyruvate, 1X insulin–transferrin–selenium [ITS], and 10 ng/mL TGF-β3.  Following 21 days of culture, the monolayers were fixed and assessed for successful induction.  Osteogenesis was determined by fixing monolayers in isopropanol and staining with Alizarin Red for mineralized matrix. Adipogenesis was assessed by fixing with paraformaldehyde and staining with freshly prepared Oil Red O to visualize lipid droplets.  Chondrogenesis was determined by fixing monolayers with 10% formalin and staining with Toluidine Blue for an abundance of proteoglycans</w:t>
      </w:r>
      <w:r>
        <w:t xml:space="preserve"> (</w:t>
      </w:r>
      <w:r w:rsidR="0062763D" w:rsidRPr="0062763D">
        <w:rPr>
          <w:b/>
        </w:rPr>
        <w:t xml:space="preserve">Supplementary </w:t>
      </w:r>
      <w:r w:rsidRPr="0062763D">
        <w:rPr>
          <w:b/>
        </w:rPr>
        <w:t>Figure 2</w:t>
      </w:r>
      <w:r>
        <w:t>)</w:t>
      </w:r>
      <w:r w:rsidRPr="000636DB">
        <w:rPr>
          <w:rFonts w:hint="eastAsia"/>
        </w:rPr>
        <w:t xml:space="preserve">. </w:t>
      </w:r>
    </w:p>
    <w:p w:rsidR="00F70F4D" w:rsidRPr="003E3185" w:rsidRDefault="00F70F4D" w:rsidP="00A937DB">
      <w:pPr>
        <w:rPr>
          <w:szCs w:val="24"/>
          <w:shd w:val="clear" w:color="auto" w:fill="FFFFFF"/>
        </w:rPr>
      </w:pPr>
    </w:p>
    <w:p w:rsidR="00FA09A1" w:rsidRDefault="00FA09A1"/>
    <w:sectPr w:rsidR="00FA0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doni-Book">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C4865"/>
    <w:multiLevelType w:val="hybridMultilevel"/>
    <w:tmpl w:val="0BB80C28"/>
    <w:lvl w:ilvl="0" w:tplc="1A3860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F546B6"/>
    <w:multiLevelType w:val="multilevel"/>
    <w:tmpl w:val="0834EE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E8F34DA"/>
    <w:multiLevelType w:val="multilevel"/>
    <w:tmpl w:val="CDE44BCA"/>
    <w:lvl w:ilvl="0">
      <w:start w:val="1"/>
      <w:numFmt w:val="decimal"/>
      <w:lvlText w:val="A.%1."/>
      <w:lvlJc w:val="left"/>
      <w:pPr>
        <w:ind w:left="360" w:hanging="360"/>
      </w:pPr>
      <w:rPr>
        <w:rFonts w:ascii="Times New Roman" w:hAnsi="Times New Roman" w:hint="default"/>
        <w:b/>
        <w:strike w:val="0"/>
        <w:sz w:val="24"/>
      </w:rPr>
    </w:lvl>
    <w:lvl w:ilvl="1">
      <w:start w:val="1"/>
      <w:numFmt w:val="decimal"/>
      <w:pStyle w:val="AppendixH2"/>
      <w:lvlText w:val="A.%1.%2."/>
      <w:lvlJc w:val="left"/>
      <w:pPr>
        <w:ind w:left="576" w:hanging="576"/>
      </w:pPr>
      <w:rPr>
        <w:rFonts w:hint="default"/>
      </w:rPr>
    </w:lvl>
    <w:lvl w:ilvl="2">
      <w:start w:val="1"/>
      <w:numFmt w:val="decimal"/>
      <w:pStyle w:val="AppendixH3"/>
      <w:lvlText w:val="A.%1.%2.%3."/>
      <w:lvlJc w:val="left"/>
      <w:pPr>
        <w:ind w:left="720" w:hanging="720"/>
      </w:pPr>
      <w:rPr>
        <w:rFonts w:hint="default"/>
      </w:rPr>
    </w:lvl>
    <w:lvl w:ilvl="3">
      <w:start w:val="1"/>
      <w:numFmt w:val="decimal"/>
      <w:pStyle w:val="AppendixH4"/>
      <w:lvlText w:val="A.%1.%2.%3.%4."/>
      <w:lvlJc w:val="left"/>
      <w:pPr>
        <w:ind w:left="864" w:hanging="864"/>
      </w:pPr>
      <w:rPr>
        <w:rFonts w:hint="default"/>
      </w:rPr>
    </w:lvl>
    <w:lvl w:ilvl="4">
      <w:start w:val="1"/>
      <w:numFmt w:val="decimal"/>
      <w:pStyle w:val="AppendixH5"/>
      <w:lvlText w:val="A.%1.%2.%3.%4.%5."/>
      <w:lvlJc w:val="left"/>
      <w:pPr>
        <w:ind w:left="1008" w:hanging="1008"/>
      </w:pPr>
      <w:rPr>
        <w:rFonts w:hint="default"/>
      </w:rPr>
    </w:lvl>
    <w:lvl w:ilvl="5">
      <w:start w:val="1"/>
      <w:numFmt w:val="decimal"/>
      <w:pStyle w:val="AppendixH6"/>
      <w:lvlText w:val="A.%1.%2.%3.%4.%5.%6."/>
      <w:lvlJc w:val="left"/>
      <w:pPr>
        <w:ind w:left="1152" w:hanging="1152"/>
      </w:pPr>
      <w:rPr>
        <w:rFonts w:hint="default"/>
      </w:rPr>
    </w:lvl>
    <w:lvl w:ilvl="6">
      <w:start w:val="1"/>
      <w:numFmt w:val="decimal"/>
      <w:lvlText w:val="A.%1.%2.%3.%4.%5.%6.%7."/>
      <w:lvlJc w:val="left"/>
      <w:pPr>
        <w:ind w:left="1296" w:hanging="1296"/>
      </w:pPr>
      <w:rPr>
        <w:rFonts w:hint="default"/>
      </w:rPr>
    </w:lvl>
    <w:lvl w:ilvl="7">
      <w:start w:val="1"/>
      <w:numFmt w:val="decimal"/>
      <w:lvlText w:val="A.%1.%2.%3.%4.%5.%6.%7.%8."/>
      <w:lvlJc w:val="left"/>
      <w:pPr>
        <w:ind w:left="1440" w:hanging="1440"/>
      </w:pPr>
      <w:rPr>
        <w:rFonts w:hint="default"/>
      </w:rPr>
    </w:lvl>
    <w:lvl w:ilvl="8">
      <w:start w:val="1"/>
      <w:numFmt w:val="decimal"/>
      <w:lvlText w:val="A.%1.%2.%3.%4.%5.%6.%7.%8.%9."/>
      <w:lvlJc w:val="left"/>
      <w:pPr>
        <w:ind w:left="1584" w:hanging="1584"/>
      </w:pPr>
      <w:rPr>
        <w:rFonts w:hint="default"/>
      </w:rPr>
    </w:lvl>
  </w:abstractNum>
  <w:abstractNum w:abstractNumId="3" w15:restartNumberingAfterBreak="0">
    <w:nsid w:val="774269D1"/>
    <w:multiLevelType w:val="multilevel"/>
    <w:tmpl w:val="210E717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7CFC1872"/>
    <w:multiLevelType w:val="multilevel"/>
    <w:tmpl w:val="202226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4"/>
  </w:num>
  <w:num w:numId="3">
    <w:abstractNumId w:val="0"/>
  </w:num>
  <w:num w:numId="4">
    <w:abstractNumId w:val="1"/>
  </w:num>
  <w:num w:numId="5">
    <w:abstractNumId w:val="2"/>
  </w:num>
  <w:num w:numId="6">
    <w:abstractNumId w:val="2"/>
  </w:num>
  <w:num w:numId="7">
    <w:abstractNumId w:val="2"/>
  </w:num>
  <w:num w:numId="8">
    <w:abstractNumId w:val="2"/>
  </w:num>
  <w:num w:numId="9">
    <w:abstractNumId w:val="2"/>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2"/>
  </w:num>
  <w:num w:numId="20">
    <w:abstractNumId w:val="2"/>
  </w:num>
  <w:num w:numId="21">
    <w:abstractNumId w:val="2"/>
  </w:num>
  <w:num w:numId="22">
    <w:abstractNumId w:val="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7DB"/>
    <w:rsid w:val="00277B63"/>
    <w:rsid w:val="004365D3"/>
    <w:rsid w:val="004E7180"/>
    <w:rsid w:val="0062763D"/>
    <w:rsid w:val="00A937DB"/>
    <w:rsid w:val="00C1064E"/>
    <w:rsid w:val="00D2061A"/>
    <w:rsid w:val="00F70F4D"/>
    <w:rsid w:val="00FA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F53B6-7A9E-4449-B573-43984FE0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1" w:unhideWhenUsed="1" w:qFormat="1"/>
    <w:lsdException w:name="heading 7" w:semiHidden="1" w:uiPriority="0"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7DB"/>
    <w:pPr>
      <w:spacing w:after="240" w:line="480" w:lineRule="auto"/>
      <w:jc w:val="both"/>
    </w:pPr>
    <w:rPr>
      <w:rFonts w:eastAsiaTheme="minorEastAsia"/>
      <w:sz w:val="24"/>
      <w:szCs w:val="22"/>
    </w:rPr>
  </w:style>
  <w:style w:type="paragraph" w:styleId="Heading1">
    <w:name w:val="heading 1"/>
    <w:basedOn w:val="Normal"/>
    <w:next w:val="Normal"/>
    <w:link w:val="Heading1Char"/>
    <w:autoRedefine/>
    <w:qFormat/>
    <w:rsid w:val="00277B63"/>
    <w:pPr>
      <w:keepNext/>
      <w:numPr>
        <w:numId w:val="18"/>
      </w:numPr>
      <w:tabs>
        <w:tab w:val="left" w:pos="720"/>
        <w:tab w:val="right" w:pos="8550"/>
      </w:tabs>
      <w:spacing w:before="240" w:after="60"/>
      <w:jc w:val="center"/>
      <w:outlineLvl w:val="0"/>
    </w:pPr>
    <w:rPr>
      <w:rFonts w:ascii="Cambria" w:eastAsiaTheme="majorEastAsia" w:hAnsi="Cambria"/>
      <w:b/>
      <w:bCs/>
      <w:kern w:val="32"/>
      <w:sz w:val="28"/>
      <w:szCs w:val="32"/>
    </w:rPr>
  </w:style>
  <w:style w:type="paragraph" w:styleId="Heading2">
    <w:name w:val="heading 2"/>
    <w:basedOn w:val="Normal"/>
    <w:next w:val="Normal"/>
    <w:link w:val="Heading2Char"/>
    <w:uiPriority w:val="9"/>
    <w:qFormat/>
    <w:rsid w:val="00277B63"/>
    <w:pPr>
      <w:keepNext/>
      <w:numPr>
        <w:ilvl w:val="1"/>
        <w:numId w:val="18"/>
      </w:numPr>
      <w:tabs>
        <w:tab w:val="left" w:pos="720"/>
      </w:tabs>
      <w:spacing w:before="240" w:after="0" w:line="420" w:lineRule="auto"/>
      <w:jc w:val="center"/>
      <w:outlineLvl w:val="1"/>
    </w:pPr>
    <w:rPr>
      <w:rFonts w:eastAsiaTheme="majorEastAsia" w:cstheme="majorBidi"/>
      <w:b/>
      <w:bCs/>
      <w:iCs/>
      <w:szCs w:val="28"/>
      <w:lang w:val="x-none" w:eastAsia="x-none"/>
    </w:rPr>
  </w:style>
  <w:style w:type="paragraph" w:styleId="Heading3">
    <w:name w:val="heading 3"/>
    <w:basedOn w:val="Normal"/>
    <w:next w:val="Normal"/>
    <w:link w:val="Heading3Char"/>
    <w:autoRedefine/>
    <w:qFormat/>
    <w:rsid w:val="00277B63"/>
    <w:pPr>
      <w:keepNext/>
      <w:numPr>
        <w:ilvl w:val="2"/>
        <w:numId w:val="18"/>
      </w:numPr>
      <w:tabs>
        <w:tab w:val="left" w:pos="720"/>
      </w:tabs>
      <w:spacing w:before="240" w:after="0" w:line="420" w:lineRule="auto"/>
      <w:outlineLvl w:val="2"/>
    </w:pPr>
    <w:rPr>
      <w:rFonts w:eastAsiaTheme="majorEastAsia" w:cstheme="majorBidi"/>
      <w:b/>
      <w:bCs/>
      <w:szCs w:val="26"/>
      <w:lang w:val="x-none" w:eastAsia="x-none"/>
    </w:rPr>
  </w:style>
  <w:style w:type="paragraph" w:styleId="Heading4">
    <w:name w:val="heading 4"/>
    <w:basedOn w:val="Normal"/>
    <w:next w:val="Normal"/>
    <w:link w:val="Heading4Char"/>
    <w:qFormat/>
    <w:rsid w:val="00277B63"/>
    <w:pPr>
      <w:keepNext/>
      <w:numPr>
        <w:ilvl w:val="3"/>
        <w:numId w:val="18"/>
      </w:numPr>
      <w:tabs>
        <w:tab w:val="left" w:pos="720"/>
      </w:tabs>
      <w:spacing w:before="240" w:after="0" w:line="420" w:lineRule="auto"/>
      <w:outlineLvl w:val="3"/>
    </w:pPr>
    <w:rPr>
      <w:rFonts w:eastAsiaTheme="majorEastAsia" w:cstheme="majorBidi"/>
      <w:bCs/>
      <w:szCs w:val="28"/>
      <w:u w:val="single"/>
      <w:lang w:val="x-none" w:eastAsia="x-none"/>
    </w:rPr>
  </w:style>
  <w:style w:type="paragraph" w:styleId="Heading5">
    <w:name w:val="heading 5"/>
    <w:basedOn w:val="Normal"/>
    <w:next w:val="Normal"/>
    <w:link w:val="Heading5Char"/>
    <w:qFormat/>
    <w:rsid w:val="00277B63"/>
    <w:pPr>
      <w:numPr>
        <w:ilvl w:val="4"/>
        <w:numId w:val="18"/>
      </w:numPr>
      <w:tabs>
        <w:tab w:val="left" w:pos="720"/>
      </w:tabs>
      <w:spacing w:before="240" w:after="60" w:line="420" w:lineRule="auto"/>
      <w:outlineLvl w:val="4"/>
    </w:pPr>
    <w:rPr>
      <w:rFonts w:eastAsiaTheme="majorEastAsia" w:cstheme="majorBidi"/>
      <w:bCs/>
      <w:i/>
      <w:iCs/>
      <w:szCs w:val="26"/>
    </w:rPr>
  </w:style>
  <w:style w:type="paragraph" w:styleId="Heading6">
    <w:name w:val="heading 6"/>
    <w:basedOn w:val="Normal"/>
    <w:next w:val="Normal"/>
    <w:link w:val="Heading6Char"/>
    <w:uiPriority w:val="1"/>
    <w:qFormat/>
    <w:rsid w:val="00277B63"/>
    <w:pPr>
      <w:numPr>
        <w:ilvl w:val="5"/>
        <w:numId w:val="18"/>
      </w:numPr>
      <w:tabs>
        <w:tab w:val="left" w:pos="720"/>
      </w:tabs>
      <w:spacing w:before="240" w:after="60" w:line="420" w:lineRule="auto"/>
      <w:outlineLvl w:val="5"/>
    </w:pPr>
    <w:rPr>
      <w:rFonts w:eastAsiaTheme="majorEastAsia" w:cstheme="majorBidi"/>
      <w:bCs/>
    </w:rPr>
  </w:style>
  <w:style w:type="paragraph" w:styleId="Heading7">
    <w:name w:val="heading 7"/>
    <w:basedOn w:val="Normal"/>
    <w:next w:val="Normal"/>
    <w:link w:val="Heading7Char"/>
    <w:qFormat/>
    <w:rsid w:val="00277B63"/>
    <w:pPr>
      <w:numPr>
        <w:ilvl w:val="6"/>
        <w:numId w:val="18"/>
      </w:numPr>
      <w:tabs>
        <w:tab w:val="left" w:pos="720"/>
      </w:tabs>
      <w:spacing w:before="240" w:after="60" w:line="420" w:lineRule="auto"/>
      <w:outlineLvl w:val="6"/>
    </w:pPr>
    <w:rPr>
      <w:rFonts w:ascii="Cambria" w:eastAsia="Times New Roman" w:hAnsi="Cambria"/>
      <w:szCs w:val="24"/>
    </w:rPr>
  </w:style>
  <w:style w:type="paragraph" w:styleId="Heading8">
    <w:name w:val="heading 8"/>
    <w:basedOn w:val="Normal"/>
    <w:next w:val="Normal"/>
    <w:link w:val="Heading8Char"/>
    <w:uiPriority w:val="1"/>
    <w:qFormat/>
    <w:rsid w:val="00277B63"/>
    <w:pPr>
      <w:numPr>
        <w:ilvl w:val="7"/>
        <w:numId w:val="18"/>
      </w:numPr>
      <w:tabs>
        <w:tab w:val="left" w:pos="720"/>
      </w:tabs>
      <w:spacing w:before="240" w:after="60" w:line="420" w:lineRule="auto"/>
      <w:outlineLvl w:val="7"/>
    </w:pPr>
    <w:rPr>
      <w:rFonts w:ascii="Cambria" w:eastAsia="Times New Roman" w:hAnsi="Cambria"/>
      <w:i/>
      <w:iCs/>
      <w:szCs w:val="24"/>
    </w:rPr>
  </w:style>
  <w:style w:type="paragraph" w:styleId="Heading9">
    <w:name w:val="heading 9"/>
    <w:basedOn w:val="Normal"/>
    <w:next w:val="Normal"/>
    <w:link w:val="Heading9Char"/>
    <w:uiPriority w:val="1"/>
    <w:qFormat/>
    <w:rsid w:val="00277B63"/>
    <w:pPr>
      <w:numPr>
        <w:ilvl w:val="8"/>
        <w:numId w:val="18"/>
      </w:numPr>
      <w:tabs>
        <w:tab w:val="left" w:pos="720"/>
      </w:tabs>
      <w:spacing w:before="240" w:after="60" w:line="42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77B63"/>
    <w:rPr>
      <w:rFonts w:ascii="Cambria" w:eastAsiaTheme="majorEastAsia" w:hAnsi="Cambria"/>
      <w:b/>
      <w:bCs/>
      <w:kern w:val="32"/>
      <w:sz w:val="28"/>
      <w:szCs w:val="32"/>
    </w:rPr>
  </w:style>
  <w:style w:type="paragraph" w:customStyle="1" w:styleId="1Arial">
    <w:name w:val="1_Arial"/>
    <w:basedOn w:val="Normal"/>
    <w:link w:val="1ArialChar"/>
    <w:autoRedefine/>
    <w:uiPriority w:val="99"/>
    <w:qFormat/>
    <w:rsid w:val="00277B63"/>
    <w:pPr>
      <w:tabs>
        <w:tab w:val="left" w:pos="720"/>
      </w:tabs>
      <w:spacing w:after="0" w:line="420" w:lineRule="auto"/>
      <w:contextualSpacing/>
    </w:pPr>
    <w:rPr>
      <w:rFonts w:ascii="Arial" w:eastAsia="Calibri" w:hAnsi="Arial" w:cs="Bodoni-Book"/>
      <w:sz w:val="20"/>
      <w:szCs w:val="20"/>
      <w:lang w:eastAsia="zh-CN"/>
    </w:rPr>
  </w:style>
  <w:style w:type="character" w:customStyle="1" w:styleId="1ArialChar">
    <w:name w:val="1_Arial Char"/>
    <w:link w:val="1Arial"/>
    <w:uiPriority w:val="99"/>
    <w:rsid w:val="00277B63"/>
    <w:rPr>
      <w:rFonts w:ascii="Arial" w:eastAsia="Calibri" w:hAnsi="Arial" w:cs="Bodoni-Book"/>
      <w:lang w:eastAsia="zh-CN"/>
    </w:rPr>
  </w:style>
  <w:style w:type="paragraph" w:customStyle="1" w:styleId="TNR11NIH">
    <w:name w:val="TNR_11_NIH"/>
    <w:basedOn w:val="Normal"/>
    <w:link w:val="TNR11NIHChar"/>
    <w:uiPriority w:val="1"/>
    <w:qFormat/>
    <w:rsid w:val="00277B63"/>
    <w:pPr>
      <w:tabs>
        <w:tab w:val="left" w:pos="720"/>
      </w:tabs>
      <w:spacing w:after="0" w:line="240" w:lineRule="auto"/>
      <w:jc w:val="center"/>
    </w:pPr>
    <w:rPr>
      <w:rFonts w:eastAsia="Times New Roman"/>
    </w:rPr>
  </w:style>
  <w:style w:type="character" w:customStyle="1" w:styleId="TNR11NIHChar">
    <w:name w:val="TNR_11_NIH Char"/>
    <w:link w:val="TNR11NIH"/>
    <w:uiPriority w:val="1"/>
    <w:rsid w:val="00277B63"/>
    <w:rPr>
      <w:sz w:val="24"/>
      <w:szCs w:val="22"/>
    </w:rPr>
  </w:style>
  <w:style w:type="paragraph" w:customStyle="1" w:styleId="SubH-1">
    <w:name w:val="SubH-1"/>
    <w:basedOn w:val="Heading2"/>
    <w:link w:val="SubH-1Char"/>
    <w:autoRedefine/>
    <w:uiPriority w:val="99"/>
    <w:qFormat/>
    <w:rsid w:val="00277B63"/>
    <w:pPr>
      <w:keepLines/>
      <w:numPr>
        <w:ilvl w:val="0"/>
        <w:numId w:val="0"/>
      </w:numPr>
      <w:spacing w:before="120"/>
      <w:contextualSpacing/>
    </w:pPr>
    <w:rPr>
      <w:rFonts w:ascii="Arial" w:eastAsia="SimSun" w:hAnsi="Arial" w:cs="Times New Roman"/>
      <w:iCs w:val="0"/>
      <w:color w:val="000000"/>
      <w:sz w:val="28"/>
      <w:szCs w:val="26"/>
      <w:lang w:val="en-US" w:eastAsia="en-US"/>
    </w:rPr>
  </w:style>
  <w:style w:type="character" w:customStyle="1" w:styleId="SubH-1Char">
    <w:name w:val="SubH-1 Char"/>
    <w:link w:val="SubH-1"/>
    <w:uiPriority w:val="99"/>
    <w:rsid w:val="00277B63"/>
    <w:rPr>
      <w:rFonts w:ascii="Arial" w:eastAsia="SimSun" w:hAnsi="Arial"/>
      <w:b/>
      <w:bCs/>
      <w:color w:val="000000"/>
      <w:sz w:val="28"/>
      <w:szCs w:val="26"/>
    </w:rPr>
  </w:style>
  <w:style w:type="character" w:customStyle="1" w:styleId="Heading2Char">
    <w:name w:val="Heading 2 Char"/>
    <w:link w:val="Heading2"/>
    <w:uiPriority w:val="9"/>
    <w:rsid w:val="00277B63"/>
    <w:rPr>
      <w:rFonts w:eastAsiaTheme="majorEastAsia" w:cstheme="majorBidi"/>
      <w:b/>
      <w:bCs/>
      <w:iCs/>
      <w:sz w:val="24"/>
      <w:szCs w:val="28"/>
      <w:lang w:val="x-none" w:eastAsia="x-none"/>
    </w:rPr>
  </w:style>
  <w:style w:type="paragraph" w:customStyle="1" w:styleId="SubH-L2">
    <w:name w:val="Sub H-L2"/>
    <w:basedOn w:val="Heading3"/>
    <w:next w:val="1Arial"/>
    <w:link w:val="SubH-L2Char"/>
    <w:autoRedefine/>
    <w:uiPriority w:val="1"/>
    <w:qFormat/>
    <w:rsid w:val="00277B63"/>
    <w:pPr>
      <w:numPr>
        <w:ilvl w:val="0"/>
        <w:numId w:val="0"/>
      </w:numPr>
      <w:spacing w:before="0"/>
      <w:contextualSpacing/>
    </w:pPr>
    <w:rPr>
      <w:rFonts w:ascii="Arial" w:eastAsia="Times New Roman" w:hAnsi="Arial" w:cs="Times New Roman"/>
      <w:sz w:val="20"/>
      <w:lang w:eastAsia="ko-KR"/>
    </w:rPr>
  </w:style>
  <w:style w:type="character" w:customStyle="1" w:styleId="SubH-L2Char">
    <w:name w:val="Sub H-L2 Char"/>
    <w:link w:val="SubH-L2"/>
    <w:uiPriority w:val="1"/>
    <w:locked/>
    <w:rsid w:val="00277B63"/>
    <w:rPr>
      <w:rFonts w:ascii="Arial" w:hAnsi="Arial"/>
      <w:b/>
      <w:bCs/>
      <w:szCs w:val="26"/>
      <w:lang w:val="x-none" w:eastAsia="ko-KR"/>
    </w:rPr>
  </w:style>
  <w:style w:type="character" w:customStyle="1" w:styleId="Heading3Char">
    <w:name w:val="Heading 3 Char"/>
    <w:link w:val="Heading3"/>
    <w:rsid w:val="00277B63"/>
    <w:rPr>
      <w:rFonts w:eastAsiaTheme="majorEastAsia" w:cstheme="majorBidi"/>
      <w:b/>
      <w:bCs/>
      <w:sz w:val="24"/>
      <w:szCs w:val="26"/>
      <w:lang w:val="x-none" w:eastAsia="x-none"/>
    </w:rPr>
  </w:style>
  <w:style w:type="paragraph" w:customStyle="1" w:styleId="AppendixH1">
    <w:name w:val="Appendix_H1"/>
    <w:basedOn w:val="Normal"/>
    <w:next w:val="Normal"/>
    <w:uiPriority w:val="1"/>
    <w:qFormat/>
    <w:rsid w:val="00277B63"/>
    <w:pPr>
      <w:tabs>
        <w:tab w:val="left" w:pos="720"/>
        <w:tab w:val="right" w:pos="8550"/>
      </w:tabs>
      <w:spacing w:after="0"/>
      <w:jc w:val="center"/>
    </w:pPr>
    <w:rPr>
      <w:rFonts w:ascii="Cambria" w:eastAsia="Times New Roman" w:hAnsi="Cambria"/>
      <w:b/>
      <w:caps/>
      <w:sz w:val="28"/>
      <w:szCs w:val="24"/>
    </w:rPr>
  </w:style>
  <w:style w:type="paragraph" w:customStyle="1" w:styleId="AppendixH2">
    <w:name w:val="Appendix_H2"/>
    <w:basedOn w:val="Heading2"/>
    <w:next w:val="Normal"/>
    <w:uiPriority w:val="1"/>
    <w:qFormat/>
    <w:rsid w:val="00277B63"/>
    <w:pPr>
      <w:numPr>
        <w:numId w:val="23"/>
      </w:numPr>
      <w:jc w:val="left"/>
    </w:pPr>
    <w:rPr>
      <w:rFonts w:ascii="Cambria" w:eastAsia="Times New Roman" w:hAnsi="Cambria" w:cs="Times New Roman"/>
    </w:rPr>
  </w:style>
  <w:style w:type="paragraph" w:customStyle="1" w:styleId="AppendixH3">
    <w:name w:val="Appendix_H3"/>
    <w:basedOn w:val="Heading3"/>
    <w:next w:val="Normal"/>
    <w:autoRedefine/>
    <w:uiPriority w:val="1"/>
    <w:qFormat/>
    <w:rsid w:val="00277B63"/>
    <w:pPr>
      <w:numPr>
        <w:numId w:val="23"/>
      </w:numPr>
      <w:jc w:val="left"/>
    </w:pPr>
    <w:rPr>
      <w:rFonts w:ascii="Cambria" w:eastAsia="Times New Roman" w:hAnsi="Cambria" w:cs="Times New Roman"/>
      <w:b w:val="0"/>
      <w:u w:val="single"/>
    </w:rPr>
  </w:style>
  <w:style w:type="paragraph" w:customStyle="1" w:styleId="AppendixH4">
    <w:name w:val="Appendix_H4"/>
    <w:basedOn w:val="Heading4"/>
    <w:next w:val="Normal"/>
    <w:autoRedefine/>
    <w:uiPriority w:val="1"/>
    <w:qFormat/>
    <w:rsid w:val="00277B63"/>
    <w:pPr>
      <w:numPr>
        <w:numId w:val="23"/>
      </w:numPr>
    </w:pPr>
    <w:rPr>
      <w:rFonts w:ascii="Cambria" w:eastAsia="Times New Roman" w:hAnsi="Cambria" w:cs="Times New Roman"/>
      <w:i/>
      <w:u w:val="none"/>
    </w:rPr>
  </w:style>
  <w:style w:type="character" w:customStyle="1" w:styleId="Heading4Char">
    <w:name w:val="Heading 4 Char"/>
    <w:link w:val="Heading4"/>
    <w:rsid w:val="00277B63"/>
    <w:rPr>
      <w:rFonts w:eastAsiaTheme="majorEastAsia" w:cstheme="majorBidi"/>
      <w:bCs/>
      <w:sz w:val="24"/>
      <w:szCs w:val="28"/>
      <w:u w:val="single"/>
      <w:lang w:val="x-none" w:eastAsia="x-none"/>
    </w:rPr>
  </w:style>
  <w:style w:type="paragraph" w:customStyle="1" w:styleId="AppendixH5">
    <w:name w:val="Appendix_H5"/>
    <w:basedOn w:val="Heading5"/>
    <w:uiPriority w:val="1"/>
    <w:qFormat/>
    <w:rsid w:val="00277B63"/>
    <w:pPr>
      <w:numPr>
        <w:numId w:val="23"/>
      </w:numPr>
    </w:pPr>
    <w:rPr>
      <w:rFonts w:ascii="Cambria" w:eastAsia="Times New Roman" w:hAnsi="Cambria" w:cs="Times New Roman"/>
      <w:i w:val="0"/>
    </w:rPr>
  </w:style>
  <w:style w:type="character" w:customStyle="1" w:styleId="Heading5Char">
    <w:name w:val="Heading 5 Char"/>
    <w:link w:val="Heading5"/>
    <w:rsid w:val="00277B63"/>
    <w:rPr>
      <w:rFonts w:eastAsiaTheme="majorEastAsia" w:cstheme="majorBidi"/>
      <w:bCs/>
      <w:i/>
      <w:iCs/>
      <w:sz w:val="24"/>
      <w:szCs w:val="26"/>
    </w:rPr>
  </w:style>
  <w:style w:type="paragraph" w:customStyle="1" w:styleId="AppendixH6">
    <w:name w:val="Appendix_H6"/>
    <w:basedOn w:val="Heading6"/>
    <w:next w:val="Normal"/>
    <w:uiPriority w:val="1"/>
    <w:qFormat/>
    <w:rsid w:val="00277B63"/>
    <w:pPr>
      <w:numPr>
        <w:numId w:val="23"/>
      </w:numPr>
      <w:jc w:val="left"/>
    </w:pPr>
    <w:rPr>
      <w:rFonts w:ascii="Cambria" w:eastAsia="Times New Roman" w:hAnsi="Cambria" w:cs="Times New Roman"/>
      <w:b/>
    </w:rPr>
  </w:style>
  <w:style w:type="character" w:customStyle="1" w:styleId="Heading6Char">
    <w:name w:val="Heading 6 Char"/>
    <w:link w:val="Heading6"/>
    <w:uiPriority w:val="1"/>
    <w:rsid w:val="00277B63"/>
    <w:rPr>
      <w:rFonts w:eastAsiaTheme="majorEastAsia" w:cstheme="majorBidi"/>
      <w:bCs/>
      <w:sz w:val="24"/>
      <w:szCs w:val="22"/>
    </w:rPr>
  </w:style>
  <w:style w:type="character" w:customStyle="1" w:styleId="Heading7Char">
    <w:name w:val="Heading 7 Char"/>
    <w:basedOn w:val="DefaultParagraphFont"/>
    <w:link w:val="Heading7"/>
    <w:rsid w:val="00277B63"/>
    <w:rPr>
      <w:rFonts w:ascii="Cambria" w:hAnsi="Cambria"/>
      <w:sz w:val="24"/>
      <w:szCs w:val="24"/>
    </w:rPr>
  </w:style>
  <w:style w:type="character" w:customStyle="1" w:styleId="Heading8Char">
    <w:name w:val="Heading 8 Char"/>
    <w:basedOn w:val="DefaultParagraphFont"/>
    <w:link w:val="Heading8"/>
    <w:uiPriority w:val="1"/>
    <w:rsid w:val="00277B63"/>
    <w:rPr>
      <w:rFonts w:ascii="Cambria" w:hAnsi="Cambria"/>
      <w:i/>
      <w:iCs/>
      <w:sz w:val="24"/>
      <w:szCs w:val="24"/>
    </w:rPr>
  </w:style>
  <w:style w:type="character" w:customStyle="1" w:styleId="Heading9Char">
    <w:name w:val="Heading 9 Char"/>
    <w:basedOn w:val="DefaultParagraphFont"/>
    <w:link w:val="Heading9"/>
    <w:uiPriority w:val="1"/>
    <w:rsid w:val="00277B63"/>
    <w:rPr>
      <w:rFonts w:ascii="Arial" w:hAnsi="Arial" w:cs="Arial"/>
      <w:sz w:val="22"/>
      <w:szCs w:val="22"/>
    </w:rPr>
  </w:style>
  <w:style w:type="paragraph" w:styleId="TOC1">
    <w:name w:val="toc 1"/>
    <w:next w:val="Normal"/>
    <w:autoRedefine/>
    <w:uiPriority w:val="39"/>
    <w:qFormat/>
    <w:rsid w:val="00277B63"/>
    <w:pPr>
      <w:spacing w:before="120" w:after="120" w:line="420" w:lineRule="auto"/>
    </w:pPr>
    <w:rPr>
      <w:rFonts w:ascii="Cambria" w:hAnsi="Cambria"/>
      <w:b/>
      <w:bCs/>
      <w:caps/>
      <w:sz w:val="24"/>
    </w:rPr>
  </w:style>
  <w:style w:type="paragraph" w:styleId="TOC2">
    <w:name w:val="toc 2"/>
    <w:next w:val="Normal"/>
    <w:autoRedefine/>
    <w:uiPriority w:val="39"/>
    <w:qFormat/>
    <w:rsid w:val="00277B63"/>
    <w:pPr>
      <w:spacing w:line="420" w:lineRule="auto"/>
      <w:ind w:left="240"/>
    </w:pPr>
    <w:rPr>
      <w:smallCaps/>
      <w:sz w:val="24"/>
    </w:rPr>
  </w:style>
  <w:style w:type="paragraph" w:styleId="TOC3">
    <w:name w:val="toc 3"/>
    <w:basedOn w:val="Normal"/>
    <w:next w:val="Normal"/>
    <w:autoRedefine/>
    <w:uiPriority w:val="39"/>
    <w:qFormat/>
    <w:rsid w:val="00277B63"/>
    <w:pPr>
      <w:spacing w:after="0" w:line="420" w:lineRule="auto"/>
      <w:ind w:left="480"/>
      <w:jc w:val="left"/>
    </w:pPr>
    <w:rPr>
      <w:rFonts w:ascii="Cambria" w:eastAsia="Times New Roman" w:hAnsi="Cambria"/>
      <w:i/>
      <w:iCs/>
      <w:szCs w:val="20"/>
    </w:rPr>
  </w:style>
  <w:style w:type="paragraph" w:styleId="Caption">
    <w:name w:val="caption"/>
    <w:basedOn w:val="Normal"/>
    <w:next w:val="Normal"/>
    <w:link w:val="CaptionChar"/>
    <w:autoRedefine/>
    <w:uiPriority w:val="99"/>
    <w:qFormat/>
    <w:rsid w:val="00277B63"/>
    <w:pPr>
      <w:keepNext/>
      <w:tabs>
        <w:tab w:val="left" w:pos="720"/>
      </w:tabs>
      <w:spacing w:after="0" w:line="240" w:lineRule="auto"/>
    </w:pPr>
    <w:rPr>
      <w:rFonts w:ascii="Cambria" w:eastAsia="Times New Roman" w:hAnsi="Cambria"/>
      <w:bCs/>
      <w:szCs w:val="20"/>
      <w:lang w:val="x-none" w:eastAsia="x-none"/>
    </w:rPr>
  </w:style>
  <w:style w:type="character" w:customStyle="1" w:styleId="CaptionChar">
    <w:name w:val="Caption Char"/>
    <w:link w:val="Caption"/>
    <w:uiPriority w:val="99"/>
    <w:rsid w:val="00277B63"/>
    <w:rPr>
      <w:rFonts w:ascii="Cambria" w:hAnsi="Cambria"/>
      <w:bCs/>
      <w:sz w:val="24"/>
      <w:lang w:val="x-none" w:eastAsia="x-none"/>
    </w:rPr>
  </w:style>
  <w:style w:type="paragraph" w:styleId="Title">
    <w:name w:val="Title"/>
    <w:basedOn w:val="Normal"/>
    <w:next w:val="Normal"/>
    <w:link w:val="TitleChar"/>
    <w:qFormat/>
    <w:rsid w:val="00277B63"/>
    <w:pPr>
      <w:tabs>
        <w:tab w:val="left" w:pos="720"/>
        <w:tab w:val="right" w:pos="8550"/>
      </w:tabs>
      <w:spacing w:before="240" w:after="0" w:line="420" w:lineRule="auto"/>
      <w:jc w:val="center"/>
      <w:outlineLvl w:val="0"/>
    </w:pPr>
    <w:rPr>
      <w:rFonts w:eastAsia="Times New Roman"/>
      <w:b/>
      <w:bCs/>
      <w:caps/>
      <w:kern w:val="28"/>
      <w:sz w:val="28"/>
      <w:szCs w:val="32"/>
    </w:rPr>
  </w:style>
  <w:style w:type="character" w:customStyle="1" w:styleId="TitleChar">
    <w:name w:val="Title Char"/>
    <w:link w:val="Title"/>
    <w:rsid w:val="00277B63"/>
    <w:rPr>
      <w:b/>
      <w:bCs/>
      <w:caps/>
      <w:kern w:val="28"/>
      <w:sz w:val="28"/>
      <w:szCs w:val="32"/>
    </w:rPr>
  </w:style>
  <w:style w:type="character" w:styleId="Strong">
    <w:name w:val="Strong"/>
    <w:uiPriority w:val="99"/>
    <w:qFormat/>
    <w:rsid w:val="00277B63"/>
    <w:rPr>
      <w:b/>
      <w:bCs/>
    </w:rPr>
  </w:style>
  <w:style w:type="character" w:styleId="Emphasis">
    <w:name w:val="Emphasis"/>
    <w:uiPriority w:val="99"/>
    <w:qFormat/>
    <w:rsid w:val="00277B63"/>
    <w:rPr>
      <w:i/>
      <w:iCs/>
    </w:rPr>
  </w:style>
  <w:style w:type="paragraph" w:styleId="NoSpacing">
    <w:name w:val="No Spacing"/>
    <w:uiPriority w:val="1"/>
    <w:qFormat/>
    <w:rsid w:val="00277B63"/>
    <w:rPr>
      <w:rFonts w:eastAsia="Calibri"/>
      <w:sz w:val="24"/>
      <w:szCs w:val="22"/>
    </w:rPr>
  </w:style>
  <w:style w:type="paragraph" w:styleId="ListParagraph">
    <w:name w:val="List Paragraph"/>
    <w:basedOn w:val="Normal"/>
    <w:uiPriority w:val="34"/>
    <w:qFormat/>
    <w:rsid w:val="00277B63"/>
    <w:pPr>
      <w:tabs>
        <w:tab w:val="left" w:pos="720"/>
      </w:tabs>
      <w:spacing w:after="0" w:line="420" w:lineRule="auto"/>
      <w:ind w:left="720"/>
      <w:contextualSpacing/>
    </w:pPr>
    <w:rPr>
      <w:rFonts w:ascii="Cambria" w:eastAsia="PMingLiU" w:hAnsi="Cambria"/>
      <w:szCs w:val="24"/>
      <w:lang w:eastAsia="zh-TW"/>
    </w:rPr>
  </w:style>
  <w:style w:type="character" w:styleId="SubtleEmphasis">
    <w:name w:val="Subtle Emphasis"/>
    <w:basedOn w:val="DefaultParagraphFont"/>
    <w:uiPriority w:val="99"/>
    <w:qFormat/>
    <w:rsid w:val="00277B63"/>
    <w:rPr>
      <w:i/>
    </w:rPr>
  </w:style>
  <w:style w:type="paragraph" w:styleId="TOCHeading">
    <w:name w:val="TOC Heading"/>
    <w:aliases w:val="Sidebar Heading"/>
    <w:basedOn w:val="Heading1"/>
    <w:next w:val="Normal"/>
    <w:uiPriority w:val="39"/>
    <w:unhideWhenUsed/>
    <w:qFormat/>
    <w:rsid w:val="00277B63"/>
    <w:pPr>
      <w:keepLines/>
      <w:numPr>
        <w:numId w:val="0"/>
      </w:numPr>
      <w:spacing w:before="480" w:after="0" w:line="276" w:lineRule="auto"/>
      <w:jc w:val="left"/>
      <w:outlineLvl w:val="9"/>
    </w:pPr>
    <w:rPr>
      <w:rFonts w:ascii="Calibri Light" w:eastAsia="Times New Roman" w:hAnsi="Calibri Light"/>
      <w:color w:val="2E74B5"/>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Goldman</dc:creator>
  <cp:keywords/>
  <dc:description/>
  <cp:lastModifiedBy>Stephen Goldman</cp:lastModifiedBy>
  <cp:revision>5</cp:revision>
  <dcterms:created xsi:type="dcterms:W3CDTF">2015-06-15T02:24:00Z</dcterms:created>
  <dcterms:modified xsi:type="dcterms:W3CDTF">2015-12-10T14:33:00Z</dcterms:modified>
</cp:coreProperties>
</file>