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0A99E" w14:textId="77777777" w:rsidR="00A57BA6" w:rsidRPr="00540DE9" w:rsidRDefault="00A57BA6" w:rsidP="00A57BA6">
      <w:pPr>
        <w:spacing w:after="0" w:line="360" w:lineRule="auto"/>
        <w:jc w:val="center"/>
        <w:rPr>
          <w:rFonts w:asciiTheme="majorBidi" w:hAnsiTheme="majorBidi" w:cstheme="majorBidi"/>
          <w:b/>
          <w:bCs/>
          <w:color w:val="212121"/>
          <w:sz w:val="24"/>
          <w:szCs w:val="24"/>
          <w:shd w:val="clear" w:color="auto" w:fill="FFFFFF"/>
        </w:rPr>
      </w:pPr>
      <w:bookmarkStart w:id="0" w:name="_Hlk193057022"/>
      <w:r w:rsidRPr="00540DE9">
        <w:rPr>
          <w:rFonts w:asciiTheme="majorBidi" w:hAnsiTheme="majorBidi" w:cstheme="majorBidi"/>
          <w:b/>
          <w:bCs/>
          <w:color w:val="212121"/>
          <w:sz w:val="24"/>
          <w:szCs w:val="24"/>
          <w:shd w:val="clear" w:color="auto" w:fill="FFFFFF"/>
        </w:rPr>
        <w:t>Newly Designed Curcumin-Loaded Hybrid Nanoparticles: A Multifunctional Strategy for Combating Oxidative Stress, Inflammation, and Infections to Accelerate Wound Healing and Tissue Regeneration</w:t>
      </w:r>
    </w:p>
    <w:bookmarkEnd w:id="0"/>
    <w:p w14:paraId="02D800EC" w14:textId="77777777" w:rsidR="00A57BA6" w:rsidRPr="00540DE9" w:rsidRDefault="00A57BA6" w:rsidP="00A57BA6">
      <w:pPr>
        <w:spacing w:after="0" w:line="360" w:lineRule="auto"/>
        <w:jc w:val="center"/>
        <w:rPr>
          <w:rFonts w:asciiTheme="majorBidi" w:hAnsiTheme="majorBidi" w:cstheme="majorBidi"/>
          <w:b/>
          <w:bCs/>
          <w:color w:val="212121"/>
          <w:sz w:val="24"/>
          <w:szCs w:val="24"/>
          <w:shd w:val="clear" w:color="auto" w:fill="FFFFFF"/>
        </w:rPr>
      </w:pPr>
      <w:r w:rsidRPr="00540DE9">
        <w:rPr>
          <w:rFonts w:asciiTheme="majorBidi" w:hAnsiTheme="majorBidi" w:cstheme="majorBidi"/>
          <w:b/>
          <w:bCs/>
          <w:color w:val="212121"/>
          <w:sz w:val="24"/>
          <w:szCs w:val="24"/>
          <w:shd w:val="clear" w:color="auto" w:fill="FFFFFF"/>
        </w:rPr>
        <w:t xml:space="preserve"> </w:t>
      </w:r>
    </w:p>
    <w:p w14:paraId="183150F6" w14:textId="33A80E24" w:rsidR="00306C39" w:rsidRPr="00540DE9" w:rsidRDefault="00A57BA6" w:rsidP="00A57BA6">
      <w:pPr>
        <w:ind w:left="360"/>
        <w:rPr>
          <w:rFonts w:asciiTheme="majorBidi" w:hAnsiTheme="majorBidi" w:cstheme="majorBidi"/>
          <w:b/>
          <w:sz w:val="24"/>
          <w:szCs w:val="24"/>
          <w:u w:val="single"/>
        </w:rPr>
      </w:pPr>
      <w:r w:rsidRPr="00540DE9">
        <w:rPr>
          <w:rFonts w:asciiTheme="majorBidi" w:hAnsiTheme="majorBidi" w:cstheme="majorBidi"/>
          <w:b/>
          <w:bCs/>
          <w:color w:val="000000" w:themeColor="text1"/>
          <w:sz w:val="24"/>
          <w:szCs w:val="24"/>
        </w:rPr>
        <w:t>Heidi M. Abdel-</w:t>
      </w:r>
      <w:proofErr w:type="spellStart"/>
      <w:r w:rsidRPr="00540DE9">
        <w:rPr>
          <w:rFonts w:asciiTheme="majorBidi" w:hAnsiTheme="majorBidi" w:cstheme="majorBidi"/>
          <w:b/>
          <w:bCs/>
          <w:color w:val="000000" w:themeColor="text1"/>
          <w:sz w:val="24"/>
          <w:szCs w:val="24"/>
        </w:rPr>
        <w:t>Mageed</w:t>
      </w:r>
      <w:proofErr w:type="spellEnd"/>
      <w:r w:rsidRPr="00540DE9">
        <w:rPr>
          <w:rFonts w:asciiTheme="majorBidi" w:hAnsiTheme="majorBidi" w:cstheme="majorBidi"/>
          <w:b/>
          <w:bCs/>
          <w:color w:val="000000" w:themeColor="text1"/>
          <w:sz w:val="24"/>
          <w:szCs w:val="24"/>
        </w:rPr>
        <w:t xml:space="preserve"> </w:t>
      </w:r>
      <w:r w:rsidRPr="00540DE9">
        <w:rPr>
          <w:rFonts w:asciiTheme="majorBidi" w:hAnsiTheme="majorBidi" w:cstheme="majorBidi"/>
          <w:b/>
          <w:bCs/>
          <w:color w:val="000000" w:themeColor="text1"/>
          <w:sz w:val="24"/>
          <w:szCs w:val="24"/>
          <w:vertAlign w:val="superscript"/>
        </w:rPr>
        <w:t>1*</w:t>
      </w:r>
      <w:r w:rsidRPr="00540DE9">
        <w:rPr>
          <w:rFonts w:asciiTheme="majorBidi" w:hAnsiTheme="majorBidi" w:cstheme="majorBidi"/>
          <w:b/>
          <w:bCs/>
          <w:color w:val="000000" w:themeColor="text1"/>
          <w:sz w:val="24"/>
          <w:szCs w:val="24"/>
        </w:rPr>
        <w:t xml:space="preserve">, </w:t>
      </w:r>
      <w:proofErr w:type="spellStart"/>
      <w:r w:rsidRPr="00540DE9">
        <w:rPr>
          <w:rFonts w:asciiTheme="majorBidi" w:hAnsiTheme="majorBidi" w:cstheme="majorBidi"/>
          <w:b/>
          <w:bCs/>
          <w:color w:val="000000" w:themeColor="text1"/>
          <w:sz w:val="24"/>
          <w:szCs w:val="24"/>
        </w:rPr>
        <w:t>Nermeen</w:t>
      </w:r>
      <w:proofErr w:type="spellEnd"/>
      <w:r w:rsidRPr="00540DE9">
        <w:rPr>
          <w:rFonts w:asciiTheme="majorBidi" w:hAnsiTheme="majorBidi" w:cstheme="majorBidi"/>
          <w:b/>
          <w:bCs/>
          <w:color w:val="000000" w:themeColor="text1"/>
          <w:sz w:val="24"/>
          <w:szCs w:val="24"/>
        </w:rPr>
        <w:t xml:space="preserve"> Z. AbuelEzz</w:t>
      </w:r>
      <w:r w:rsidRPr="00540DE9">
        <w:rPr>
          <w:rFonts w:asciiTheme="majorBidi" w:hAnsiTheme="majorBidi" w:cstheme="majorBidi"/>
          <w:b/>
          <w:bCs/>
          <w:color w:val="000000" w:themeColor="text1"/>
          <w:sz w:val="24"/>
          <w:szCs w:val="24"/>
          <w:vertAlign w:val="superscript"/>
        </w:rPr>
        <w:t>2</w:t>
      </w:r>
      <w:r w:rsidRPr="00540DE9">
        <w:rPr>
          <w:rFonts w:asciiTheme="majorBidi" w:hAnsiTheme="majorBidi" w:cstheme="majorBidi"/>
          <w:b/>
          <w:bCs/>
          <w:color w:val="000000" w:themeColor="text1"/>
          <w:sz w:val="24"/>
          <w:szCs w:val="24"/>
        </w:rPr>
        <w:t>, Ahmed A. Ali</w:t>
      </w:r>
      <w:r w:rsidRPr="00540DE9">
        <w:rPr>
          <w:rFonts w:asciiTheme="majorBidi" w:hAnsiTheme="majorBidi" w:cstheme="majorBidi"/>
          <w:b/>
          <w:bCs/>
          <w:color w:val="000000" w:themeColor="text1"/>
          <w:sz w:val="24"/>
          <w:szCs w:val="24"/>
          <w:vertAlign w:val="superscript"/>
        </w:rPr>
        <w:t>1</w:t>
      </w:r>
      <w:r w:rsidRPr="00540DE9">
        <w:rPr>
          <w:rFonts w:asciiTheme="majorBidi" w:hAnsiTheme="majorBidi" w:cstheme="majorBidi"/>
          <w:b/>
          <w:bCs/>
          <w:color w:val="000000" w:themeColor="text1"/>
          <w:sz w:val="24"/>
          <w:szCs w:val="24"/>
        </w:rPr>
        <w:t>, Amira E. Abdelaziz</w:t>
      </w:r>
      <w:r w:rsidRPr="00540DE9">
        <w:rPr>
          <w:rFonts w:asciiTheme="majorBidi" w:hAnsiTheme="majorBidi" w:cstheme="majorBidi"/>
          <w:b/>
          <w:bCs/>
          <w:color w:val="000000" w:themeColor="text1"/>
          <w:sz w:val="24"/>
          <w:szCs w:val="24"/>
          <w:vertAlign w:val="superscript"/>
        </w:rPr>
        <w:t>3</w:t>
      </w:r>
      <w:r w:rsidRPr="00540DE9">
        <w:rPr>
          <w:rFonts w:asciiTheme="majorBidi" w:hAnsiTheme="majorBidi" w:cstheme="majorBidi"/>
          <w:b/>
          <w:bCs/>
          <w:color w:val="000000" w:themeColor="text1"/>
          <w:sz w:val="24"/>
          <w:szCs w:val="24"/>
        </w:rPr>
        <w:t>, Dina Nada</w:t>
      </w:r>
      <w:r w:rsidRPr="00540DE9">
        <w:rPr>
          <w:rFonts w:asciiTheme="majorBidi" w:hAnsiTheme="majorBidi" w:cstheme="majorBidi"/>
          <w:b/>
          <w:bCs/>
          <w:color w:val="000000" w:themeColor="text1"/>
          <w:sz w:val="24"/>
          <w:szCs w:val="24"/>
          <w:vertAlign w:val="superscript"/>
        </w:rPr>
        <w:t>4</w:t>
      </w:r>
      <w:r w:rsidRPr="00540DE9">
        <w:rPr>
          <w:rFonts w:asciiTheme="majorBidi" w:hAnsiTheme="majorBidi" w:cstheme="majorBidi"/>
          <w:b/>
          <w:bCs/>
          <w:color w:val="000000" w:themeColor="text1"/>
          <w:sz w:val="24"/>
          <w:szCs w:val="24"/>
        </w:rPr>
        <w:t xml:space="preserve">, Sahar M. </w:t>
      </w:r>
      <w:proofErr w:type="spellStart"/>
      <w:r w:rsidRPr="00540DE9">
        <w:rPr>
          <w:rFonts w:asciiTheme="majorBidi" w:hAnsiTheme="majorBidi" w:cstheme="majorBidi"/>
          <w:b/>
          <w:bCs/>
          <w:color w:val="000000" w:themeColor="text1"/>
          <w:sz w:val="24"/>
          <w:szCs w:val="24"/>
        </w:rPr>
        <w:t>Abdelraouf</w:t>
      </w:r>
      <w:proofErr w:type="spellEnd"/>
      <w:r w:rsidRPr="00540DE9">
        <w:rPr>
          <w:rFonts w:asciiTheme="majorBidi" w:hAnsiTheme="majorBidi" w:cstheme="majorBidi"/>
          <w:b/>
          <w:bCs/>
          <w:color w:val="000000" w:themeColor="text1"/>
          <w:sz w:val="24"/>
          <w:szCs w:val="24"/>
        </w:rPr>
        <w:t xml:space="preserve"> </w:t>
      </w:r>
      <w:r w:rsidRPr="00540DE9">
        <w:rPr>
          <w:rFonts w:asciiTheme="majorBidi" w:hAnsiTheme="majorBidi" w:cstheme="majorBidi"/>
          <w:b/>
          <w:bCs/>
          <w:color w:val="000000" w:themeColor="text1"/>
          <w:sz w:val="24"/>
          <w:szCs w:val="24"/>
          <w:vertAlign w:val="superscript"/>
        </w:rPr>
        <w:t>5</w:t>
      </w:r>
      <w:r w:rsidRPr="00540DE9">
        <w:rPr>
          <w:rFonts w:asciiTheme="majorBidi" w:hAnsiTheme="majorBidi" w:cstheme="majorBidi"/>
          <w:b/>
          <w:bCs/>
          <w:color w:val="000000" w:themeColor="text1"/>
          <w:sz w:val="24"/>
          <w:szCs w:val="24"/>
        </w:rPr>
        <w:t xml:space="preserve">, </w:t>
      </w:r>
      <w:proofErr w:type="spellStart"/>
      <w:r w:rsidRPr="00540DE9">
        <w:rPr>
          <w:rFonts w:asciiTheme="majorBidi" w:hAnsiTheme="majorBidi" w:cstheme="majorBidi"/>
          <w:b/>
          <w:bCs/>
          <w:color w:val="000000" w:themeColor="text1"/>
          <w:sz w:val="24"/>
          <w:szCs w:val="24"/>
        </w:rPr>
        <w:t>Shahinaze</w:t>
      </w:r>
      <w:proofErr w:type="spellEnd"/>
      <w:r w:rsidRPr="00540DE9">
        <w:rPr>
          <w:rFonts w:asciiTheme="majorBidi" w:hAnsiTheme="majorBidi" w:cstheme="majorBidi"/>
          <w:b/>
          <w:bCs/>
          <w:color w:val="000000" w:themeColor="text1"/>
          <w:sz w:val="24"/>
          <w:szCs w:val="24"/>
        </w:rPr>
        <w:t xml:space="preserve"> A. Fouad</w:t>
      </w:r>
      <w:r w:rsidRPr="00540DE9">
        <w:rPr>
          <w:rFonts w:asciiTheme="majorBidi" w:hAnsiTheme="majorBidi" w:cstheme="majorBidi"/>
          <w:b/>
          <w:bCs/>
          <w:color w:val="000000" w:themeColor="text1"/>
          <w:sz w:val="24"/>
          <w:szCs w:val="24"/>
          <w:vertAlign w:val="superscript"/>
        </w:rPr>
        <w:t>6</w:t>
      </w:r>
      <w:r w:rsidRPr="00540DE9">
        <w:rPr>
          <w:rFonts w:asciiTheme="majorBidi" w:hAnsiTheme="majorBidi" w:cstheme="majorBidi"/>
          <w:b/>
          <w:bCs/>
          <w:color w:val="000000" w:themeColor="text1"/>
          <w:sz w:val="24"/>
          <w:szCs w:val="24"/>
        </w:rPr>
        <w:t xml:space="preserve">, </w:t>
      </w:r>
      <w:proofErr w:type="spellStart"/>
      <w:r w:rsidRPr="00540DE9">
        <w:rPr>
          <w:rFonts w:asciiTheme="majorBidi" w:hAnsiTheme="majorBidi" w:cstheme="majorBidi"/>
          <w:b/>
          <w:bCs/>
          <w:color w:val="000000" w:themeColor="text1"/>
          <w:sz w:val="24"/>
          <w:szCs w:val="24"/>
        </w:rPr>
        <w:t>Abeer</w:t>
      </w:r>
      <w:proofErr w:type="spellEnd"/>
      <w:r w:rsidRPr="00540DE9">
        <w:rPr>
          <w:rFonts w:asciiTheme="majorBidi" w:hAnsiTheme="majorBidi" w:cstheme="majorBidi"/>
          <w:b/>
          <w:bCs/>
          <w:color w:val="000000" w:themeColor="text1"/>
          <w:sz w:val="24"/>
          <w:szCs w:val="24"/>
        </w:rPr>
        <w:t xml:space="preserve">  Bishr</w:t>
      </w:r>
      <w:r w:rsidRPr="00540DE9">
        <w:rPr>
          <w:rFonts w:asciiTheme="majorBidi" w:hAnsiTheme="majorBidi" w:cstheme="majorBidi"/>
          <w:b/>
          <w:bCs/>
          <w:color w:val="000000" w:themeColor="text1"/>
          <w:sz w:val="24"/>
          <w:szCs w:val="24"/>
          <w:vertAlign w:val="superscript"/>
        </w:rPr>
        <w:t>7</w:t>
      </w:r>
      <w:r w:rsidRPr="00540DE9">
        <w:rPr>
          <w:rFonts w:asciiTheme="majorBidi" w:hAnsiTheme="majorBidi" w:cstheme="majorBidi"/>
          <w:b/>
          <w:bCs/>
          <w:color w:val="000000" w:themeColor="text1"/>
          <w:sz w:val="24"/>
          <w:szCs w:val="24"/>
        </w:rPr>
        <w:t xml:space="preserve">, </w:t>
      </w:r>
      <w:proofErr w:type="spellStart"/>
      <w:r w:rsidRPr="00540DE9">
        <w:rPr>
          <w:rFonts w:asciiTheme="majorBidi" w:hAnsiTheme="majorBidi" w:cstheme="majorBidi"/>
          <w:b/>
          <w:bCs/>
          <w:color w:val="000000" w:themeColor="text1"/>
          <w:sz w:val="24"/>
          <w:szCs w:val="24"/>
        </w:rPr>
        <w:t>Rasha</w:t>
      </w:r>
      <w:proofErr w:type="spellEnd"/>
      <w:r w:rsidRPr="00540DE9">
        <w:rPr>
          <w:rFonts w:asciiTheme="majorBidi" w:hAnsiTheme="majorBidi" w:cstheme="majorBidi"/>
          <w:b/>
          <w:bCs/>
          <w:color w:val="000000" w:themeColor="text1"/>
          <w:sz w:val="24"/>
          <w:szCs w:val="24"/>
        </w:rPr>
        <w:t xml:space="preserve"> A. Radwan</w:t>
      </w:r>
      <w:r w:rsidRPr="00540DE9">
        <w:rPr>
          <w:rFonts w:asciiTheme="majorBidi" w:hAnsiTheme="majorBidi" w:cstheme="majorBidi"/>
          <w:b/>
          <w:bCs/>
          <w:color w:val="000000" w:themeColor="text1"/>
          <w:sz w:val="24"/>
          <w:szCs w:val="24"/>
          <w:vertAlign w:val="superscript"/>
        </w:rPr>
        <w:t>8</w:t>
      </w:r>
    </w:p>
    <w:p w14:paraId="090924CD" w14:textId="77777777" w:rsidR="00306C39" w:rsidRPr="00540DE9" w:rsidRDefault="00306C39" w:rsidP="00306C39">
      <w:pPr>
        <w:ind w:left="360"/>
        <w:rPr>
          <w:rFonts w:asciiTheme="majorBidi" w:hAnsiTheme="majorBidi" w:cstheme="majorBidi"/>
          <w:b/>
          <w:sz w:val="24"/>
          <w:szCs w:val="24"/>
          <w:u w:val="single"/>
        </w:rPr>
      </w:pPr>
    </w:p>
    <w:p w14:paraId="7BD10576" w14:textId="27095878" w:rsidR="00306C39" w:rsidRPr="00540DE9" w:rsidRDefault="00D81F4D" w:rsidP="00306C39">
      <w:pPr>
        <w:ind w:left="360"/>
        <w:rPr>
          <w:rFonts w:asciiTheme="majorBidi" w:hAnsiTheme="majorBidi" w:cstheme="majorBidi"/>
          <w:sz w:val="24"/>
          <w:szCs w:val="24"/>
        </w:rPr>
      </w:pPr>
      <w:r w:rsidRPr="00540DE9">
        <w:rPr>
          <w:rFonts w:asciiTheme="majorBidi" w:hAnsiTheme="majorBidi" w:cstheme="majorBidi"/>
          <w:b/>
          <w:sz w:val="24"/>
          <w:szCs w:val="24"/>
          <w:u w:val="single"/>
        </w:rPr>
        <w:t>Table S1</w:t>
      </w:r>
      <w:r w:rsidR="00306C39" w:rsidRPr="00540DE9">
        <w:rPr>
          <w:rFonts w:asciiTheme="majorBidi" w:hAnsiTheme="majorBidi" w:cstheme="majorBidi"/>
          <w:sz w:val="24"/>
          <w:szCs w:val="24"/>
        </w:rPr>
        <w:t xml:space="preserve">: Schematic representation of the samples formulated </w:t>
      </w:r>
      <w:r w:rsidR="00EE6AFA" w:rsidRPr="00540DE9">
        <w:rPr>
          <w:rFonts w:asciiTheme="majorBidi" w:hAnsiTheme="majorBidi" w:cstheme="majorBidi"/>
          <w:sz w:val="24"/>
          <w:szCs w:val="24"/>
        </w:rPr>
        <w:t xml:space="preserve">using </w:t>
      </w:r>
      <w:r w:rsidR="00D633B3" w:rsidRPr="00540DE9">
        <w:rPr>
          <w:rFonts w:asciiTheme="majorBidi" w:hAnsiTheme="majorBidi" w:cstheme="majorBidi"/>
          <w:sz w:val="24"/>
          <w:szCs w:val="24"/>
        </w:rPr>
        <w:t>nano-precipitation</w:t>
      </w:r>
      <w:r w:rsidR="00EE6AFA" w:rsidRPr="00540DE9">
        <w:rPr>
          <w:rFonts w:asciiTheme="majorBidi" w:hAnsiTheme="majorBidi" w:cstheme="majorBidi"/>
          <w:sz w:val="24"/>
          <w:szCs w:val="24"/>
        </w:rPr>
        <w:t xml:space="preserve"> methodology </w:t>
      </w:r>
      <w:r w:rsidR="00306C39" w:rsidRPr="00540DE9">
        <w:rPr>
          <w:rFonts w:asciiTheme="majorBidi" w:hAnsiTheme="majorBidi" w:cstheme="majorBidi"/>
          <w:sz w:val="24"/>
          <w:szCs w:val="24"/>
        </w:rPr>
        <w:t xml:space="preserve">and </w:t>
      </w:r>
      <w:r w:rsidR="00EE6AFA" w:rsidRPr="00540DE9">
        <w:rPr>
          <w:rFonts w:asciiTheme="majorBidi" w:hAnsiTheme="majorBidi" w:cstheme="majorBidi"/>
          <w:sz w:val="24"/>
          <w:szCs w:val="24"/>
        </w:rPr>
        <w:t>physicochemical</w:t>
      </w:r>
      <w:r w:rsidR="00306C39" w:rsidRPr="00540DE9">
        <w:rPr>
          <w:rFonts w:asciiTheme="majorBidi" w:hAnsiTheme="majorBidi" w:cstheme="majorBidi"/>
          <w:sz w:val="24"/>
          <w:szCs w:val="24"/>
        </w:rPr>
        <w:t xml:space="preserve"> characterization </w:t>
      </w:r>
      <w:r w:rsidR="00EE6AFA" w:rsidRPr="00540DE9">
        <w:rPr>
          <w:rFonts w:asciiTheme="majorBidi" w:hAnsiTheme="majorBidi" w:cstheme="majorBidi"/>
          <w:sz w:val="24"/>
          <w:szCs w:val="24"/>
        </w:rPr>
        <w:t>of prepared formulations.</w:t>
      </w:r>
    </w:p>
    <w:tbl>
      <w:tblPr>
        <w:tblpPr w:leftFromText="180" w:rightFromText="180" w:vertAnchor="text" w:horzAnchor="margin" w:tblpX="-720" w:tblpY="111"/>
        <w:tblW w:w="10980" w:type="dxa"/>
        <w:tblCellSpacing w:w="15" w:type="dxa"/>
        <w:tblCellMar>
          <w:top w:w="15" w:type="dxa"/>
          <w:left w:w="15" w:type="dxa"/>
          <w:bottom w:w="15" w:type="dxa"/>
          <w:right w:w="15" w:type="dxa"/>
        </w:tblCellMar>
        <w:tblLook w:val="04A0" w:firstRow="1" w:lastRow="0" w:firstColumn="1" w:lastColumn="0" w:noHBand="0" w:noVBand="1"/>
      </w:tblPr>
      <w:tblGrid>
        <w:gridCol w:w="1472"/>
        <w:gridCol w:w="1234"/>
        <w:gridCol w:w="1498"/>
        <w:gridCol w:w="1440"/>
        <w:gridCol w:w="1196"/>
        <w:gridCol w:w="1471"/>
        <w:gridCol w:w="1049"/>
        <w:gridCol w:w="1620"/>
      </w:tblGrid>
      <w:tr w:rsidR="00540DE9" w:rsidRPr="00540DE9" w14:paraId="31A7596F" w14:textId="77777777" w:rsidTr="00BB1861">
        <w:trPr>
          <w:tblHeader/>
          <w:tblCellSpacing w:w="15" w:type="dxa"/>
        </w:trPr>
        <w:tc>
          <w:tcPr>
            <w:tcW w:w="0" w:type="auto"/>
            <w:vAlign w:val="center"/>
            <w:hideMark/>
          </w:tcPr>
          <w:p w14:paraId="6AAC4923" w14:textId="77777777" w:rsidR="00540DE9" w:rsidRPr="00540DE9" w:rsidRDefault="00540DE9" w:rsidP="00BB1861">
            <w:pPr>
              <w:spacing w:after="0"/>
              <w:jc w:val="center"/>
              <w:rPr>
                <w:rFonts w:asciiTheme="majorBidi" w:hAnsiTheme="majorBidi" w:cstheme="majorBidi"/>
                <w:b/>
                <w:bCs/>
                <w:sz w:val="24"/>
                <w:szCs w:val="24"/>
              </w:rPr>
            </w:pPr>
            <w:r w:rsidRPr="00540DE9">
              <w:rPr>
                <w:rStyle w:val="Strong"/>
                <w:rFonts w:asciiTheme="majorBidi" w:hAnsiTheme="majorBidi" w:cstheme="majorBidi"/>
                <w:sz w:val="24"/>
                <w:szCs w:val="24"/>
              </w:rPr>
              <w:t>Formulation Code</w:t>
            </w:r>
          </w:p>
        </w:tc>
        <w:tc>
          <w:tcPr>
            <w:tcW w:w="1204" w:type="dxa"/>
            <w:vAlign w:val="center"/>
            <w:hideMark/>
          </w:tcPr>
          <w:p w14:paraId="6E7EBB4C" w14:textId="77777777" w:rsidR="00540DE9" w:rsidRPr="00540DE9" w:rsidRDefault="00540DE9" w:rsidP="00BB1861">
            <w:pPr>
              <w:jc w:val="center"/>
              <w:rPr>
                <w:rFonts w:asciiTheme="majorBidi" w:hAnsiTheme="majorBidi" w:cstheme="majorBidi"/>
                <w:b/>
                <w:bCs/>
                <w:sz w:val="24"/>
                <w:szCs w:val="24"/>
              </w:rPr>
            </w:pPr>
            <w:r w:rsidRPr="00540DE9">
              <w:rPr>
                <w:rStyle w:val="Strong"/>
                <w:rFonts w:asciiTheme="majorBidi" w:hAnsiTheme="majorBidi" w:cstheme="majorBidi"/>
                <w:sz w:val="24"/>
                <w:szCs w:val="24"/>
              </w:rPr>
              <w:t>Cholesterol (mM)</w:t>
            </w:r>
          </w:p>
        </w:tc>
        <w:tc>
          <w:tcPr>
            <w:tcW w:w="1468" w:type="dxa"/>
            <w:vAlign w:val="center"/>
            <w:hideMark/>
          </w:tcPr>
          <w:p w14:paraId="0EE44EEB" w14:textId="77777777" w:rsidR="00540DE9" w:rsidRPr="00540DE9" w:rsidRDefault="00540DE9" w:rsidP="00BB1861">
            <w:pPr>
              <w:jc w:val="center"/>
              <w:rPr>
                <w:rFonts w:asciiTheme="majorBidi" w:hAnsiTheme="majorBidi" w:cstheme="majorBidi"/>
                <w:b/>
                <w:bCs/>
                <w:sz w:val="24"/>
                <w:szCs w:val="24"/>
              </w:rPr>
            </w:pPr>
            <w:r w:rsidRPr="00540DE9">
              <w:rPr>
                <w:rStyle w:val="Strong"/>
                <w:rFonts w:asciiTheme="majorBidi" w:hAnsiTheme="majorBidi" w:cstheme="majorBidi"/>
                <w:sz w:val="24"/>
                <w:szCs w:val="24"/>
              </w:rPr>
              <w:t>Pluronic F68 (% w/v)</w:t>
            </w:r>
          </w:p>
        </w:tc>
        <w:tc>
          <w:tcPr>
            <w:tcW w:w="1410" w:type="dxa"/>
            <w:vAlign w:val="center"/>
            <w:hideMark/>
          </w:tcPr>
          <w:p w14:paraId="67B44E08" w14:textId="77777777" w:rsidR="00540DE9" w:rsidRPr="00540DE9" w:rsidRDefault="00540DE9" w:rsidP="00BB1861">
            <w:pPr>
              <w:jc w:val="center"/>
              <w:rPr>
                <w:rFonts w:asciiTheme="majorBidi" w:hAnsiTheme="majorBidi" w:cstheme="majorBidi"/>
                <w:b/>
                <w:bCs/>
                <w:sz w:val="24"/>
                <w:szCs w:val="24"/>
              </w:rPr>
            </w:pPr>
            <w:r w:rsidRPr="00540DE9">
              <w:rPr>
                <w:rStyle w:val="Strong"/>
                <w:rFonts w:asciiTheme="majorBidi" w:hAnsiTheme="majorBidi" w:cstheme="majorBidi"/>
                <w:sz w:val="24"/>
                <w:szCs w:val="24"/>
              </w:rPr>
              <w:t>Particle Size (nm ± SD)</w:t>
            </w:r>
          </w:p>
        </w:tc>
        <w:tc>
          <w:tcPr>
            <w:tcW w:w="1166" w:type="dxa"/>
            <w:vAlign w:val="center"/>
            <w:hideMark/>
          </w:tcPr>
          <w:p w14:paraId="0B227FBF" w14:textId="77777777" w:rsidR="00540DE9" w:rsidRPr="00540DE9" w:rsidRDefault="00540DE9" w:rsidP="00BB1861">
            <w:pPr>
              <w:jc w:val="center"/>
              <w:rPr>
                <w:rFonts w:asciiTheme="majorBidi" w:hAnsiTheme="majorBidi" w:cstheme="majorBidi"/>
                <w:b/>
                <w:bCs/>
                <w:sz w:val="24"/>
                <w:szCs w:val="24"/>
              </w:rPr>
            </w:pPr>
            <w:r w:rsidRPr="00540DE9">
              <w:rPr>
                <w:rStyle w:val="Strong"/>
                <w:rFonts w:asciiTheme="majorBidi" w:hAnsiTheme="majorBidi" w:cstheme="majorBidi"/>
                <w:sz w:val="24"/>
                <w:szCs w:val="24"/>
              </w:rPr>
              <w:t>PDI ± SD</w:t>
            </w:r>
          </w:p>
        </w:tc>
        <w:tc>
          <w:tcPr>
            <w:tcW w:w="1441" w:type="dxa"/>
            <w:vAlign w:val="center"/>
            <w:hideMark/>
          </w:tcPr>
          <w:p w14:paraId="458B7902" w14:textId="77777777" w:rsidR="00540DE9" w:rsidRPr="00540DE9" w:rsidRDefault="00540DE9" w:rsidP="00BB1861">
            <w:pPr>
              <w:jc w:val="center"/>
              <w:rPr>
                <w:rFonts w:asciiTheme="majorBidi" w:hAnsiTheme="majorBidi" w:cstheme="majorBidi"/>
                <w:b/>
                <w:bCs/>
                <w:sz w:val="24"/>
                <w:szCs w:val="24"/>
              </w:rPr>
            </w:pPr>
            <w:r w:rsidRPr="00540DE9">
              <w:rPr>
                <w:rStyle w:val="Strong"/>
                <w:rFonts w:asciiTheme="majorBidi" w:hAnsiTheme="majorBidi" w:cstheme="majorBidi"/>
                <w:sz w:val="24"/>
                <w:szCs w:val="24"/>
              </w:rPr>
              <w:t>Zeta Potential (mV ± SD)</w:t>
            </w:r>
          </w:p>
        </w:tc>
        <w:tc>
          <w:tcPr>
            <w:tcW w:w="1019" w:type="dxa"/>
            <w:vAlign w:val="center"/>
            <w:hideMark/>
          </w:tcPr>
          <w:p w14:paraId="12AE2B87" w14:textId="77777777" w:rsidR="00540DE9" w:rsidRPr="00540DE9" w:rsidRDefault="00540DE9" w:rsidP="00BB1861">
            <w:pPr>
              <w:jc w:val="center"/>
              <w:rPr>
                <w:rFonts w:asciiTheme="majorBidi" w:hAnsiTheme="majorBidi" w:cstheme="majorBidi"/>
                <w:b/>
                <w:bCs/>
                <w:sz w:val="24"/>
                <w:szCs w:val="24"/>
              </w:rPr>
            </w:pPr>
            <w:r w:rsidRPr="00540DE9">
              <w:rPr>
                <w:rStyle w:val="Strong"/>
                <w:rFonts w:asciiTheme="majorBidi" w:hAnsiTheme="majorBidi" w:cstheme="majorBidi"/>
                <w:sz w:val="24"/>
                <w:szCs w:val="24"/>
              </w:rPr>
              <w:t>EE% ± SD</w:t>
            </w:r>
          </w:p>
        </w:tc>
        <w:tc>
          <w:tcPr>
            <w:tcW w:w="1575" w:type="dxa"/>
            <w:vAlign w:val="center"/>
            <w:hideMark/>
          </w:tcPr>
          <w:p w14:paraId="3EC89FCD" w14:textId="77777777" w:rsidR="00540DE9" w:rsidRPr="00540DE9" w:rsidRDefault="00540DE9" w:rsidP="00BB1861">
            <w:pPr>
              <w:jc w:val="center"/>
              <w:rPr>
                <w:rFonts w:asciiTheme="majorBidi" w:hAnsiTheme="majorBidi" w:cstheme="majorBidi"/>
                <w:b/>
                <w:bCs/>
                <w:sz w:val="24"/>
                <w:szCs w:val="24"/>
              </w:rPr>
            </w:pPr>
            <w:r w:rsidRPr="00540DE9">
              <w:rPr>
                <w:rStyle w:val="Strong"/>
                <w:rFonts w:asciiTheme="majorBidi" w:hAnsiTheme="majorBidi" w:cstheme="majorBidi"/>
                <w:sz w:val="24"/>
                <w:szCs w:val="24"/>
              </w:rPr>
              <w:t>Remarks</w:t>
            </w:r>
          </w:p>
        </w:tc>
      </w:tr>
      <w:tr w:rsidR="00540DE9" w:rsidRPr="00540DE9" w14:paraId="72264AC1" w14:textId="77777777" w:rsidTr="00BB1861">
        <w:trPr>
          <w:tblCellSpacing w:w="15" w:type="dxa"/>
        </w:trPr>
        <w:tc>
          <w:tcPr>
            <w:tcW w:w="0" w:type="auto"/>
            <w:vAlign w:val="center"/>
            <w:hideMark/>
          </w:tcPr>
          <w:p w14:paraId="7C1EC89E"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F1</w:t>
            </w:r>
          </w:p>
        </w:tc>
        <w:tc>
          <w:tcPr>
            <w:tcW w:w="1204" w:type="dxa"/>
            <w:vAlign w:val="center"/>
            <w:hideMark/>
          </w:tcPr>
          <w:p w14:paraId="440358AC"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0.2</w:t>
            </w:r>
          </w:p>
        </w:tc>
        <w:tc>
          <w:tcPr>
            <w:tcW w:w="1468" w:type="dxa"/>
            <w:vAlign w:val="center"/>
            <w:hideMark/>
          </w:tcPr>
          <w:p w14:paraId="4F6DA150"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0.25</w:t>
            </w:r>
          </w:p>
        </w:tc>
        <w:tc>
          <w:tcPr>
            <w:tcW w:w="1410" w:type="dxa"/>
            <w:vAlign w:val="center"/>
            <w:hideMark/>
          </w:tcPr>
          <w:p w14:paraId="3BD26A4E"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245.6 ± 4.3</w:t>
            </w:r>
          </w:p>
        </w:tc>
        <w:tc>
          <w:tcPr>
            <w:tcW w:w="1166" w:type="dxa"/>
            <w:vAlign w:val="center"/>
            <w:hideMark/>
          </w:tcPr>
          <w:p w14:paraId="12450FED"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0.34 ± 0.02</w:t>
            </w:r>
          </w:p>
        </w:tc>
        <w:tc>
          <w:tcPr>
            <w:tcW w:w="1441" w:type="dxa"/>
            <w:vAlign w:val="center"/>
            <w:hideMark/>
          </w:tcPr>
          <w:p w14:paraId="7E80A58D"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–10.1 ± 0.8</w:t>
            </w:r>
          </w:p>
        </w:tc>
        <w:tc>
          <w:tcPr>
            <w:tcW w:w="1019" w:type="dxa"/>
            <w:vAlign w:val="center"/>
            <w:hideMark/>
          </w:tcPr>
          <w:p w14:paraId="285C03BE"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61.2 ± 2.5</w:t>
            </w:r>
          </w:p>
        </w:tc>
        <w:tc>
          <w:tcPr>
            <w:tcW w:w="1575" w:type="dxa"/>
            <w:vAlign w:val="center"/>
          </w:tcPr>
          <w:p w14:paraId="6D084AB1" w14:textId="3C47513B" w:rsidR="00540DE9" w:rsidRPr="00540DE9" w:rsidRDefault="00540DE9" w:rsidP="00BB1861">
            <w:pPr>
              <w:rPr>
                <w:rFonts w:asciiTheme="majorBidi" w:hAnsiTheme="majorBidi" w:cstheme="majorBidi"/>
                <w:sz w:val="24"/>
                <w:szCs w:val="24"/>
              </w:rPr>
            </w:pPr>
          </w:p>
        </w:tc>
      </w:tr>
      <w:tr w:rsidR="00540DE9" w:rsidRPr="00540DE9" w14:paraId="29607A61" w14:textId="77777777" w:rsidTr="00BB1861">
        <w:trPr>
          <w:tblCellSpacing w:w="15" w:type="dxa"/>
        </w:trPr>
        <w:tc>
          <w:tcPr>
            <w:tcW w:w="0" w:type="auto"/>
            <w:vAlign w:val="center"/>
            <w:hideMark/>
          </w:tcPr>
          <w:p w14:paraId="420EC207"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F2</w:t>
            </w:r>
          </w:p>
        </w:tc>
        <w:tc>
          <w:tcPr>
            <w:tcW w:w="1204" w:type="dxa"/>
            <w:vAlign w:val="center"/>
            <w:hideMark/>
          </w:tcPr>
          <w:p w14:paraId="4B366062"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0.5</w:t>
            </w:r>
          </w:p>
        </w:tc>
        <w:tc>
          <w:tcPr>
            <w:tcW w:w="1468" w:type="dxa"/>
            <w:vAlign w:val="center"/>
            <w:hideMark/>
          </w:tcPr>
          <w:p w14:paraId="001C6147"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0.25</w:t>
            </w:r>
          </w:p>
        </w:tc>
        <w:tc>
          <w:tcPr>
            <w:tcW w:w="1410" w:type="dxa"/>
            <w:vAlign w:val="center"/>
            <w:hideMark/>
          </w:tcPr>
          <w:p w14:paraId="5BCC93D1"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212.3 ± 3.7</w:t>
            </w:r>
          </w:p>
        </w:tc>
        <w:tc>
          <w:tcPr>
            <w:tcW w:w="1166" w:type="dxa"/>
            <w:vAlign w:val="center"/>
            <w:hideMark/>
          </w:tcPr>
          <w:p w14:paraId="524FAD84"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0.28 ± 0.01</w:t>
            </w:r>
          </w:p>
        </w:tc>
        <w:tc>
          <w:tcPr>
            <w:tcW w:w="1441" w:type="dxa"/>
            <w:vAlign w:val="center"/>
            <w:hideMark/>
          </w:tcPr>
          <w:p w14:paraId="55C07B17"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–13.7 ± 1.1</w:t>
            </w:r>
          </w:p>
        </w:tc>
        <w:tc>
          <w:tcPr>
            <w:tcW w:w="1019" w:type="dxa"/>
            <w:vAlign w:val="center"/>
            <w:hideMark/>
          </w:tcPr>
          <w:p w14:paraId="543F0EE6"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72.4 ± 2.2</w:t>
            </w:r>
          </w:p>
        </w:tc>
        <w:tc>
          <w:tcPr>
            <w:tcW w:w="1575" w:type="dxa"/>
            <w:vAlign w:val="center"/>
          </w:tcPr>
          <w:p w14:paraId="122B7CD4" w14:textId="17040D57" w:rsidR="00540DE9" w:rsidRPr="00540DE9" w:rsidRDefault="00540DE9" w:rsidP="00BB1861">
            <w:pPr>
              <w:rPr>
                <w:rFonts w:asciiTheme="majorBidi" w:hAnsiTheme="majorBidi" w:cstheme="majorBidi"/>
                <w:sz w:val="24"/>
                <w:szCs w:val="24"/>
              </w:rPr>
            </w:pPr>
          </w:p>
        </w:tc>
      </w:tr>
      <w:tr w:rsidR="00540DE9" w:rsidRPr="00540DE9" w14:paraId="695910EF" w14:textId="77777777" w:rsidTr="00BB1861">
        <w:trPr>
          <w:tblCellSpacing w:w="15" w:type="dxa"/>
        </w:trPr>
        <w:tc>
          <w:tcPr>
            <w:tcW w:w="0" w:type="auto"/>
            <w:vAlign w:val="center"/>
            <w:hideMark/>
          </w:tcPr>
          <w:p w14:paraId="754398E7" w14:textId="77777777" w:rsidR="00540DE9" w:rsidRPr="00540DE9" w:rsidRDefault="00540DE9" w:rsidP="00BB1861">
            <w:pPr>
              <w:rPr>
                <w:rFonts w:asciiTheme="majorBidi" w:hAnsiTheme="majorBidi" w:cstheme="majorBidi"/>
                <w:sz w:val="24"/>
                <w:szCs w:val="24"/>
              </w:rPr>
            </w:pPr>
            <w:r w:rsidRPr="00540DE9">
              <w:rPr>
                <w:rStyle w:val="Strong"/>
                <w:rFonts w:asciiTheme="majorBidi" w:hAnsiTheme="majorBidi" w:cstheme="majorBidi"/>
                <w:sz w:val="24"/>
                <w:szCs w:val="24"/>
              </w:rPr>
              <w:t>F3 (Optimized)</w:t>
            </w:r>
          </w:p>
        </w:tc>
        <w:tc>
          <w:tcPr>
            <w:tcW w:w="1204" w:type="dxa"/>
            <w:vAlign w:val="center"/>
            <w:hideMark/>
          </w:tcPr>
          <w:p w14:paraId="3D4DC291" w14:textId="77777777" w:rsidR="00540DE9" w:rsidRPr="00540DE9" w:rsidRDefault="00540DE9" w:rsidP="00BB1861">
            <w:pPr>
              <w:rPr>
                <w:rFonts w:asciiTheme="majorBidi" w:hAnsiTheme="majorBidi" w:cstheme="majorBidi"/>
                <w:sz w:val="24"/>
                <w:szCs w:val="24"/>
              </w:rPr>
            </w:pPr>
            <w:r w:rsidRPr="00540DE9">
              <w:rPr>
                <w:rStyle w:val="Strong"/>
                <w:rFonts w:asciiTheme="majorBidi" w:hAnsiTheme="majorBidi" w:cstheme="majorBidi"/>
                <w:sz w:val="24"/>
                <w:szCs w:val="24"/>
              </w:rPr>
              <w:t>0.5</w:t>
            </w:r>
          </w:p>
        </w:tc>
        <w:tc>
          <w:tcPr>
            <w:tcW w:w="1468" w:type="dxa"/>
            <w:vAlign w:val="center"/>
            <w:hideMark/>
          </w:tcPr>
          <w:p w14:paraId="6B2DF6D6" w14:textId="77777777" w:rsidR="00540DE9" w:rsidRPr="00540DE9" w:rsidRDefault="00540DE9" w:rsidP="00BB1861">
            <w:pPr>
              <w:rPr>
                <w:rFonts w:asciiTheme="majorBidi" w:hAnsiTheme="majorBidi" w:cstheme="majorBidi"/>
                <w:sz w:val="24"/>
                <w:szCs w:val="24"/>
              </w:rPr>
            </w:pPr>
            <w:r w:rsidRPr="00540DE9">
              <w:rPr>
                <w:rStyle w:val="Strong"/>
                <w:rFonts w:asciiTheme="majorBidi" w:hAnsiTheme="majorBidi" w:cstheme="majorBidi"/>
                <w:sz w:val="24"/>
                <w:szCs w:val="24"/>
              </w:rPr>
              <w:t>0.5</w:t>
            </w:r>
          </w:p>
        </w:tc>
        <w:tc>
          <w:tcPr>
            <w:tcW w:w="1410" w:type="dxa"/>
            <w:vAlign w:val="center"/>
            <w:hideMark/>
          </w:tcPr>
          <w:p w14:paraId="5D63587E" w14:textId="77777777" w:rsidR="00540DE9" w:rsidRPr="00540DE9" w:rsidRDefault="00540DE9" w:rsidP="00BB1861">
            <w:pPr>
              <w:rPr>
                <w:rFonts w:asciiTheme="majorBidi" w:hAnsiTheme="majorBidi" w:cstheme="majorBidi"/>
                <w:sz w:val="24"/>
                <w:szCs w:val="24"/>
              </w:rPr>
            </w:pPr>
            <w:r w:rsidRPr="00540DE9">
              <w:rPr>
                <w:rStyle w:val="Strong"/>
                <w:rFonts w:asciiTheme="majorBidi" w:hAnsiTheme="majorBidi" w:cstheme="majorBidi"/>
                <w:sz w:val="24"/>
                <w:szCs w:val="24"/>
              </w:rPr>
              <w:t>150.5 ± 2.8</w:t>
            </w:r>
          </w:p>
        </w:tc>
        <w:tc>
          <w:tcPr>
            <w:tcW w:w="1166" w:type="dxa"/>
            <w:vAlign w:val="center"/>
            <w:hideMark/>
          </w:tcPr>
          <w:p w14:paraId="4746B137" w14:textId="77777777" w:rsidR="00540DE9" w:rsidRPr="00540DE9" w:rsidRDefault="00540DE9" w:rsidP="00BB1861">
            <w:pPr>
              <w:rPr>
                <w:rFonts w:asciiTheme="majorBidi" w:hAnsiTheme="majorBidi" w:cstheme="majorBidi"/>
                <w:sz w:val="24"/>
                <w:szCs w:val="24"/>
              </w:rPr>
            </w:pPr>
            <w:r w:rsidRPr="00540DE9">
              <w:rPr>
                <w:rStyle w:val="Strong"/>
                <w:rFonts w:asciiTheme="majorBidi" w:hAnsiTheme="majorBidi" w:cstheme="majorBidi"/>
                <w:sz w:val="24"/>
                <w:szCs w:val="24"/>
              </w:rPr>
              <w:t>0.20 ± 0.01</w:t>
            </w:r>
          </w:p>
        </w:tc>
        <w:tc>
          <w:tcPr>
            <w:tcW w:w="1441" w:type="dxa"/>
            <w:vAlign w:val="center"/>
            <w:hideMark/>
          </w:tcPr>
          <w:p w14:paraId="7E0963D8" w14:textId="77777777" w:rsidR="00540DE9" w:rsidRPr="00540DE9" w:rsidRDefault="00540DE9" w:rsidP="00BB1861">
            <w:pPr>
              <w:rPr>
                <w:rFonts w:asciiTheme="majorBidi" w:hAnsiTheme="majorBidi" w:cstheme="majorBidi"/>
                <w:sz w:val="24"/>
                <w:szCs w:val="24"/>
              </w:rPr>
            </w:pPr>
            <w:r w:rsidRPr="00540DE9">
              <w:rPr>
                <w:rStyle w:val="Strong"/>
                <w:rFonts w:asciiTheme="majorBidi" w:hAnsiTheme="majorBidi" w:cstheme="majorBidi"/>
                <w:sz w:val="24"/>
                <w:szCs w:val="24"/>
              </w:rPr>
              <w:t>−18.5 ± 0.59</w:t>
            </w:r>
          </w:p>
        </w:tc>
        <w:tc>
          <w:tcPr>
            <w:tcW w:w="1019" w:type="dxa"/>
            <w:vAlign w:val="center"/>
            <w:hideMark/>
          </w:tcPr>
          <w:p w14:paraId="49483FA4" w14:textId="77777777" w:rsidR="00540DE9" w:rsidRPr="00540DE9" w:rsidRDefault="00540DE9" w:rsidP="00BB1861">
            <w:pPr>
              <w:rPr>
                <w:rFonts w:asciiTheme="majorBidi" w:hAnsiTheme="majorBidi" w:cstheme="majorBidi"/>
                <w:sz w:val="24"/>
                <w:szCs w:val="24"/>
              </w:rPr>
            </w:pPr>
            <w:r w:rsidRPr="00540DE9">
              <w:rPr>
                <w:rStyle w:val="Strong"/>
                <w:rFonts w:asciiTheme="majorBidi" w:hAnsiTheme="majorBidi" w:cstheme="majorBidi"/>
                <w:sz w:val="24"/>
                <w:szCs w:val="24"/>
              </w:rPr>
              <w:t>90.2 ± 2.35</w:t>
            </w:r>
          </w:p>
        </w:tc>
        <w:tc>
          <w:tcPr>
            <w:tcW w:w="1575" w:type="dxa"/>
            <w:vAlign w:val="center"/>
            <w:hideMark/>
          </w:tcPr>
          <w:p w14:paraId="73BE5F40" w14:textId="77777777" w:rsidR="00540DE9" w:rsidRPr="00540DE9" w:rsidRDefault="00540DE9" w:rsidP="00BB1861">
            <w:pPr>
              <w:rPr>
                <w:rFonts w:asciiTheme="majorBidi" w:hAnsiTheme="majorBidi" w:cstheme="majorBidi"/>
                <w:sz w:val="24"/>
                <w:szCs w:val="24"/>
              </w:rPr>
            </w:pPr>
            <w:r w:rsidRPr="00540DE9">
              <w:rPr>
                <w:rStyle w:val="Strong"/>
                <w:rFonts w:asciiTheme="majorBidi" w:hAnsiTheme="majorBidi" w:cstheme="majorBidi"/>
                <w:sz w:val="24"/>
                <w:szCs w:val="24"/>
              </w:rPr>
              <w:t>Optimal formulation</w:t>
            </w:r>
          </w:p>
        </w:tc>
      </w:tr>
      <w:tr w:rsidR="00540DE9" w:rsidRPr="00540DE9" w14:paraId="0A498ED0" w14:textId="77777777" w:rsidTr="00BB1861">
        <w:trPr>
          <w:tblCellSpacing w:w="15" w:type="dxa"/>
        </w:trPr>
        <w:tc>
          <w:tcPr>
            <w:tcW w:w="0" w:type="auto"/>
            <w:vAlign w:val="center"/>
            <w:hideMark/>
          </w:tcPr>
          <w:p w14:paraId="18EB963D"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F4</w:t>
            </w:r>
          </w:p>
        </w:tc>
        <w:tc>
          <w:tcPr>
            <w:tcW w:w="1204" w:type="dxa"/>
            <w:vAlign w:val="center"/>
            <w:hideMark/>
          </w:tcPr>
          <w:p w14:paraId="20EF6DD7"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0.5</w:t>
            </w:r>
          </w:p>
        </w:tc>
        <w:tc>
          <w:tcPr>
            <w:tcW w:w="1468" w:type="dxa"/>
            <w:vAlign w:val="center"/>
            <w:hideMark/>
          </w:tcPr>
          <w:p w14:paraId="1C55961E"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1.0</w:t>
            </w:r>
          </w:p>
        </w:tc>
        <w:tc>
          <w:tcPr>
            <w:tcW w:w="1410" w:type="dxa"/>
            <w:vAlign w:val="center"/>
            <w:hideMark/>
          </w:tcPr>
          <w:p w14:paraId="1A6CBB8B"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192.4 ± 3.2</w:t>
            </w:r>
          </w:p>
        </w:tc>
        <w:tc>
          <w:tcPr>
            <w:tcW w:w="1166" w:type="dxa"/>
            <w:vAlign w:val="center"/>
            <w:hideMark/>
          </w:tcPr>
          <w:p w14:paraId="58637147"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0.24 ± 0.02</w:t>
            </w:r>
          </w:p>
        </w:tc>
        <w:tc>
          <w:tcPr>
            <w:tcW w:w="1441" w:type="dxa"/>
            <w:vAlign w:val="center"/>
            <w:hideMark/>
          </w:tcPr>
          <w:p w14:paraId="79FD89F4"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–19.2 ± 1.3</w:t>
            </w:r>
          </w:p>
        </w:tc>
        <w:tc>
          <w:tcPr>
            <w:tcW w:w="1019" w:type="dxa"/>
            <w:vAlign w:val="center"/>
            <w:hideMark/>
          </w:tcPr>
          <w:p w14:paraId="0EA25BB1"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82.6 ± 2.0</w:t>
            </w:r>
          </w:p>
        </w:tc>
        <w:tc>
          <w:tcPr>
            <w:tcW w:w="1575" w:type="dxa"/>
            <w:vAlign w:val="center"/>
            <w:hideMark/>
          </w:tcPr>
          <w:p w14:paraId="05A44722" w14:textId="11809255" w:rsidR="00540DE9" w:rsidRPr="00540DE9" w:rsidRDefault="00540DE9" w:rsidP="00BB1861">
            <w:pPr>
              <w:rPr>
                <w:rFonts w:asciiTheme="majorBidi" w:hAnsiTheme="majorBidi" w:cstheme="majorBidi"/>
                <w:sz w:val="24"/>
                <w:szCs w:val="24"/>
              </w:rPr>
            </w:pPr>
          </w:p>
        </w:tc>
      </w:tr>
      <w:tr w:rsidR="00540DE9" w:rsidRPr="00540DE9" w14:paraId="4F2D60E1" w14:textId="77777777" w:rsidTr="00BB1861">
        <w:trPr>
          <w:tblCellSpacing w:w="15" w:type="dxa"/>
        </w:trPr>
        <w:tc>
          <w:tcPr>
            <w:tcW w:w="0" w:type="auto"/>
            <w:vAlign w:val="center"/>
            <w:hideMark/>
          </w:tcPr>
          <w:p w14:paraId="42F88287"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F5</w:t>
            </w:r>
          </w:p>
        </w:tc>
        <w:tc>
          <w:tcPr>
            <w:tcW w:w="1204" w:type="dxa"/>
            <w:vAlign w:val="center"/>
            <w:hideMark/>
          </w:tcPr>
          <w:p w14:paraId="52B43B06"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1.0</w:t>
            </w:r>
          </w:p>
        </w:tc>
        <w:tc>
          <w:tcPr>
            <w:tcW w:w="1468" w:type="dxa"/>
            <w:vAlign w:val="center"/>
            <w:hideMark/>
          </w:tcPr>
          <w:p w14:paraId="6749480B"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0.5</w:t>
            </w:r>
          </w:p>
        </w:tc>
        <w:tc>
          <w:tcPr>
            <w:tcW w:w="1410" w:type="dxa"/>
            <w:vAlign w:val="center"/>
            <w:hideMark/>
          </w:tcPr>
          <w:p w14:paraId="015DB94C"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210.5 ± 3.1</w:t>
            </w:r>
          </w:p>
        </w:tc>
        <w:tc>
          <w:tcPr>
            <w:tcW w:w="1166" w:type="dxa"/>
            <w:vAlign w:val="center"/>
            <w:hideMark/>
          </w:tcPr>
          <w:p w14:paraId="039A5049"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0.27 ± 0.01</w:t>
            </w:r>
          </w:p>
        </w:tc>
        <w:tc>
          <w:tcPr>
            <w:tcW w:w="1441" w:type="dxa"/>
            <w:vAlign w:val="center"/>
            <w:hideMark/>
          </w:tcPr>
          <w:p w14:paraId="5206B26C"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–16.4 ± 0.85</w:t>
            </w:r>
          </w:p>
        </w:tc>
        <w:tc>
          <w:tcPr>
            <w:tcW w:w="1019" w:type="dxa"/>
            <w:vAlign w:val="center"/>
            <w:hideMark/>
          </w:tcPr>
          <w:p w14:paraId="65F7BD85"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79.3 ± 2.4</w:t>
            </w:r>
          </w:p>
        </w:tc>
        <w:tc>
          <w:tcPr>
            <w:tcW w:w="1575" w:type="dxa"/>
            <w:vAlign w:val="center"/>
            <w:hideMark/>
          </w:tcPr>
          <w:p w14:paraId="6C2E8190" w14:textId="0C7A848C" w:rsidR="00540DE9" w:rsidRPr="00540DE9" w:rsidRDefault="00540DE9" w:rsidP="00BB1861">
            <w:pPr>
              <w:rPr>
                <w:rFonts w:asciiTheme="majorBidi" w:hAnsiTheme="majorBidi" w:cstheme="majorBidi"/>
                <w:sz w:val="24"/>
                <w:szCs w:val="24"/>
              </w:rPr>
            </w:pPr>
          </w:p>
        </w:tc>
      </w:tr>
      <w:tr w:rsidR="00540DE9" w:rsidRPr="00540DE9" w14:paraId="3A22B663" w14:textId="77777777" w:rsidTr="00BB1861">
        <w:trPr>
          <w:tblCellSpacing w:w="15" w:type="dxa"/>
        </w:trPr>
        <w:tc>
          <w:tcPr>
            <w:tcW w:w="0" w:type="auto"/>
            <w:vAlign w:val="center"/>
            <w:hideMark/>
          </w:tcPr>
          <w:p w14:paraId="1AEA836A"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F6</w:t>
            </w:r>
          </w:p>
        </w:tc>
        <w:tc>
          <w:tcPr>
            <w:tcW w:w="1204" w:type="dxa"/>
            <w:vAlign w:val="center"/>
            <w:hideMark/>
          </w:tcPr>
          <w:p w14:paraId="31C02DA9"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1.5</w:t>
            </w:r>
          </w:p>
        </w:tc>
        <w:tc>
          <w:tcPr>
            <w:tcW w:w="1468" w:type="dxa"/>
            <w:vAlign w:val="center"/>
            <w:hideMark/>
          </w:tcPr>
          <w:p w14:paraId="34A4700E"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0.5</w:t>
            </w:r>
          </w:p>
        </w:tc>
        <w:tc>
          <w:tcPr>
            <w:tcW w:w="1410" w:type="dxa"/>
            <w:vAlign w:val="center"/>
            <w:hideMark/>
          </w:tcPr>
          <w:p w14:paraId="236BA3C0"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260.2 ± 3.9</w:t>
            </w:r>
          </w:p>
        </w:tc>
        <w:tc>
          <w:tcPr>
            <w:tcW w:w="1166" w:type="dxa"/>
            <w:vAlign w:val="center"/>
            <w:hideMark/>
          </w:tcPr>
          <w:p w14:paraId="7375CE58"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0.30 ± 0.02</w:t>
            </w:r>
          </w:p>
        </w:tc>
        <w:tc>
          <w:tcPr>
            <w:tcW w:w="1441" w:type="dxa"/>
            <w:vAlign w:val="center"/>
            <w:hideMark/>
          </w:tcPr>
          <w:p w14:paraId="0979FEC2"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–14.6 ± 0.69</w:t>
            </w:r>
          </w:p>
        </w:tc>
        <w:tc>
          <w:tcPr>
            <w:tcW w:w="1019" w:type="dxa"/>
            <w:vAlign w:val="center"/>
            <w:hideMark/>
          </w:tcPr>
          <w:p w14:paraId="282F0476"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75.1 ± 2.6</w:t>
            </w:r>
          </w:p>
        </w:tc>
        <w:tc>
          <w:tcPr>
            <w:tcW w:w="1575" w:type="dxa"/>
            <w:vAlign w:val="center"/>
            <w:hideMark/>
          </w:tcPr>
          <w:p w14:paraId="2ECAEE3F" w14:textId="533BB524" w:rsidR="00540DE9" w:rsidRPr="00540DE9" w:rsidRDefault="00540DE9" w:rsidP="00BB1861">
            <w:pPr>
              <w:rPr>
                <w:rFonts w:asciiTheme="majorBidi" w:hAnsiTheme="majorBidi" w:cstheme="majorBidi"/>
                <w:sz w:val="24"/>
                <w:szCs w:val="24"/>
              </w:rPr>
            </w:pPr>
          </w:p>
        </w:tc>
      </w:tr>
      <w:tr w:rsidR="00540DE9" w:rsidRPr="00540DE9" w14:paraId="1C86A5E4" w14:textId="77777777" w:rsidTr="00BB1861">
        <w:trPr>
          <w:tblCellSpacing w:w="15" w:type="dxa"/>
        </w:trPr>
        <w:tc>
          <w:tcPr>
            <w:tcW w:w="0" w:type="auto"/>
            <w:vAlign w:val="center"/>
            <w:hideMark/>
          </w:tcPr>
          <w:p w14:paraId="60BBC316"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F7</w:t>
            </w:r>
          </w:p>
        </w:tc>
        <w:tc>
          <w:tcPr>
            <w:tcW w:w="1204" w:type="dxa"/>
            <w:vAlign w:val="center"/>
            <w:hideMark/>
          </w:tcPr>
          <w:p w14:paraId="1E381C01"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0.5</w:t>
            </w:r>
          </w:p>
        </w:tc>
        <w:tc>
          <w:tcPr>
            <w:tcW w:w="1468" w:type="dxa"/>
            <w:vAlign w:val="center"/>
            <w:hideMark/>
          </w:tcPr>
          <w:p w14:paraId="69971340"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w:t>
            </w:r>
          </w:p>
        </w:tc>
        <w:tc>
          <w:tcPr>
            <w:tcW w:w="1410" w:type="dxa"/>
            <w:vAlign w:val="center"/>
            <w:hideMark/>
          </w:tcPr>
          <w:p w14:paraId="63CA63A0"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328.1 ± 5.6</w:t>
            </w:r>
          </w:p>
        </w:tc>
        <w:tc>
          <w:tcPr>
            <w:tcW w:w="1166" w:type="dxa"/>
            <w:vAlign w:val="center"/>
            <w:hideMark/>
          </w:tcPr>
          <w:p w14:paraId="665CE81C"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0.39 ± 0.03</w:t>
            </w:r>
          </w:p>
        </w:tc>
        <w:tc>
          <w:tcPr>
            <w:tcW w:w="1441" w:type="dxa"/>
            <w:vAlign w:val="center"/>
            <w:hideMark/>
          </w:tcPr>
          <w:p w14:paraId="15416519"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–9.5 ± 0.7</w:t>
            </w:r>
          </w:p>
        </w:tc>
        <w:tc>
          <w:tcPr>
            <w:tcW w:w="1019" w:type="dxa"/>
            <w:vAlign w:val="center"/>
            <w:hideMark/>
          </w:tcPr>
          <w:p w14:paraId="08D02B47" w14:textId="77777777" w:rsidR="00540DE9" w:rsidRPr="00540DE9" w:rsidRDefault="00540DE9" w:rsidP="00BB1861">
            <w:pPr>
              <w:rPr>
                <w:rFonts w:asciiTheme="majorBidi" w:hAnsiTheme="majorBidi" w:cstheme="majorBidi"/>
                <w:sz w:val="24"/>
                <w:szCs w:val="24"/>
              </w:rPr>
            </w:pPr>
            <w:r w:rsidRPr="00540DE9">
              <w:rPr>
                <w:rFonts w:asciiTheme="majorBidi" w:hAnsiTheme="majorBidi" w:cstheme="majorBidi"/>
                <w:sz w:val="24"/>
                <w:szCs w:val="24"/>
              </w:rPr>
              <w:t>60.5 ± 2.8</w:t>
            </w:r>
          </w:p>
        </w:tc>
        <w:tc>
          <w:tcPr>
            <w:tcW w:w="1575" w:type="dxa"/>
            <w:vAlign w:val="center"/>
            <w:hideMark/>
          </w:tcPr>
          <w:p w14:paraId="3519094D" w14:textId="34A10E74" w:rsidR="00540DE9" w:rsidRPr="00540DE9" w:rsidRDefault="00540DE9" w:rsidP="00BB1861">
            <w:pPr>
              <w:rPr>
                <w:rFonts w:asciiTheme="majorBidi" w:hAnsiTheme="majorBidi" w:cstheme="majorBidi"/>
                <w:sz w:val="24"/>
                <w:szCs w:val="24"/>
              </w:rPr>
            </w:pPr>
          </w:p>
        </w:tc>
      </w:tr>
    </w:tbl>
    <w:p w14:paraId="6496FB36" w14:textId="77777777" w:rsidR="00540DE9" w:rsidRPr="00540DE9" w:rsidRDefault="00540DE9" w:rsidP="0016591D">
      <w:pPr>
        <w:pStyle w:val="Heading4"/>
        <w:rPr>
          <w:rStyle w:val="Strong"/>
          <w:rFonts w:asciiTheme="majorBidi" w:hAnsiTheme="majorBidi"/>
          <w:b w:val="0"/>
          <w:bCs w:val="0"/>
          <w:sz w:val="24"/>
          <w:szCs w:val="24"/>
        </w:rPr>
      </w:pPr>
    </w:p>
    <w:p w14:paraId="32452F5B" w14:textId="3E552C73" w:rsidR="0016591D" w:rsidRPr="005B2393" w:rsidRDefault="0016591D" w:rsidP="0016591D">
      <w:pPr>
        <w:pStyle w:val="Heading4"/>
        <w:rPr>
          <w:rStyle w:val="Strong"/>
          <w:rFonts w:asciiTheme="majorBidi" w:hAnsiTheme="majorBidi"/>
          <w:b w:val="0"/>
          <w:bCs w:val="0"/>
          <w:color w:val="000000" w:themeColor="text1"/>
          <w:sz w:val="24"/>
          <w:szCs w:val="24"/>
        </w:rPr>
      </w:pPr>
      <w:r w:rsidRPr="005B2393">
        <w:rPr>
          <w:rStyle w:val="Strong"/>
          <w:rFonts w:asciiTheme="majorBidi" w:hAnsiTheme="majorBidi"/>
          <w:b w:val="0"/>
          <w:bCs w:val="0"/>
          <w:color w:val="000000" w:themeColor="text1"/>
          <w:sz w:val="24"/>
          <w:szCs w:val="24"/>
        </w:rPr>
        <w:t>Formulation Optimization Strategy</w:t>
      </w:r>
    </w:p>
    <w:p w14:paraId="7E1BC928" w14:textId="00F3B6ED" w:rsidR="0016591D" w:rsidRPr="005B2393" w:rsidRDefault="0016591D" w:rsidP="00C2518E">
      <w:pPr>
        <w:spacing w:before="100" w:beforeAutospacing="1" w:after="100" w:afterAutospacing="1"/>
        <w:rPr>
          <w:rFonts w:asciiTheme="majorBidi" w:hAnsiTheme="majorBidi" w:cstheme="majorBidi"/>
          <w:color w:val="000000" w:themeColor="text1"/>
          <w:sz w:val="24"/>
          <w:szCs w:val="24"/>
        </w:rPr>
      </w:pPr>
      <w:r w:rsidRPr="005B2393">
        <w:rPr>
          <w:rFonts w:asciiTheme="majorBidi" w:hAnsiTheme="majorBidi" w:cstheme="majorBidi"/>
          <w:color w:val="000000" w:themeColor="text1"/>
          <w:sz w:val="24"/>
          <w:szCs w:val="24"/>
        </w:rPr>
        <w:t xml:space="preserve">To optimize the hybrid nanoparticle formulation, we systematically evaluated the effects of two critical formulation variables: </w:t>
      </w:r>
      <w:r w:rsidRPr="005B2393">
        <w:rPr>
          <w:rStyle w:val="Strong"/>
          <w:rFonts w:asciiTheme="majorBidi" w:hAnsiTheme="majorBidi" w:cstheme="majorBidi"/>
          <w:b w:val="0"/>
          <w:bCs w:val="0"/>
          <w:color w:val="000000" w:themeColor="text1"/>
          <w:sz w:val="24"/>
          <w:szCs w:val="24"/>
        </w:rPr>
        <w:t>cholesterol concentration</w:t>
      </w:r>
      <w:r w:rsidRPr="005B2393">
        <w:rPr>
          <w:rFonts w:asciiTheme="majorBidi" w:hAnsiTheme="majorBidi" w:cstheme="majorBidi"/>
          <w:color w:val="000000" w:themeColor="text1"/>
          <w:sz w:val="24"/>
          <w:szCs w:val="24"/>
        </w:rPr>
        <w:t xml:space="preserve"> (0.2–1.5 mM) and </w:t>
      </w:r>
      <w:r w:rsidRPr="005B2393">
        <w:rPr>
          <w:rStyle w:val="Strong"/>
          <w:rFonts w:asciiTheme="majorBidi" w:hAnsiTheme="majorBidi" w:cstheme="majorBidi"/>
          <w:b w:val="0"/>
          <w:bCs w:val="0"/>
          <w:color w:val="000000" w:themeColor="text1"/>
          <w:sz w:val="24"/>
          <w:szCs w:val="24"/>
        </w:rPr>
        <w:t>Pluronic F68 content</w:t>
      </w:r>
      <w:r w:rsidRPr="005B2393">
        <w:rPr>
          <w:rFonts w:asciiTheme="majorBidi" w:hAnsiTheme="majorBidi" w:cstheme="majorBidi"/>
          <w:color w:val="000000" w:themeColor="text1"/>
          <w:sz w:val="24"/>
          <w:szCs w:val="24"/>
        </w:rPr>
        <w:t xml:space="preserve"> (0–1.0% w/v). These parameters were selected based on their known impact on nanoparticle stability, particle size, and drug encapsulation efficiency (EE%), as reported in the literature.</w:t>
      </w:r>
      <w:r w:rsidR="00C2518E" w:rsidRPr="005B2393">
        <w:rPr>
          <w:rFonts w:asciiTheme="majorBidi" w:hAnsiTheme="majorBidi" w:cstheme="majorBidi"/>
          <w:color w:val="000000" w:themeColor="text1"/>
          <w:sz w:val="24"/>
          <w:szCs w:val="24"/>
        </w:rPr>
        <w:t xml:space="preserve"> </w:t>
      </w:r>
      <w:r w:rsidR="00034B6F">
        <w:rPr>
          <w:rFonts w:asciiTheme="majorBidi" w:hAnsiTheme="majorBidi" w:cstheme="majorBidi"/>
          <w:color w:val="000000" w:themeColor="text1"/>
          <w:sz w:val="24"/>
          <w:szCs w:val="24"/>
        </w:rPr>
        <w:t>Based on literature survey and preliminary experiments</w:t>
      </w:r>
      <w:r w:rsidR="00BB1861">
        <w:rPr>
          <w:rFonts w:asciiTheme="majorBidi" w:hAnsiTheme="majorBidi" w:cstheme="majorBidi"/>
          <w:color w:val="000000" w:themeColor="text1"/>
          <w:sz w:val="24"/>
          <w:szCs w:val="24"/>
        </w:rPr>
        <w:t>,</w:t>
      </w:r>
      <w:r w:rsidR="00034B6F">
        <w:rPr>
          <w:rFonts w:asciiTheme="majorBidi" w:hAnsiTheme="majorBidi" w:cstheme="majorBidi"/>
          <w:color w:val="000000" w:themeColor="text1"/>
          <w:sz w:val="24"/>
          <w:szCs w:val="24"/>
        </w:rPr>
        <w:t xml:space="preserve"> a</w:t>
      </w:r>
      <w:r w:rsidRPr="005B2393">
        <w:rPr>
          <w:rFonts w:asciiTheme="majorBidi" w:hAnsiTheme="majorBidi" w:cstheme="majorBidi"/>
          <w:color w:val="000000" w:themeColor="text1"/>
          <w:sz w:val="24"/>
          <w:szCs w:val="24"/>
        </w:rPr>
        <w:t xml:space="preserve"> total of seven formulations (</w:t>
      </w:r>
      <w:r w:rsidR="00BB1861">
        <w:rPr>
          <w:rFonts w:asciiTheme="majorBidi" w:hAnsiTheme="majorBidi" w:cstheme="majorBidi"/>
          <w:color w:val="000000" w:themeColor="text1"/>
          <w:sz w:val="24"/>
          <w:szCs w:val="24"/>
        </w:rPr>
        <w:t>F1–F7</w:t>
      </w:r>
      <w:r w:rsidRPr="005B2393">
        <w:rPr>
          <w:rFonts w:asciiTheme="majorBidi" w:hAnsiTheme="majorBidi" w:cstheme="majorBidi"/>
          <w:color w:val="000000" w:themeColor="text1"/>
          <w:sz w:val="24"/>
          <w:szCs w:val="24"/>
        </w:rPr>
        <w:t>) were prepared by varying the concentrations of cholesterol and Pluronic F68 while keeping the curcumin:β-cyclodextrin complex ratio constant (1:1 molar ratio). The formulations were characterized for particle size, polydispersity index (PDI), zeta potential, and entrapment efficiency.</w:t>
      </w:r>
    </w:p>
    <w:p w14:paraId="0B00F966" w14:textId="666A19CA" w:rsidR="0016591D" w:rsidRPr="005B2393" w:rsidRDefault="0016591D" w:rsidP="0016591D">
      <w:pPr>
        <w:pStyle w:val="Heading4"/>
        <w:rPr>
          <w:rStyle w:val="Strong"/>
          <w:rFonts w:asciiTheme="majorBidi" w:hAnsiTheme="majorBidi"/>
          <w:b w:val="0"/>
          <w:bCs w:val="0"/>
          <w:color w:val="000000" w:themeColor="text1"/>
          <w:sz w:val="24"/>
          <w:szCs w:val="24"/>
        </w:rPr>
      </w:pPr>
      <w:r w:rsidRPr="005B2393">
        <w:rPr>
          <w:rStyle w:val="Strong"/>
          <w:rFonts w:asciiTheme="majorBidi" w:hAnsiTheme="majorBidi"/>
          <w:b w:val="0"/>
          <w:bCs w:val="0"/>
          <w:color w:val="000000" w:themeColor="text1"/>
          <w:sz w:val="24"/>
          <w:szCs w:val="24"/>
        </w:rPr>
        <w:lastRenderedPageBreak/>
        <w:t>Results and Discussion</w:t>
      </w:r>
    </w:p>
    <w:p w14:paraId="4E21328F" w14:textId="38293C22" w:rsidR="00F70849" w:rsidRPr="00F70849" w:rsidRDefault="00F70849" w:rsidP="00F70849">
      <w:pPr>
        <w:spacing w:before="100" w:beforeAutospacing="1" w:after="100" w:afterAutospacing="1" w:line="240" w:lineRule="auto"/>
        <w:rPr>
          <w:rFonts w:asciiTheme="majorBidi" w:eastAsia="Times New Roman" w:hAnsiTheme="majorBidi" w:cstheme="majorBidi"/>
          <w:color w:val="000000" w:themeColor="text1"/>
          <w:sz w:val="24"/>
          <w:szCs w:val="24"/>
        </w:rPr>
      </w:pPr>
      <w:r w:rsidRPr="00F70849">
        <w:rPr>
          <w:rFonts w:asciiTheme="majorBidi" w:eastAsia="Times New Roman" w:hAnsiTheme="majorBidi" w:cstheme="majorBidi"/>
          <w:color w:val="000000" w:themeColor="text1"/>
          <w:sz w:val="24"/>
          <w:szCs w:val="24"/>
        </w:rPr>
        <w:t>To optimize the hybrid nanoparticle formulation, we systematically investigated the impact of varying cholesterol (0.2–1.5 mM) and Pluronic F68 (0–1.0% w/v) concentrations on particle size, polydispersity index (PDI), zeta potential, and entrapment efficiency (EE%). A clear trend was observed where increasing cholesterol concentration beyond 0.5 mM led to a progressive increase in particle size and PDI, indicating compromised structural integrity, while formulations with 0.5 mM cholesterol maintained compact and stable nanoscale characteristics. Similarly, the incorporation of Pluronic F68 significantly influenced the colloidal stability and homogeneity of the particles. Absence of the surfactant led to poor stability and high PDI, whereas a 0.5% concentration of Pluronic F68 resulted in the most uniform and stable formulation (PDI = 0.20), with the highest EE% (90.2%) and optimal zeta potential (</w:t>
      </w:r>
      <w:r w:rsidR="00BB1861">
        <w:rPr>
          <w:rFonts w:asciiTheme="majorBidi" w:eastAsia="Times New Roman" w:hAnsiTheme="majorBidi" w:cstheme="majorBidi"/>
          <w:color w:val="000000" w:themeColor="text1"/>
          <w:sz w:val="24"/>
          <w:szCs w:val="24"/>
        </w:rPr>
        <w:t xml:space="preserve">- </w:t>
      </w:r>
      <w:r w:rsidRPr="00F70849">
        <w:rPr>
          <w:rFonts w:asciiTheme="majorBidi" w:eastAsia="Times New Roman" w:hAnsiTheme="majorBidi" w:cstheme="majorBidi"/>
          <w:color w:val="000000" w:themeColor="text1"/>
          <w:sz w:val="24"/>
          <w:szCs w:val="24"/>
        </w:rPr>
        <w:t>18.5 mV). Thus, formulation F3 (cholesterol 0.5 mM, Pluronic F68 0.5% w/v) was identified as optimal, balancing particle size (150.5 ± 2.8 nm), stability, and drug-loading capacity. These findings underscore the importance of precise component ratios in achieving reproducible and efficient nanoparticle delivery systems.</w:t>
      </w:r>
    </w:p>
    <w:p w14:paraId="62F8D489" w14:textId="77777777" w:rsidR="00F70849" w:rsidRPr="00540DE9" w:rsidRDefault="00F70849" w:rsidP="00F70849">
      <w:pPr>
        <w:rPr>
          <w:rFonts w:asciiTheme="majorBidi" w:hAnsiTheme="majorBidi" w:cstheme="majorBidi"/>
          <w:sz w:val="24"/>
          <w:szCs w:val="24"/>
        </w:rPr>
      </w:pPr>
    </w:p>
    <w:p w14:paraId="53F1A016" w14:textId="77777777" w:rsidR="0016591D" w:rsidRPr="00540DE9" w:rsidRDefault="0016591D" w:rsidP="0016591D">
      <w:pPr>
        <w:spacing w:before="100" w:beforeAutospacing="1" w:after="100" w:afterAutospacing="1" w:line="240" w:lineRule="auto"/>
        <w:rPr>
          <w:rFonts w:asciiTheme="majorBidi" w:eastAsia="Times New Roman" w:hAnsiTheme="majorBidi" w:cstheme="majorBidi"/>
          <w:sz w:val="24"/>
          <w:szCs w:val="24"/>
        </w:rPr>
      </w:pPr>
    </w:p>
    <w:p w14:paraId="7E20F815" w14:textId="77777777" w:rsidR="00856A8B" w:rsidRPr="00540DE9" w:rsidRDefault="00856A8B">
      <w:pPr>
        <w:rPr>
          <w:rFonts w:asciiTheme="majorBidi" w:hAnsiTheme="majorBidi" w:cstheme="majorBidi"/>
          <w:sz w:val="24"/>
          <w:szCs w:val="24"/>
        </w:rPr>
      </w:pPr>
    </w:p>
    <w:sectPr w:rsidR="00856A8B" w:rsidRPr="00540DE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DB0DD" w14:textId="77777777" w:rsidR="00911E4B" w:rsidRDefault="00911E4B" w:rsidP="00F021E8">
      <w:pPr>
        <w:spacing w:after="0" w:line="240" w:lineRule="auto"/>
      </w:pPr>
      <w:r>
        <w:separator/>
      </w:r>
    </w:p>
  </w:endnote>
  <w:endnote w:type="continuationSeparator" w:id="0">
    <w:p w14:paraId="7FADBE0E" w14:textId="77777777" w:rsidR="00911E4B" w:rsidRDefault="00911E4B" w:rsidP="00F021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8211217"/>
      <w:docPartObj>
        <w:docPartGallery w:val="Page Numbers (Bottom of Page)"/>
        <w:docPartUnique/>
      </w:docPartObj>
    </w:sdtPr>
    <w:sdtEndPr>
      <w:rPr>
        <w:noProof/>
      </w:rPr>
    </w:sdtEndPr>
    <w:sdtContent>
      <w:p w14:paraId="10C5D804" w14:textId="4B7217C3" w:rsidR="00F021E8" w:rsidRDefault="00F021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0877C6" w14:textId="77777777" w:rsidR="00F021E8" w:rsidRDefault="00F021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FBBC4" w14:textId="77777777" w:rsidR="00911E4B" w:rsidRDefault="00911E4B" w:rsidP="00F021E8">
      <w:pPr>
        <w:spacing w:after="0" w:line="240" w:lineRule="auto"/>
      </w:pPr>
      <w:r>
        <w:separator/>
      </w:r>
    </w:p>
  </w:footnote>
  <w:footnote w:type="continuationSeparator" w:id="0">
    <w:p w14:paraId="6798C6A6" w14:textId="77777777" w:rsidR="00911E4B" w:rsidRDefault="00911E4B" w:rsidP="00F021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52821"/>
    <w:multiLevelType w:val="multilevel"/>
    <w:tmpl w:val="8250C9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453"/>
    <w:rsid w:val="00034B6F"/>
    <w:rsid w:val="00117B2E"/>
    <w:rsid w:val="0016591D"/>
    <w:rsid w:val="001B0582"/>
    <w:rsid w:val="00306C39"/>
    <w:rsid w:val="003C7BB6"/>
    <w:rsid w:val="004609E5"/>
    <w:rsid w:val="004945CC"/>
    <w:rsid w:val="00540DE9"/>
    <w:rsid w:val="00587B8C"/>
    <w:rsid w:val="005B2393"/>
    <w:rsid w:val="005E4811"/>
    <w:rsid w:val="006228B2"/>
    <w:rsid w:val="00807D6B"/>
    <w:rsid w:val="00856A8B"/>
    <w:rsid w:val="00911E4B"/>
    <w:rsid w:val="009E6453"/>
    <w:rsid w:val="00A16384"/>
    <w:rsid w:val="00A57BA6"/>
    <w:rsid w:val="00A74B64"/>
    <w:rsid w:val="00A94D24"/>
    <w:rsid w:val="00AF09FB"/>
    <w:rsid w:val="00BB1861"/>
    <w:rsid w:val="00C2518E"/>
    <w:rsid w:val="00CF08E2"/>
    <w:rsid w:val="00D633B3"/>
    <w:rsid w:val="00D81F4D"/>
    <w:rsid w:val="00E95EF5"/>
    <w:rsid w:val="00EB467A"/>
    <w:rsid w:val="00EE6AFA"/>
    <w:rsid w:val="00F021E8"/>
    <w:rsid w:val="00F708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470B5F"/>
  <w15:chartTrackingRefBased/>
  <w15:docId w15:val="{0A9C03CC-AA0F-4CDC-B305-0A8EC8542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F09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6591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F09FB"/>
    <w:rPr>
      <w:rFonts w:ascii="Times New Roman" w:eastAsia="Times New Roman" w:hAnsi="Times New Roman" w:cs="Times New Roman"/>
      <w:b/>
      <w:bCs/>
      <w:sz w:val="27"/>
      <w:szCs w:val="27"/>
    </w:rPr>
  </w:style>
  <w:style w:type="character" w:styleId="Strong">
    <w:name w:val="Strong"/>
    <w:basedOn w:val="DefaultParagraphFont"/>
    <w:uiPriority w:val="22"/>
    <w:qFormat/>
    <w:rsid w:val="00AF09FB"/>
    <w:rPr>
      <w:b/>
      <w:bCs/>
    </w:rPr>
  </w:style>
  <w:style w:type="table" w:styleId="TableGrid">
    <w:name w:val="Table Grid"/>
    <w:basedOn w:val="TableNormal"/>
    <w:uiPriority w:val="39"/>
    <w:rsid w:val="005E48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16591D"/>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F021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21E8"/>
  </w:style>
  <w:style w:type="paragraph" w:styleId="Footer">
    <w:name w:val="footer"/>
    <w:basedOn w:val="Normal"/>
    <w:link w:val="FooterChar"/>
    <w:uiPriority w:val="99"/>
    <w:unhideWhenUsed/>
    <w:rsid w:val="00F021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2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39277">
      <w:bodyDiv w:val="1"/>
      <w:marLeft w:val="0"/>
      <w:marRight w:val="0"/>
      <w:marTop w:val="0"/>
      <w:marBottom w:val="0"/>
      <w:divBdr>
        <w:top w:val="none" w:sz="0" w:space="0" w:color="auto"/>
        <w:left w:val="none" w:sz="0" w:space="0" w:color="auto"/>
        <w:bottom w:val="none" w:sz="0" w:space="0" w:color="auto"/>
        <w:right w:val="none" w:sz="0" w:space="0" w:color="auto"/>
      </w:divBdr>
      <w:divsChild>
        <w:div w:id="1265698273">
          <w:marLeft w:val="0"/>
          <w:marRight w:val="0"/>
          <w:marTop w:val="0"/>
          <w:marBottom w:val="0"/>
          <w:divBdr>
            <w:top w:val="none" w:sz="0" w:space="0" w:color="auto"/>
            <w:left w:val="none" w:sz="0" w:space="0" w:color="auto"/>
            <w:bottom w:val="none" w:sz="0" w:space="0" w:color="auto"/>
            <w:right w:val="none" w:sz="0" w:space="0" w:color="auto"/>
          </w:divBdr>
          <w:divsChild>
            <w:div w:id="112920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99376">
      <w:bodyDiv w:val="1"/>
      <w:marLeft w:val="0"/>
      <w:marRight w:val="0"/>
      <w:marTop w:val="0"/>
      <w:marBottom w:val="0"/>
      <w:divBdr>
        <w:top w:val="none" w:sz="0" w:space="0" w:color="auto"/>
        <w:left w:val="none" w:sz="0" w:space="0" w:color="auto"/>
        <w:bottom w:val="none" w:sz="0" w:space="0" w:color="auto"/>
        <w:right w:val="none" w:sz="0" w:space="0" w:color="auto"/>
      </w:divBdr>
      <w:divsChild>
        <w:div w:id="1617251682">
          <w:marLeft w:val="0"/>
          <w:marRight w:val="0"/>
          <w:marTop w:val="0"/>
          <w:marBottom w:val="0"/>
          <w:divBdr>
            <w:top w:val="none" w:sz="0" w:space="0" w:color="auto"/>
            <w:left w:val="none" w:sz="0" w:space="0" w:color="auto"/>
            <w:bottom w:val="none" w:sz="0" w:space="0" w:color="auto"/>
            <w:right w:val="none" w:sz="0" w:space="0" w:color="auto"/>
          </w:divBdr>
          <w:divsChild>
            <w:div w:id="114505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439876">
      <w:bodyDiv w:val="1"/>
      <w:marLeft w:val="0"/>
      <w:marRight w:val="0"/>
      <w:marTop w:val="0"/>
      <w:marBottom w:val="0"/>
      <w:divBdr>
        <w:top w:val="none" w:sz="0" w:space="0" w:color="auto"/>
        <w:left w:val="none" w:sz="0" w:space="0" w:color="auto"/>
        <w:bottom w:val="none" w:sz="0" w:space="0" w:color="auto"/>
        <w:right w:val="none" w:sz="0" w:space="0" w:color="auto"/>
      </w:divBdr>
    </w:div>
    <w:div w:id="1826315024">
      <w:bodyDiv w:val="1"/>
      <w:marLeft w:val="0"/>
      <w:marRight w:val="0"/>
      <w:marTop w:val="0"/>
      <w:marBottom w:val="0"/>
      <w:divBdr>
        <w:top w:val="none" w:sz="0" w:space="0" w:color="auto"/>
        <w:left w:val="none" w:sz="0" w:space="0" w:color="auto"/>
        <w:bottom w:val="none" w:sz="0" w:space="0" w:color="auto"/>
        <w:right w:val="none" w:sz="0" w:space="0" w:color="auto"/>
      </w:divBdr>
      <w:divsChild>
        <w:div w:id="1200706896">
          <w:marLeft w:val="0"/>
          <w:marRight w:val="0"/>
          <w:marTop w:val="0"/>
          <w:marBottom w:val="0"/>
          <w:divBdr>
            <w:top w:val="none" w:sz="0" w:space="0" w:color="auto"/>
            <w:left w:val="none" w:sz="0" w:space="0" w:color="auto"/>
            <w:bottom w:val="none" w:sz="0" w:space="0" w:color="auto"/>
            <w:right w:val="none" w:sz="0" w:space="0" w:color="auto"/>
          </w:divBdr>
          <w:divsChild>
            <w:div w:id="2533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484</Words>
  <Characters>2684</Characters>
  <Application>Microsoft Office Word</Application>
  <DocSecurity>0</DocSecurity>
  <Lines>149</Lines>
  <Paragraphs>81</Paragraphs>
  <ScaleCrop>false</ScaleCrop>
  <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Heidi AbdelMageed</dc:creator>
  <cp:keywords/>
  <dc:description/>
  <cp:lastModifiedBy>Dr Heidi AbdelMageed</cp:lastModifiedBy>
  <cp:revision>2</cp:revision>
  <dcterms:created xsi:type="dcterms:W3CDTF">2025-04-28T07:37:00Z</dcterms:created>
  <dcterms:modified xsi:type="dcterms:W3CDTF">2025-04-28T07:37:00Z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c534b1e9-f913-4122-9017-aeca60b4b0fd</vt:lpwstr>
  </property>
</Properties>
</file>