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4D773" w14:textId="7CCB687B" w:rsidR="00C43530" w:rsidRPr="00C43530" w:rsidRDefault="00C43530" w:rsidP="00C43530">
      <w:pPr>
        <w:spacing w:line="480" w:lineRule="auto"/>
        <w:jc w:val="center"/>
        <w:rPr>
          <w:rFonts w:ascii="Times New Roman" w:hAnsi="Times New Roman" w:cs="Times New Roman"/>
          <w:b/>
          <w:bCs/>
          <w:sz w:val="24"/>
          <w:szCs w:val="24"/>
          <w:u w:val="single"/>
        </w:rPr>
      </w:pPr>
      <w:bookmarkStart w:id="0" w:name="_Hlk193203330"/>
      <w:r>
        <w:rPr>
          <w:rFonts w:ascii="Times New Roman" w:hAnsi="Times New Roman" w:cs="Times New Roman"/>
          <w:b/>
          <w:bCs/>
          <w:sz w:val="24"/>
          <w:szCs w:val="24"/>
          <w:u w:val="single"/>
        </w:rPr>
        <w:t>Additional file 2</w:t>
      </w:r>
    </w:p>
    <w:p w14:paraId="7C2D7197" w14:textId="1A2DB463" w:rsidR="006E6A7D" w:rsidRDefault="006E6A7D" w:rsidP="006E6A7D">
      <w:pPr>
        <w:pStyle w:val="Beschriftung"/>
        <w:spacing w:after="0" w:line="480" w:lineRule="auto"/>
        <w:jc w:val="both"/>
        <w:rPr>
          <w:rFonts w:ascii="Times New Roman" w:hAnsi="Times New Roman" w:cs="Times New Roman"/>
          <w:i w:val="0"/>
          <w:iCs w:val="0"/>
          <w:color w:val="auto"/>
          <w:sz w:val="24"/>
          <w:szCs w:val="24"/>
          <w:lang w:val="en-US"/>
        </w:rPr>
      </w:pPr>
      <w:r w:rsidRPr="00D563C3">
        <w:rPr>
          <w:rFonts w:ascii="Times New Roman" w:hAnsi="Times New Roman" w:cs="Times New Roman"/>
          <w:b/>
          <w:bCs/>
          <w:i w:val="0"/>
          <w:iCs w:val="0"/>
          <w:color w:val="auto"/>
          <w:sz w:val="24"/>
          <w:szCs w:val="24"/>
        </w:rPr>
        <w:t xml:space="preserve">Table </w:t>
      </w:r>
      <w:r w:rsidRPr="00D563C3">
        <w:rPr>
          <w:rFonts w:ascii="Times New Roman" w:hAnsi="Times New Roman" w:cs="Times New Roman"/>
          <w:b/>
          <w:bCs/>
          <w:i w:val="0"/>
          <w:iCs w:val="0"/>
          <w:color w:val="auto"/>
          <w:sz w:val="24"/>
          <w:szCs w:val="24"/>
        </w:rPr>
        <w:fldChar w:fldCharType="begin"/>
      </w:r>
      <w:r w:rsidRPr="00D563C3">
        <w:rPr>
          <w:rFonts w:ascii="Times New Roman" w:hAnsi="Times New Roman" w:cs="Times New Roman"/>
          <w:b/>
          <w:bCs/>
          <w:i w:val="0"/>
          <w:iCs w:val="0"/>
          <w:color w:val="auto"/>
          <w:sz w:val="24"/>
          <w:szCs w:val="24"/>
        </w:rPr>
        <w:instrText xml:space="preserve"> SEQ Table \* ARABIC </w:instrText>
      </w:r>
      <w:r w:rsidRPr="00D563C3">
        <w:rPr>
          <w:rFonts w:ascii="Times New Roman" w:hAnsi="Times New Roman" w:cs="Times New Roman"/>
          <w:b/>
          <w:bCs/>
          <w:i w:val="0"/>
          <w:iCs w:val="0"/>
          <w:color w:val="auto"/>
          <w:sz w:val="24"/>
          <w:szCs w:val="24"/>
        </w:rPr>
        <w:fldChar w:fldCharType="separate"/>
      </w:r>
      <w:r w:rsidR="00C43530">
        <w:rPr>
          <w:rFonts w:ascii="Times New Roman" w:hAnsi="Times New Roman" w:cs="Times New Roman"/>
          <w:b/>
          <w:bCs/>
          <w:i w:val="0"/>
          <w:iCs w:val="0"/>
          <w:noProof/>
          <w:color w:val="auto"/>
          <w:sz w:val="24"/>
          <w:szCs w:val="24"/>
        </w:rPr>
        <w:t>1</w:t>
      </w:r>
      <w:r w:rsidRPr="00D563C3">
        <w:rPr>
          <w:rFonts w:ascii="Times New Roman" w:hAnsi="Times New Roman" w:cs="Times New Roman"/>
          <w:b/>
          <w:bCs/>
          <w:i w:val="0"/>
          <w:iCs w:val="0"/>
          <w:color w:val="auto"/>
          <w:sz w:val="24"/>
          <w:szCs w:val="24"/>
        </w:rPr>
        <w:fldChar w:fldCharType="end"/>
      </w:r>
      <w:r w:rsidRPr="00D563C3">
        <w:rPr>
          <w:rFonts w:ascii="Times New Roman" w:hAnsi="Times New Roman" w:cs="Times New Roman"/>
          <w:b/>
          <w:bCs/>
          <w:i w:val="0"/>
          <w:iCs w:val="0"/>
          <w:color w:val="auto"/>
          <w:sz w:val="24"/>
          <w:szCs w:val="24"/>
        </w:rPr>
        <w:t xml:space="preserve">: </w:t>
      </w:r>
      <w:r w:rsidRPr="00F36AF5">
        <w:rPr>
          <w:rFonts w:ascii="Times New Roman" w:hAnsi="Times New Roman" w:cs="Times New Roman"/>
          <w:i w:val="0"/>
          <w:iCs w:val="0"/>
          <w:color w:val="auto"/>
          <w:sz w:val="24"/>
          <w:szCs w:val="24"/>
          <w:lang w:val="en-US"/>
        </w:rPr>
        <w:t xml:space="preserve">Differences in bacteria, yeast and fungi expression systems for </w:t>
      </w:r>
      <w:proofErr w:type="gramStart"/>
      <w:r w:rsidRPr="00F36AF5">
        <w:rPr>
          <w:rFonts w:ascii="Times New Roman" w:hAnsi="Times New Roman" w:cs="Times New Roman"/>
          <w:i w:val="0"/>
          <w:iCs w:val="0"/>
          <w:color w:val="auto"/>
          <w:sz w:val="24"/>
          <w:szCs w:val="24"/>
          <w:lang w:val="en-US"/>
        </w:rPr>
        <w:t>recombinant egg protein production</w:t>
      </w:r>
      <w:proofErr w:type="gramEnd"/>
    </w:p>
    <w:tbl>
      <w:tblPr>
        <w:tblStyle w:val="Tabellenraster"/>
        <w:tblW w:w="0" w:type="auto"/>
        <w:tblLook w:val="04A0" w:firstRow="1" w:lastRow="0" w:firstColumn="1" w:lastColumn="0" w:noHBand="0" w:noVBand="1"/>
      </w:tblPr>
      <w:tblGrid>
        <w:gridCol w:w="1838"/>
        <w:gridCol w:w="3773"/>
        <w:gridCol w:w="3293"/>
        <w:gridCol w:w="3347"/>
        <w:gridCol w:w="2026"/>
      </w:tblGrid>
      <w:tr w:rsidR="006E6A7D" w:rsidRPr="007C6F64" w14:paraId="6089793C" w14:textId="77777777" w:rsidTr="007D4E49">
        <w:trPr>
          <w:trHeight w:val="570"/>
        </w:trPr>
        <w:tc>
          <w:tcPr>
            <w:tcW w:w="1838" w:type="dxa"/>
            <w:vAlign w:val="center"/>
          </w:tcPr>
          <w:p w14:paraId="766B9D45" w14:textId="77777777" w:rsidR="006E6A7D" w:rsidRPr="007C6F64" w:rsidRDefault="006E6A7D" w:rsidP="00EF2305">
            <w:pPr>
              <w:jc w:val="center"/>
              <w:rPr>
                <w:rFonts w:ascii="Times New Roman" w:hAnsi="Times New Roman" w:cs="Times New Roman"/>
                <w:b/>
                <w:bCs/>
                <w:sz w:val="20"/>
                <w:szCs w:val="20"/>
                <w:lang w:val="en-US"/>
              </w:rPr>
            </w:pPr>
          </w:p>
        </w:tc>
        <w:tc>
          <w:tcPr>
            <w:tcW w:w="3773" w:type="dxa"/>
            <w:vAlign w:val="center"/>
          </w:tcPr>
          <w:p w14:paraId="50A58B0E" w14:textId="77777777" w:rsidR="007D4E49" w:rsidRDefault="006E6A7D" w:rsidP="00EF2305">
            <w:pPr>
              <w:jc w:val="center"/>
              <w:rPr>
                <w:rFonts w:ascii="Times New Roman" w:hAnsi="Times New Roman" w:cs="Times New Roman"/>
                <w:b/>
                <w:bCs/>
                <w:sz w:val="20"/>
                <w:szCs w:val="20"/>
                <w:lang w:val="en-US"/>
              </w:rPr>
            </w:pPr>
            <w:r w:rsidRPr="007C6F64">
              <w:rPr>
                <w:rFonts w:ascii="Times New Roman" w:hAnsi="Times New Roman" w:cs="Times New Roman"/>
                <w:b/>
                <w:bCs/>
                <w:sz w:val="20"/>
                <w:szCs w:val="20"/>
                <w:lang w:val="en-US"/>
              </w:rPr>
              <w:t xml:space="preserve">Bacteria </w:t>
            </w:r>
          </w:p>
          <w:p w14:paraId="197D642B" w14:textId="2C944EF3" w:rsidR="006E6A7D" w:rsidRPr="007D4E49" w:rsidRDefault="006E6A7D" w:rsidP="00EF2305">
            <w:pPr>
              <w:jc w:val="center"/>
              <w:rPr>
                <w:rFonts w:ascii="Times New Roman" w:hAnsi="Times New Roman" w:cs="Times New Roman"/>
                <w:sz w:val="20"/>
                <w:szCs w:val="20"/>
                <w:lang w:val="en-US"/>
              </w:rPr>
            </w:pPr>
            <w:r w:rsidRPr="007D4E49">
              <w:rPr>
                <w:rFonts w:ascii="Times New Roman" w:hAnsi="Times New Roman" w:cs="Times New Roman"/>
                <w:sz w:val="20"/>
                <w:szCs w:val="20"/>
                <w:lang w:val="en-US"/>
              </w:rPr>
              <w:t xml:space="preserve">(e.g., </w:t>
            </w:r>
            <w:r w:rsidRPr="007D4E49">
              <w:rPr>
                <w:rFonts w:ascii="Times New Roman" w:hAnsi="Times New Roman" w:cs="Times New Roman"/>
                <w:i/>
                <w:iCs/>
                <w:sz w:val="20"/>
                <w:szCs w:val="20"/>
                <w:lang w:val="en-US"/>
              </w:rPr>
              <w:t>E. coli</w:t>
            </w:r>
            <w:r w:rsidRPr="007D4E49">
              <w:rPr>
                <w:rFonts w:ascii="Times New Roman" w:hAnsi="Times New Roman" w:cs="Times New Roman"/>
                <w:sz w:val="20"/>
                <w:szCs w:val="20"/>
                <w:lang w:val="en-US"/>
              </w:rPr>
              <w:t>)</w:t>
            </w:r>
          </w:p>
        </w:tc>
        <w:tc>
          <w:tcPr>
            <w:tcW w:w="3293" w:type="dxa"/>
            <w:vAlign w:val="center"/>
          </w:tcPr>
          <w:p w14:paraId="1BDBF6C6" w14:textId="77777777" w:rsidR="007D4E49" w:rsidRDefault="006E6A7D" w:rsidP="00EF2305">
            <w:pPr>
              <w:jc w:val="center"/>
              <w:rPr>
                <w:rFonts w:ascii="Times New Roman" w:hAnsi="Times New Roman" w:cs="Times New Roman"/>
                <w:b/>
                <w:bCs/>
                <w:sz w:val="20"/>
                <w:szCs w:val="20"/>
                <w:lang w:val="en-US"/>
              </w:rPr>
            </w:pPr>
            <w:r w:rsidRPr="007C6F64">
              <w:rPr>
                <w:rFonts w:ascii="Times New Roman" w:hAnsi="Times New Roman" w:cs="Times New Roman"/>
                <w:b/>
                <w:bCs/>
                <w:sz w:val="20"/>
                <w:szCs w:val="20"/>
                <w:lang w:val="en-US"/>
              </w:rPr>
              <w:t xml:space="preserve">Yeast </w:t>
            </w:r>
          </w:p>
          <w:p w14:paraId="7A788216" w14:textId="110C31B7" w:rsidR="006E6A7D" w:rsidRPr="007C6F64" w:rsidRDefault="006E6A7D" w:rsidP="00EF2305">
            <w:pPr>
              <w:jc w:val="center"/>
              <w:rPr>
                <w:rFonts w:ascii="Times New Roman" w:hAnsi="Times New Roman" w:cs="Times New Roman"/>
                <w:b/>
                <w:bCs/>
                <w:sz w:val="20"/>
                <w:szCs w:val="20"/>
                <w:lang w:val="en-US"/>
              </w:rPr>
            </w:pPr>
            <w:r w:rsidRPr="007D4E49">
              <w:rPr>
                <w:rFonts w:ascii="Times New Roman" w:hAnsi="Times New Roman" w:cs="Times New Roman"/>
                <w:sz w:val="20"/>
                <w:szCs w:val="20"/>
                <w:lang w:val="en-US"/>
              </w:rPr>
              <w:t xml:space="preserve">(e.g., </w:t>
            </w:r>
            <w:r w:rsidRPr="007D4E49">
              <w:rPr>
                <w:rFonts w:ascii="Times New Roman" w:hAnsi="Times New Roman" w:cs="Times New Roman"/>
                <w:i/>
                <w:iCs/>
                <w:sz w:val="20"/>
                <w:szCs w:val="20"/>
                <w:lang w:val="en-US"/>
              </w:rPr>
              <w:t xml:space="preserve">K. </w:t>
            </w:r>
            <w:proofErr w:type="spellStart"/>
            <w:r w:rsidRPr="007D4E49">
              <w:rPr>
                <w:rFonts w:ascii="Times New Roman" w:hAnsi="Times New Roman" w:cs="Times New Roman"/>
                <w:i/>
                <w:iCs/>
                <w:sz w:val="20"/>
                <w:szCs w:val="20"/>
                <w:lang w:val="en-US"/>
              </w:rPr>
              <w:t>phaffii</w:t>
            </w:r>
            <w:proofErr w:type="spellEnd"/>
            <w:r w:rsidRPr="007D4E49">
              <w:rPr>
                <w:rFonts w:ascii="Times New Roman" w:hAnsi="Times New Roman" w:cs="Times New Roman"/>
                <w:sz w:val="20"/>
                <w:szCs w:val="20"/>
                <w:lang w:val="en-US"/>
              </w:rPr>
              <w:t>)</w:t>
            </w:r>
          </w:p>
        </w:tc>
        <w:tc>
          <w:tcPr>
            <w:tcW w:w="3347" w:type="dxa"/>
            <w:vAlign w:val="center"/>
          </w:tcPr>
          <w:p w14:paraId="1545A9EB" w14:textId="77777777" w:rsidR="007D4E49" w:rsidRDefault="006E6A7D" w:rsidP="00EF2305">
            <w:pPr>
              <w:jc w:val="center"/>
              <w:rPr>
                <w:rFonts w:ascii="Times New Roman" w:hAnsi="Times New Roman" w:cs="Times New Roman"/>
                <w:b/>
                <w:bCs/>
                <w:sz w:val="20"/>
                <w:szCs w:val="20"/>
                <w:lang w:val="en-US"/>
              </w:rPr>
            </w:pPr>
            <w:r w:rsidRPr="007C6F64">
              <w:rPr>
                <w:rFonts w:ascii="Times New Roman" w:hAnsi="Times New Roman" w:cs="Times New Roman"/>
                <w:b/>
                <w:bCs/>
                <w:sz w:val="20"/>
                <w:szCs w:val="20"/>
                <w:lang w:val="en-US"/>
              </w:rPr>
              <w:t xml:space="preserve">Fungi </w:t>
            </w:r>
          </w:p>
          <w:p w14:paraId="7C23763B" w14:textId="6096D3BB" w:rsidR="006E6A7D" w:rsidRPr="007D4E49" w:rsidRDefault="006E6A7D" w:rsidP="00EF2305">
            <w:pPr>
              <w:jc w:val="center"/>
              <w:rPr>
                <w:rFonts w:ascii="Times New Roman" w:hAnsi="Times New Roman" w:cs="Times New Roman"/>
                <w:sz w:val="20"/>
                <w:szCs w:val="20"/>
                <w:lang w:val="en-US"/>
              </w:rPr>
            </w:pPr>
            <w:r w:rsidRPr="007D4E49">
              <w:rPr>
                <w:rFonts w:ascii="Times New Roman" w:hAnsi="Times New Roman" w:cs="Times New Roman"/>
                <w:sz w:val="20"/>
                <w:szCs w:val="20"/>
                <w:lang w:val="en-US"/>
              </w:rPr>
              <w:t xml:space="preserve">(e.g., </w:t>
            </w:r>
            <w:r w:rsidRPr="007D4E49">
              <w:rPr>
                <w:rFonts w:ascii="Times New Roman" w:hAnsi="Times New Roman" w:cs="Times New Roman"/>
                <w:i/>
                <w:iCs/>
                <w:sz w:val="20"/>
                <w:szCs w:val="20"/>
                <w:lang w:val="en-US"/>
              </w:rPr>
              <w:t xml:space="preserve">T. </w:t>
            </w:r>
            <w:proofErr w:type="spellStart"/>
            <w:r w:rsidRPr="007D4E49">
              <w:rPr>
                <w:rFonts w:ascii="Times New Roman" w:hAnsi="Times New Roman" w:cs="Times New Roman"/>
                <w:i/>
                <w:iCs/>
                <w:sz w:val="20"/>
                <w:szCs w:val="20"/>
                <w:lang w:val="en-US"/>
              </w:rPr>
              <w:t>reesei</w:t>
            </w:r>
            <w:proofErr w:type="spellEnd"/>
            <w:r w:rsidRPr="007D4E49">
              <w:rPr>
                <w:rFonts w:ascii="Times New Roman" w:hAnsi="Times New Roman" w:cs="Times New Roman"/>
                <w:sz w:val="20"/>
                <w:szCs w:val="20"/>
                <w:lang w:val="en-US"/>
              </w:rPr>
              <w:t>)</w:t>
            </w:r>
          </w:p>
        </w:tc>
        <w:tc>
          <w:tcPr>
            <w:tcW w:w="2026" w:type="dxa"/>
            <w:vAlign w:val="center"/>
          </w:tcPr>
          <w:p w14:paraId="777BB987" w14:textId="55DE4754" w:rsidR="006E6A7D" w:rsidRPr="007C6F64" w:rsidRDefault="006E6A7D" w:rsidP="007D4E49">
            <w:pPr>
              <w:jc w:val="center"/>
              <w:rPr>
                <w:rFonts w:ascii="Times New Roman" w:hAnsi="Times New Roman" w:cs="Times New Roman"/>
                <w:b/>
                <w:bCs/>
                <w:sz w:val="20"/>
                <w:szCs w:val="20"/>
                <w:lang w:val="en-US"/>
              </w:rPr>
            </w:pPr>
            <w:r w:rsidRPr="007C6F64">
              <w:rPr>
                <w:rFonts w:ascii="Times New Roman" w:hAnsi="Times New Roman" w:cs="Times New Roman"/>
                <w:b/>
                <w:bCs/>
                <w:sz w:val="20"/>
                <w:szCs w:val="20"/>
                <w:lang w:val="en-US"/>
              </w:rPr>
              <w:t>Reference</w:t>
            </w:r>
            <w:r w:rsidR="00E60E40">
              <w:rPr>
                <w:rFonts w:ascii="Times New Roman" w:hAnsi="Times New Roman" w:cs="Times New Roman"/>
                <w:b/>
                <w:bCs/>
                <w:sz w:val="20"/>
                <w:szCs w:val="20"/>
                <w:lang w:val="en-US"/>
              </w:rPr>
              <w:t>*</w:t>
            </w:r>
          </w:p>
        </w:tc>
      </w:tr>
      <w:tr w:rsidR="006E6A7D" w:rsidRPr="00C1698D" w14:paraId="6AA48E62" w14:textId="77777777" w:rsidTr="007D4E49">
        <w:trPr>
          <w:trHeight w:val="2689"/>
        </w:trPr>
        <w:tc>
          <w:tcPr>
            <w:tcW w:w="1838" w:type="dxa"/>
            <w:vAlign w:val="center"/>
          </w:tcPr>
          <w:p w14:paraId="14FCE31E" w14:textId="77777777" w:rsidR="006E6A7D" w:rsidRPr="007C6F64" w:rsidRDefault="006E6A7D" w:rsidP="00EF2305">
            <w:pPr>
              <w:jc w:val="center"/>
              <w:rPr>
                <w:rFonts w:ascii="Times New Roman" w:hAnsi="Times New Roman" w:cs="Times New Roman"/>
                <w:b/>
                <w:bCs/>
                <w:sz w:val="20"/>
                <w:szCs w:val="20"/>
                <w:lang w:val="en-US"/>
              </w:rPr>
            </w:pPr>
            <w:r w:rsidRPr="007C6F64">
              <w:rPr>
                <w:rFonts w:ascii="Times New Roman" w:hAnsi="Times New Roman" w:cs="Times New Roman"/>
                <w:b/>
                <w:bCs/>
                <w:sz w:val="20"/>
                <w:szCs w:val="20"/>
                <w:lang w:val="en-US"/>
              </w:rPr>
              <w:t>Expression system</w:t>
            </w:r>
          </w:p>
        </w:tc>
        <w:tc>
          <w:tcPr>
            <w:tcW w:w="3773" w:type="dxa"/>
            <w:vAlign w:val="center"/>
          </w:tcPr>
          <w:p w14:paraId="429DCEDF" w14:textId="77777777" w:rsidR="007D4E49" w:rsidRDefault="006E6A7D" w:rsidP="007D4E49">
            <w:pPr>
              <w:pStyle w:val="Listenabsatz"/>
              <w:numPr>
                <w:ilvl w:val="0"/>
                <w:numId w:val="2"/>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Positive and negative regulated expression systems</w:t>
            </w:r>
          </w:p>
          <w:p w14:paraId="63D6E7C6" w14:textId="77777777" w:rsidR="007D4E49" w:rsidRDefault="006E6A7D" w:rsidP="007D4E49">
            <w:pPr>
              <w:pStyle w:val="Listenabsatz"/>
              <w:numPr>
                <w:ilvl w:val="0"/>
                <w:numId w:val="2"/>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Inducible system (e.g., IPTG)</w:t>
            </w:r>
          </w:p>
          <w:p w14:paraId="3AA5C49B" w14:textId="77777777" w:rsidR="007D4E49" w:rsidRDefault="00C1698D" w:rsidP="007D4E49">
            <w:pPr>
              <w:pStyle w:val="Listenabsatz"/>
              <w:numPr>
                <w:ilvl w:val="0"/>
                <w:numId w:val="2"/>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large variation</w:t>
            </w:r>
            <w:r w:rsidR="006E6A7D" w:rsidRPr="007D4E49">
              <w:rPr>
                <w:rFonts w:ascii="Times New Roman" w:hAnsi="Times New Roman" w:cs="Times New Roman"/>
                <w:sz w:val="20"/>
                <w:szCs w:val="20"/>
                <w:lang w:val="en-US"/>
              </w:rPr>
              <w:t xml:space="preserve"> of vectors with tags, signal peptides, and protease sites</w:t>
            </w:r>
          </w:p>
          <w:p w14:paraId="360B9414" w14:textId="77777777" w:rsidR="007D4E49" w:rsidRDefault="006E6A7D" w:rsidP="007D4E49">
            <w:pPr>
              <w:pStyle w:val="Listenabsatz"/>
              <w:numPr>
                <w:ilvl w:val="0"/>
                <w:numId w:val="2"/>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Easy genetic manipulation</w:t>
            </w:r>
          </w:p>
          <w:p w14:paraId="7E23A6A6" w14:textId="77777777" w:rsidR="007D4E49" w:rsidRDefault="006E6A7D" w:rsidP="007D4E49">
            <w:pPr>
              <w:pStyle w:val="Listenabsatz"/>
              <w:numPr>
                <w:ilvl w:val="0"/>
                <w:numId w:val="2"/>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Expression of larger proteins</w:t>
            </w:r>
          </w:p>
          <w:p w14:paraId="7C146314" w14:textId="77777777" w:rsidR="007D4E49" w:rsidRDefault="006E6A7D" w:rsidP="007D4E49">
            <w:pPr>
              <w:pStyle w:val="Listenabsatz"/>
              <w:numPr>
                <w:ilvl w:val="0"/>
                <w:numId w:val="2"/>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Genetic stability of host and plasmid (both segregationally and structural)</w:t>
            </w:r>
          </w:p>
          <w:p w14:paraId="78B7A872" w14:textId="59430B46" w:rsidR="006E6A7D" w:rsidRPr="007D4E49" w:rsidRDefault="006E6A7D" w:rsidP="007D4E49">
            <w:pPr>
              <w:pStyle w:val="Listenabsatz"/>
              <w:numPr>
                <w:ilvl w:val="0"/>
                <w:numId w:val="3"/>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Acetate formation causing cell toxicity</w:t>
            </w:r>
          </w:p>
        </w:tc>
        <w:tc>
          <w:tcPr>
            <w:tcW w:w="3293" w:type="dxa"/>
            <w:vAlign w:val="center"/>
          </w:tcPr>
          <w:p w14:paraId="38C61E11" w14:textId="06DF1589" w:rsidR="006E6A7D" w:rsidRPr="007D4E49" w:rsidRDefault="006E6A7D" w:rsidP="007D4E49">
            <w:pPr>
              <w:pStyle w:val="Listenabsatz"/>
              <w:numPr>
                <w:ilvl w:val="0"/>
                <w:numId w:val="4"/>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 xml:space="preserve">Easy </w:t>
            </w:r>
            <w:proofErr w:type="spellStart"/>
            <w:r w:rsidRPr="007D4E49">
              <w:rPr>
                <w:rFonts w:ascii="Times New Roman" w:hAnsi="Times New Roman" w:cs="Times New Roman"/>
                <w:sz w:val="20"/>
                <w:szCs w:val="20"/>
                <w:lang w:val="en-US"/>
              </w:rPr>
              <w:t>genetical</w:t>
            </w:r>
            <w:proofErr w:type="spellEnd"/>
            <w:r w:rsidRPr="007D4E49">
              <w:rPr>
                <w:rFonts w:ascii="Times New Roman" w:hAnsi="Times New Roman" w:cs="Times New Roman"/>
                <w:sz w:val="20"/>
                <w:szCs w:val="20"/>
                <w:lang w:val="en-US"/>
              </w:rPr>
              <w:t xml:space="preserve"> manipulation</w:t>
            </w:r>
          </w:p>
          <w:p w14:paraId="237C475F" w14:textId="250C6BA9" w:rsidR="006E6A7D" w:rsidRPr="007D4E49" w:rsidRDefault="006E6A7D" w:rsidP="007D4E49">
            <w:pPr>
              <w:pStyle w:val="Listenabsatz"/>
              <w:numPr>
                <w:ilvl w:val="0"/>
                <w:numId w:val="4"/>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Strong promoters (AOX1, GAP)</w:t>
            </w:r>
          </w:p>
          <w:p w14:paraId="71CACF24" w14:textId="348A4336" w:rsidR="006E6A7D" w:rsidRPr="007D4E49" w:rsidRDefault="006E6A7D" w:rsidP="007D4E49">
            <w:pPr>
              <w:pStyle w:val="Listenabsatz"/>
              <w:numPr>
                <w:ilvl w:val="0"/>
                <w:numId w:val="4"/>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Inducible system</w:t>
            </w:r>
          </w:p>
          <w:p w14:paraId="0C798ACC" w14:textId="5A6C5161" w:rsidR="006E6A7D" w:rsidRPr="007D4E49" w:rsidRDefault="006E6A7D" w:rsidP="007D4E49">
            <w:pPr>
              <w:pStyle w:val="Listenabsatz"/>
              <w:numPr>
                <w:ilvl w:val="0"/>
                <w:numId w:val="5"/>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Few tags, host strains, and selection markers available</w:t>
            </w:r>
          </w:p>
          <w:p w14:paraId="2DCE6B2F" w14:textId="6BAFB3E0" w:rsidR="006E6A7D" w:rsidRPr="007D4E49" w:rsidRDefault="006E6A7D" w:rsidP="007D4E49">
            <w:pPr>
              <w:pStyle w:val="Listenabsatz"/>
              <w:numPr>
                <w:ilvl w:val="0"/>
                <w:numId w:val="5"/>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Available methanol-based systems (oxidative stress, protein degradation)</w:t>
            </w:r>
          </w:p>
        </w:tc>
        <w:tc>
          <w:tcPr>
            <w:tcW w:w="3347" w:type="dxa"/>
            <w:vAlign w:val="center"/>
          </w:tcPr>
          <w:p w14:paraId="62F2B0F4" w14:textId="0DFD8A2A" w:rsidR="006E6A7D" w:rsidRPr="007D4E49" w:rsidRDefault="006E6A7D" w:rsidP="007D4E49">
            <w:pPr>
              <w:pStyle w:val="Listenabsatz"/>
              <w:numPr>
                <w:ilvl w:val="0"/>
                <w:numId w:val="6"/>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Complex regulatory systems</w:t>
            </w:r>
          </w:p>
          <w:p w14:paraId="137B7A67" w14:textId="6271CC95" w:rsidR="006E6A7D" w:rsidRPr="007D4E49" w:rsidRDefault="006E6A7D" w:rsidP="007D4E49">
            <w:pPr>
              <w:pStyle w:val="Listenabsatz"/>
              <w:numPr>
                <w:ilvl w:val="0"/>
                <w:numId w:val="6"/>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Synthetic promoters</w:t>
            </w:r>
          </w:p>
        </w:tc>
        <w:tc>
          <w:tcPr>
            <w:tcW w:w="2026" w:type="dxa"/>
            <w:vAlign w:val="center"/>
          </w:tcPr>
          <w:p w14:paraId="1D6C9BDF" w14:textId="778020AA" w:rsidR="006E6A7D" w:rsidRPr="007D4E49" w:rsidRDefault="007D4E49" w:rsidP="007D4E49">
            <w:pPr>
              <w:jc w:val="center"/>
            </w:pPr>
            <w:r w:rsidRPr="007C6F64">
              <w:rPr>
                <w:rFonts w:ascii="Times New Roman" w:hAnsi="Times New Roman" w:cs="Times New Roman"/>
                <w:sz w:val="20"/>
                <w:szCs w:val="20"/>
                <w:lang w:val="en-US"/>
              </w:rPr>
              <w:fldChar w:fldCharType="begin"/>
            </w:r>
            <w:r>
              <w:rPr>
                <w:rFonts w:ascii="Times New Roman" w:hAnsi="Times New Roman" w:cs="Times New Roman"/>
                <w:sz w:val="20"/>
                <w:szCs w:val="20"/>
                <w:lang w:val="es-ES"/>
              </w:rPr>
              <w:instrText xml:space="preserve"> ADDIN ZOTERO_ITEM CSL_CITATION {"citationID":"rFaf27YV","properties":{"formattedCitation":"(Dupuis et al. 2023; Meyer and Schmidhalter 2014; Schmoll and Dattenb\\uc0\\u246{}ck 2016; Sambrook, Fritsch, and Maniatis 2012)","plainCitation":"(Dupuis et al. 2023; Meyer and Schmidhalter 2014; Schmoll and Dattenböck 2016; Sambrook, Fritsch, and Maniatis 2012)","noteIndex":0},"citationItems":[{"id":"F7z1ho5P/nP1kN2Wu","uris":["http://zotero.org/users/11518316/items/7CA7SGND"],"itemData":{"id":498,"type":"article-journal","abstract":"Cellular agriculture is a rapidly emerging field, within which cultured meat has attracted the majority of media attention in recent years. An equally promising area of cellular agriculture, and one that has produced far more actual food ingredients that have been incorporated into commercially available products, is the use of cellular hosts to produce soluble proteins, herein referred to as precision cellular agriculture (PCAg). In PCAg, specific animal- or plant-sourced proteins are expressed recombinantly in unicellular hosts—the majority of which are yeast—and harvested for food use. The numerous advantages of PCAg over traditional agriculture, including a smaller carbon footprint and more consistent products, have led to extensive research on its utility. This review is the first to survey proteins currently being expressed using PCAg for food purposes. A growing number of viable expression hosts and recent advances for increased protein yields and process optimization have led to its application for producing milk, egg, and muscle proteins; plant hemoglobin; sweet-tasting plant proteins; and ice-binding proteins. Current knowledge gaps present research opportunities for optimizing expression hosts, tailoring posttranslational modifications, and expanding the scope of proteins produced. Considerations for the expansion of PCAg and its implications on food regulation, society, ethics, and the environment are also discussed. Considering the current trajectory of PCAg, food proteins from any biological source can likely be expressed recombinantly and used as purified food ingredients to create novel and tailored food products.","container-title":"Comprehensive Reviews in Food Science and Food Safety","DOI":"10.1111/1541-4337.13094","ISSN":"1541-4337","issue":"2","language":"en","license":"© 2022 Institute of Food Technologists®.","note":"number: 2\n_eprint: https://onlinelibrary.wiley.com/doi/pdf/10.1111/1541-4337.13094","page":"882-912","source":"Wiley Online Library","title":"Precision cellular agriculture: The future role of recombinantly expressed protein as food","title-short":"Precision cellular agriculture","volume":"22","author":[{"family":"Dupuis","given":"John H."},{"family":"Cheung","given":"Lennie K.Y."},{"family":"Newman","given":"Lenore"},{"family":"Dee","given":"Derek R."},{"family":"Yada","given":"Rickey Y."}],"issued":{"date-parts":[["2023"]]}}},{"id":3041,"uris":["http://zotero.org/users/11518316/items/IVUDYKEK"],"itemData":{"id":3041,"type":"book","event-place":"Weinheim","ISBN":"978-3-527</w:instrText>
            </w:r>
            <w:r w:rsidRPr="00C1698D">
              <w:rPr>
                <w:rFonts w:ascii="Times New Roman" w:hAnsi="Times New Roman" w:cs="Times New Roman"/>
                <w:sz w:val="20"/>
                <w:szCs w:val="20"/>
                <w:lang w:val="en-US"/>
              </w:rPr>
              <w:instrText xml:space="preserve">-33547-3","language":"eng","number-of-pages":"612","publisher":"Wiley Blackwell/Wiley-VCH","publisher-place":"Weinheim","source":"K10plus ISBN","title":"Industrial scale suspension culture of living cells","editor":[{"family":"Meyer","given":"Hans-Peter"},{"family":"Schmidhalter","given":"Diego R."}],"issued":{"date-parts":[["2014"]]}}},{"id":3732,"uris":["http://zotero.org/users/11518316/items/Q6SEDRX6"],"itemData":{"id":3732,"type":"book","event-place":"New York, NY","ISBN":"978-3-319-27949-7","language":"en","publisher":"Springer Science+Business Media","publisher-place":"New York, NY","source":"Library of Congress ISBN","title":"Gene expression systems in fungi: advancements and applications","title-short":"Gene expression systems in fungi","author":[{"family":"Schmoll","given":"Monika"},{"family":"Dattenböck","given":"Christoph"}],"issued":{"date-parts":[["2016"]]}}},{"id":3691,"uris":["http://zotero.org/users/11518316/items/WEMB83VL"],"itemData":{"id":3691,"type":"book","edition":"4. ed","event-place":"Cold Spring Harbor, NY","ISBN":"978-1-936113-42-2","language":"eng","publisher":"Cold Spring Harbor Laboratory Press","publisher-place":"Cold Spring Harbor, NY","source":"K10plus ISBN","title":"Molecular cloning. 3","author":[{"family":"Sambrook","given":"Joseph"},{"family":"Fritsch","given":"Edward F."},{"family":"Maniatis","given":"Thomas"}],"issued":{"date-parts":[["2012"]]}}}],"schema":"https://github.com/citation-style-language/schema/raw/master/csl-citation.json"} </w:instrText>
            </w:r>
            <w:r w:rsidRPr="007C6F64">
              <w:rPr>
                <w:rFonts w:ascii="Times New Roman" w:hAnsi="Times New Roman" w:cs="Times New Roman"/>
                <w:sz w:val="20"/>
                <w:szCs w:val="20"/>
                <w:lang w:val="en-US"/>
              </w:rPr>
              <w:fldChar w:fldCharType="separate"/>
            </w:r>
            <w:r w:rsidRPr="00C1698D">
              <w:rPr>
                <w:rFonts w:ascii="Times New Roman" w:hAnsi="Times New Roman" w:cs="Times New Roman"/>
                <w:kern w:val="0"/>
                <w:sz w:val="20"/>
                <w:lang w:val="en-US"/>
              </w:rPr>
              <w:t>(Dupuis et al. 2023; Meyer and Schmidhalter 2014; Schmoll and Dattenböck 2016; Sambrook, Fritsch, and Maniatis 2012)</w:t>
            </w:r>
            <w:r w:rsidRPr="007C6F64">
              <w:rPr>
                <w:rFonts w:ascii="Times New Roman" w:hAnsi="Times New Roman" w:cs="Times New Roman"/>
                <w:sz w:val="20"/>
                <w:szCs w:val="20"/>
                <w:lang w:val="en-US"/>
              </w:rPr>
              <w:fldChar w:fldCharType="end"/>
            </w:r>
          </w:p>
        </w:tc>
      </w:tr>
      <w:tr w:rsidR="006E6A7D" w:rsidRPr="007C6F64" w14:paraId="3A6488AE" w14:textId="77777777" w:rsidTr="007D4E49">
        <w:trPr>
          <w:trHeight w:val="971"/>
        </w:trPr>
        <w:tc>
          <w:tcPr>
            <w:tcW w:w="1838" w:type="dxa"/>
            <w:vAlign w:val="center"/>
          </w:tcPr>
          <w:p w14:paraId="45F72450" w14:textId="77777777" w:rsidR="006E6A7D" w:rsidRPr="007C6F64" w:rsidRDefault="006E6A7D" w:rsidP="00EF2305">
            <w:pPr>
              <w:jc w:val="center"/>
              <w:rPr>
                <w:rFonts w:ascii="Times New Roman" w:hAnsi="Times New Roman" w:cs="Times New Roman"/>
                <w:b/>
                <w:bCs/>
                <w:sz w:val="20"/>
                <w:szCs w:val="20"/>
                <w:lang w:val="en-US"/>
              </w:rPr>
            </w:pPr>
            <w:r w:rsidRPr="007C6F64">
              <w:rPr>
                <w:rFonts w:ascii="Times New Roman" w:hAnsi="Times New Roman" w:cs="Times New Roman"/>
                <w:b/>
                <w:bCs/>
                <w:sz w:val="20"/>
                <w:szCs w:val="20"/>
                <w:lang w:val="en-US"/>
              </w:rPr>
              <w:t>Productivity (rec. proteins)</w:t>
            </w:r>
          </w:p>
        </w:tc>
        <w:tc>
          <w:tcPr>
            <w:tcW w:w="3773" w:type="dxa"/>
            <w:vAlign w:val="center"/>
          </w:tcPr>
          <w:p w14:paraId="3538DB51" w14:textId="7AB56FCC" w:rsidR="006E6A7D" w:rsidRPr="007D4E49" w:rsidRDefault="006E6A7D" w:rsidP="007D4E49">
            <w:pPr>
              <w:pStyle w:val="Listenabsatz"/>
              <w:numPr>
                <w:ilvl w:val="0"/>
                <w:numId w:val="7"/>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Good productivity (up to 3.7 g/L ovalbumin)</w:t>
            </w:r>
          </w:p>
          <w:p w14:paraId="61428C7D" w14:textId="47CD9918" w:rsidR="006E6A7D" w:rsidRPr="007D4E49" w:rsidRDefault="006E6A7D" w:rsidP="007D4E49">
            <w:pPr>
              <w:pStyle w:val="Listenabsatz"/>
              <w:numPr>
                <w:ilvl w:val="0"/>
                <w:numId w:val="8"/>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 xml:space="preserve">Low for complex proteins (up to 4 mg/L </w:t>
            </w:r>
            <w:proofErr w:type="spellStart"/>
            <w:r w:rsidRPr="007D4E49">
              <w:rPr>
                <w:rFonts w:ascii="Times New Roman" w:hAnsi="Times New Roman" w:cs="Times New Roman"/>
                <w:sz w:val="20"/>
                <w:szCs w:val="20"/>
                <w:lang w:val="en-US"/>
              </w:rPr>
              <w:t>ovotransferrin</w:t>
            </w:r>
            <w:proofErr w:type="spellEnd"/>
            <w:r w:rsidRPr="007D4E49">
              <w:rPr>
                <w:rFonts w:ascii="Times New Roman" w:hAnsi="Times New Roman" w:cs="Times New Roman"/>
                <w:sz w:val="20"/>
                <w:szCs w:val="20"/>
                <w:lang w:val="en-US"/>
              </w:rPr>
              <w:t>)</w:t>
            </w:r>
          </w:p>
        </w:tc>
        <w:tc>
          <w:tcPr>
            <w:tcW w:w="3293" w:type="dxa"/>
            <w:vAlign w:val="center"/>
          </w:tcPr>
          <w:p w14:paraId="47F84A8B" w14:textId="77777777" w:rsidR="007D4E49" w:rsidRDefault="006E6A7D" w:rsidP="007D4E49">
            <w:pPr>
              <w:pStyle w:val="Listenabsatz"/>
              <w:numPr>
                <w:ilvl w:val="0"/>
                <w:numId w:val="7"/>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 xml:space="preserve">Good productivity (up to 3.5 g/L </w:t>
            </w:r>
            <w:proofErr w:type="spellStart"/>
            <w:r w:rsidRPr="007D4E49">
              <w:rPr>
                <w:rFonts w:ascii="Times New Roman" w:hAnsi="Times New Roman" w:cs="Times New Roman"/>
                <w:sz w:val="20"/>
                <w:szCs w:val="20"/>
                <w:lang w:val="en-US"/>
              </w:rPr>
              <w:t>lysozym</w:t>
            </w:r>
            <w:proofErr w:type="spellEnd"/>
            <w:r w:rsidRPr="007D4E49">
              <w:rPr>
                <w:rFonts w:ascii="Times New Roman" w:hAnsi="Times New Roman" w:cs="Times New Roman"/>
                <w:sz w:val="20"/>
                <w:szCs w:val="20"/>
                <w:lang w:val="en-US"/>
              </w:rPr>
              <w:t>)</w:t>
            </w:r>
          </w:p>
          <w:p w14:paraId="1A321FF0" w14:textId="70961032" w:rsidR="006E6A7D" w:rsidRPr="007D4E49" w:rsidRDefault="006E6A7D" w:rsidP="007D4E49">
            <w:pPr>
              <w:pStyle w:val="Listenabsatz"/>
              <w:numPr>
                <w:ilvl w:val="0"/>
                <w:numId w:val="7"/>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 xml:space="preserve">Good for complex proteins (up to 97 mg/L </w:t>
            </w:r>
            <w:proofErr w:type="spellStart"/>
            <w:r w:rsidRPr="007D4E49">
              <w:rPr>
                <w:rFonts w:ascii="Times New Roman" w:hAnsi="Times New Roman" w:cs="Times New Roman"/>
                <w:sz w:val="20"/>
                <w:szCs w:val="20"/>
                <w:lang w:val="en-US"/>
              </w:rPr>
              <w:t>ovotransferrin</w:t>
            </w:r>
            <w:proofErr w:type="spellEnd"/>
            <w:r w:rsidRPr="007D4E49">
              <w:rPr>
                <w:rFonts w:ascii="Times New Roman" w:hAnsi="Times New Roman" w:cs="Times New Roman"/>
                <w:sz w:val="20"/>
                <w:szCs w:val="20"/>
                <w:lang w:val="en-US"/>
              </w:rPr>
              <w:t>)</w:t>
            </w:r>
          </w:p>
        </w:tc>
        <w:tc>
          <w:tcPr>
            <w:tcW w:w="3347" w:type="dxa"/>
            <w:vAlign w:val="center"/>
          </w:tcPr>
          <w:p w14:paraId="1000098A" w14:textId="7FC06240" w:rsidR="006E6A7D" w:rsidRPr="007D4E49" w:rsidRDefault="006E6A7D" w:rsidP="007D4E49">
            <w:pPr>
              <w:pStyle w:val="Listenabsatz"/>
              <w:numPr>
                <w:ilvl w:val="0"/>
                <w:numId w:val="7"/>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Good productivity (up to 2 g/L ovalbumin)</w:t>
            </w:r>
          </w:p>
        </w:tc>
        <w:tc>
          <w:tcPr>
            <w:tcW w:w="2026" w:type="dxa"/>
            <w:vAlign w:val="center"/>
          </w:tcPr>
          <w:p w14:paraId="6C7AB451" w14:textId="77777777" w:rsidR="006E6A7D" w:rsidRPr="007C6F64" w:rsidRDefault="006E6A7D" w:rsidP="007D4E49">
            <w:pPr>
              <w:jc w:val="center"/>
              <w:rPr>
                <w:rFonts w:ascii="Times New Roman" w:hAnsi="Times New Roman" w:cs="Times New Roman"/>
                <w:sz w:val="20"/>
                <w:szCs w:val="20"/>
                <w:lang w:val="en-US"/>
              </w:rPr>
            </w:pPr>
            <w:r w:rsidRPr="007C6F64">
              <w:rPr>
                <w:rFonts w:ascii="Times New Roman" w:hAnsi="Times New Roman" w:cs="Times New Roman"/>
                <w:sz w:val="20"/>
                <w:szCs w:val="20"/>
                <w:lang w:val="en-US"/>
              </w:rPr>
              <w:t>(</w:t>
            </w:r>
            <w:r w:rsidRPr="007C6F64">
              <w:rPr>
                <w:rFonts w:ascii="Times New Roman" w:hAnsi="Times New Roman" w:cs="Times New Roman"/>
                <w:sz w:val="20"/>
                <w:szCs w:val="20"/>
                <w:lang w:val="en-US"/>
              </w:rPr>
              <w:fldChar w:fldCharType="begin"/>
            </w:r>
            <w:r w:rsidRPr="007C6F64">
              <w:rPr>
                <w:rFonts w:ascii="Times New Roman" w:hAnsi="Times New Roman" w:cs="Times New Roman"/>
                <w:sz w:val="20"/>
                <w:szCs w:val="20"/>
                <w:lang w:val="en-US"/>
              </w:rPr>
              <w:instrText xml:space="preserve"> REF _Ref188867345 \h  \* MERGEFORMAT </w:instrText>
            </w:r>
            <w:r w:rsidRPr="007C6F64">
              <w:rPr>
                <w:rFonts w:ascii="Times New Roman" w:hAnsi="Times New Roman" w:cs="Times New Roman"/>
                <w:sz w:val="20"/>
                <w:szCs w:val="20"/>
                <w:lang w:val="en-US"/>
              </w:rPr>
            </w:r>
            <w:r w:rsidRPr="007C6F64">
              <w:rPr>
                <w:rFonts w:ascii="Times New Roman" w:hAnsi="Times New Roman" w:cs="Times New Roman"/>
                <w:sz w:val="20"/>
                <w:szCs w:val="20"/>
                <w:lang w:val="en-US"/>
              </w:rPr>
              <w:fldChar w:fldCharType="separate"/>
            </w:r>
            <w:r w:rsidRPr="007C6F64">
              <w:rPr>
                <w:rFonts w:ascii="Times New Roman" w:hAnsi="Times New Roman" w:cs="Times New Roman"/>
                <w:sz w:val="20"/>
                <w:szCs w:val="20"/>
                <w:lang w:val="en-US"/>
              </w:rPr>
              <w:t xml:space="preserve">Table </w:t>
            </w:r>
            <w:r w:rsidRPr="007C6F64">
              <w:rPr>
                <w:rFonts w:ascii="Times New Roman" w:hAnsi="Times New Roman" w:cs="Times New Roman"/>
                <w:noProof/>
                <w:sz w:val="20"/>
                <w:szCs w:val="20"/>
                <w:lang w:val="en-US"/>
              </w:rPr>
              <w:t>2</w:t>
            </w:r>
            <w:r w:rsidRPr="007C6F64">
              <w:rPr>
                <w:rFonts w:ascii="Times New Roman" w:hAnsi="Times New Roman" w:cs="Times New Roman"/>
                <w:sz w:val="20"/>
                <w:szCs w:val="20"/>
                <w:lang w:val="en-US"/>
              </w:rPr>
              <w:fldChar w:fldCharType="end"/>
            </w:r>
            <w:r w:rsidRPr="007C6F64">
              <w:rPr>
                <w:rFonts w:ascii="Times New Roman" w:hAnsi="Times New Roman" w:cs="Times New Roman"/>
                <w:sz w:val="20"/>
                <w:szCs w:val="20"/>
                <w:lang w:val="en-US"/>
              </w:rPr>
              <w:t>)</w:t>
            </w:r>
          </w:p>
        </w:tc>
      </w:tr>
      <w:tr w:rsidR="006E6A7D" w:rsidRPr="007C6F64" w14:paraId="665739AE" w14:textId="77777777" w:rsidTr="007D4E49">
        <w:trPr>
          <w:trHeight w:val="987"/>
        </w:trPr>
        <w:tc>
          <w:tcPr>
            <w:tcW w:w="1838" w:type="dxa"/>
            <w:vAlign w:val="center"/>
          </w:tcPr>
          <w:p w14:paraId="3DDC3B6D" w14:textId="77777777" w:rsidR="006E6A7D" w:rsidRPr="007C6F64" w:rsidRDefault="006E6A7D" w:rsidP="00EF2305">
            <w:pPr>
              <w:jc w:val="center"/>
              <w:rPr>
                <w:rFonts w:ascii="Times New Roman" w:hAnsi="Times New Roman" w:cs="Times New Roman"/>
                <w:b/>
                <w:bCs/>
                <w:sz w:val="20"/>
                <w:szCs w:val="20"/>
                <w:lang w:val="en-US"/>
              </w:rPr>
            </w:pPr>
            <w:r w:rsidRPr="007C6F64">
              <w:rPr>
                <w:rFonts w:ascii="Times New Roman" w:hAnsi="Times New Roman" w:cs="Times New Roman"/>
                <w:b/>
                <w:bCs/>
                <w:sz w:val="20"/>
                <w:szCs w:val="20"/>
                <w:lang w:val="en-US"/>
              </w:rPr>
              <w:t>Doubling time, Cell density</w:t>
            </w:r>
          </w:p>
        </w:tc>
        <w:tc>
          <w:tcPr>
            <w:tcW w:w="3773" w:type="dxa"/>
            <w:vAlign w:val="center"/>
          </w:tcPr>
          <w:p w14:paraId="064A5AD5" w14:textId="77777777" w:rsidR="007D4E49" w:rsidRDefault="006E6A7D" w:rsidP="007D4E49">
            <w:pPr>
              <w:pStyle w:val="Listenabsatz"/>
              <w:numPr>
                <w:ilvl w:val="0"/>
                <w:numId w:val="10"/>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Short doubling time (</w:t>
            </w:r>
            <w:r w:rsidR="00C82EB6" w:rsidRPr="007D4E49">
              <w:rPr>
                <w:rFonts w:ascii="Times New Roman" w:hAnsi="Times New Roman" w:cs="Times New Roman"/>
                <w:sz w:val="20"/>
                <w:szCs w:val="20"/>
                <w:lang w:val="en-US"/>
              </w:rPr>
              <w:t>3</w:t>
            </w:r>
            <w:r w:rsidRPr="007D4E49">
              <w:rPr>
                <w:rFonts w:ascii="Times New Roman" w:hAnsi="Times New Roman" w:cs="Times New Roman"/>
                <w:sz w:val="20"/>
                <w:szCs w:val="20"/>
                <w:lang w:val="en-US"/>
              </w:rPr>
              <w:t>0 min)</w:t>
            </w:r>
          </w:p>
          <w:p w14:paraId="763F7679" w14:textId="4AF724C4" w:rsidR="006E6A7D" w:rsidRPr="007D4E49" w:rsidRDefault="006E6A7D" w:rsidP="007D4E49">
            <w:pPr>
              <w:pStyle w:val="Listenabsatz"/>
              <w:numPr>
                <w:ilvl w:val="0"/>
                <w:numId w:val="10"/>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High cell density (</w:t>
            </w:r>
            <w:r w:rsidR="00C82EB6" w:rsidRPr="007D4E49">
              <w:rPr>
                <w:rFonts w:ascii="Times New Roman" w:hAnsi="Times New Roman" w:cs="Times New Roman"/>
                <w:sz w:val="20"/>
                <w:szCs w:val="20"/>
                <w:lang w:val="en-US"/>
              </w:rPr>
              <w:t>160-200</w:t>
            </w:r>
            <w:r w:rsidRPr="007D4E49">
              <w:rPr>
                <w:rFonts w:ascii="Times New Roman" w:hAnsi="Times New Roman" w:cs="Times New Roman"/>
                <w:sz w:val="20"/>
                <w:szCs w:val="20"/>
                <w:lang w:val="en-US"/>
              </w:rPr>
              <w:t xml:space="preserve"> g/L </w:t>
            </w:r>
            <w:proofErr w:type="spellStart"/>
            <w:r w:rsidRPr="007D4E49">
              <w:rPr>
                <w:rFonts w:ascii="Times New Roman" w:hAnsi="Times New Roman" w:cs="Times New Roman"/>
                <w:sz w:val="20"/>
                <w:szCs w:val="20"/>
                <w:lang w:val="en-US"/>
              </w:rPr>
              <w:t>dcw</w:t>
            </w:r>
            <w:proofErr w:type="spellEnd"/>
            <w:r w:rsidRPr="007D4E49">
              <w:rPr>
                <w:rFonts w:ascii="Times New Roman" w:hAnsi="Times New Roman" w:cs="Times New Roman"/>
                <w:sz w:val="20"/>
                <w:szCs w:val="20"/>
                <w:lang w:val="en-US"/>
              </w:rPr>
              <w:t>)</w:t>
            </w:r>
          </w:p>
        </w:tc>
        <w:tc>
          <w:tcPr>
            <w:tcW w:w="3293" w:type="dxa"/>
            <w:vAlign w:val="center"/>
          </w:tcPr>
          <w:p w14:paraId="63F114DF" w14:textId="77777777" w:rsidR="007D4E49" w:rsidRDefault="006E6A7D" w:rsidP="007D4E49">
            <w:pPr>
              <w:pStyle w:val="Listenabsatz"/>
              <w:numPr>
                <w:ilvl w:val="0"/>
                <w:numId w:val="9"/>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Moderate doubling time (1.5-2 h)</w:t>
            </w:r>
          </w:p>
          <w:p w14:paraId="4CAE4144" w14:textId="32BA9298" w:rsidR="006E6A7D" w:rsidRPr="007D4E49" w:rsidRDefault="007D4E49" w:rsidP="007D4E49">
            <w:pPr>
              <w:pStyle w:val="Listenabsatz"/>
              <w:numPr>
                <w:ilvl w:val="0"/>
                <w:numId w:val="9"/>
              </w:numPr>
              <w:ind w:left="517"/>
              <w:rPr>
                <w:rFonts w:ascii="Times New Roman" w:hAnsi="Times New Roman" w:cs="Times New Roman"/>
                <w:sz w:val="20"/>
                <w:szCs w:val="20"/>
                <w:lang w:val="en-US"/>
              </w:rPr>
            </w:pPr>
            <w:r>
              <w:rPr>
                <w:rFonts w:ascii="Times New Roman" w:hAnsi="Times New Roman" w:cs="Times New Roman"/>
                <w:sz w:val="20"/>
                <w:szCs w:val="20"/>
                <w:lang w:val="en-US"/>
              </w:rPr>
              <w:t>V</w:t>
            </w:r>
            <w:r w:rsidR="006E6A7D" w:rsidRPr="007D4E49">
              <w:rPr>
                <w:rFonts w:ascii="Times New Roman" w:hAnsi="Times New Roman" w:cs="Times New Roman"/>
                <w:sz w:val="20"/>
                <w:szCs w:val="20"/>
                <w:lang w:val="en-US"/>
              </w:rPr>
              <w:t xml:space="preserve">ery high cell density (up to </w:t>
            </w:r>
            <w:r w:rsidR="00C82EB6" w:rsidRPr="007D4E49">
              <w:rPr>
                <w:rFonts w:ascii="Times New Roman" w:hAnsi="Times New Roman" w:cs="Times New Roman"/>
                <w:sz w:val="20"/>
                <w:szCs w:val="20"/>
                <w:lang w:val="en-US"/>
              </w:rPr>
              <w:t>150</w:t>
            </w:r>
            <w:r w:rsidR="006E6A7D" w:rsidRPr="007D4E49">
              <w:rPr>
                <w:rFonts w:ascii="Times New Roman" w:hAnsi="Times New Roman" w:cs="Times New Roman"/>
                <w:sz w:val="20"/>
                <w:szCs w:val="20"/>
                <w:lang w:val="en-US"/>
              </w:rPr>
              <w:t xml:space="preserve"> g/L </w:t>
            </w:r>
            <w:proofErr w:type="spellStart"/>
            <w:r w:rsidR="006E6A7D" w:rsidRPr="007D4E49">
              <w:rPr>
                <w:rFonts w:ascii="Times New Roman" w:hAnsi="Times New Roman" w:cs="Times New Roman"/>
                <w:sz w:val="20"/>
                <w:szCs w:val="20"/>
                <w:lang w:val="en-US"/>
              </w:rPr>
              <w:t>dcw</w:t>
            </w:r>
            <w:proofErr w:type="spellEnd"/>
            <w:r w:rsidR="006E6A7D" w:rsidRPr="007D4E49">
              <w:rPr>
                <w:rFonts w:ascii="Times New Roman" w:hAnsi="Times New Roman" w:cs="Times New Roman"/>
                <w:sz w:val="20"/>
                <w:szCs w:val="20"/>
                <w:lang w:val="en-US"/>
              </w:rPr>
              <w:t>)</w:t>
            </w:r>
          </w:p>
        </w:tc>
        <w:tc>
          <w:tcPr>
            <w:tcW w:w="3347" w:type="dxa"/>
            <w:vAlign w:val="center"/>
          </w:tcPr>
          <w:p w14:paraId="71153CFB" w14:textId="77777777" w:rsidR="007D4E49" w:rsidRDefault="006E6A7D" w:rsidP="007D4E49">
            <w:pPr>
              <w:pStyle w:val="Listenabsatz"/>
              <w:numPr>
                <w:ilvl w:val="0"/>
                <w:numId w:val="8"/>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Long doubling time (~ 2-3 h)</w:t>
            </w:r>
          </w:p>
          <w:p w14:paraId="3609E558" w14:textId="2C8E7B19" w:rsidR="006E6A7D" w:rsidRPr="007D4E49" w:rsidRDefault="006E6A7D" w:rsidP="007D4E49">
            <w:pPr>
              <w:pStyle w:val="Listenabsatz"/>
              <w:numPr>
                <w:ilvl w:val="0"/>
                <w:numId w:val="8"/>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 xml:space="preserve">Low cell density (up to ~ 30 g/L </w:t>
            </w:r>
            <w:proofErr w:type="spellStart"/>
            <w:r w:rsidRPr="007D4E49">
              <w:rPr>
                <w:rFonts w:ascii="Times New Roman" w:hAnsi="Times New Roman" w:cs="Times New Roman"/>
                <w:sz w:val="20"/>
                <w:szCs w:val="20"/>
                <w:lang w:val="en-US"/>
              </w:rPr>
              <w:t>dcw</w:t>
            </w:r>
            <w:proofErr w:type="spellEnd"/>
            <w:r w:rsidRPr="007D4E49">
              <w:rPr>
                <w:rFonts w:ascii="Times New Roman" w:hAnsi="Times New Roman" w:cs="Times New Roman"/>
                <w:sz w:val="20"/>
                <w:szCs w:val="20"/>
                <w:lang w:val="en-US"/>
              </w:rPr>
              <w:t>)</w:t>
            </w:r>
          </w:p>
        </w:tc>
        <w:tc>
          <w:tcPr>
            <w:tcW w:w="2026" w:type="dxa"/>
            <w:vAlign w:val="center"/>
          </w:tcPr>
          <w:p w14:paraId="34B03111" w14:textId="26488B11" w:rsidR="006E6A7D" w:rsidRPr="007C6F64" w:rsidRDefault="006E6A7D" w:rsidP="007D4E49">
            <w:pPr>
              <w:jc w:val="center"/>
              <w:rPr>
                <w:rFonts w:ascii="Times New Roman" w:hAnsi="Times New Roman" w:cs="Times New Roman"/>
                <w:sz w:val="20"/>
                <w:szCs w:val="20"/>
                <w:lang w:val="en-US"/>
              </w:rPr>
            </w:pPr>
            <w:r w:rsidRPr="007C6F64">
              <w:rPr>
                <w:rFonts w:ascii="Times New Roman" w:hAnsi="Times New Roman" w:cs="Times New Roman"/>
                <w:sz w:val="20"/>
                <w:szCs w:val="20"/>
                <w:lang w:val="en-US"/>
              </w:rPr>
              <w:fldChar w:fldCharType="begin"/>
            </w:r>
            <w:r w:rsidR="00C1698D">
              <w:rPr>
                <w:rFonts w:ascii="Times New Roman" w:hAnsi="Times New Roman" w:cs="Times New Roman"/>
                <w:sz w:val="20"/>
                <w:szCs w:val="20"/>
                <w:lang w:val="en-US"/>
              </w:rPr>
              <w:instrText xml:space="preserve"> ADDIN ZOTERO_ITEM CSL_CITATION {"citationID":"InK79IsW","properties":{"formattedCitation":"(Dupuis 2024; Sambrook, Fritsch, and Maniatis 2012)","plainCitation":"(Dupuis 2024; Sambrook, Fritsch, and Maniatis 2012)","noteIndex":0},"citationItems":[{"id":3544,"uris":["http://zotero.org/users/11518316/items/L2FNJ4TL"],"itemData":{"id":3544,"type":"chapter","container-title":"Cellular Agriculture","ISBN":"978-0-443-18767-4","language":"en","license":"https://www.elsevier.com/tdm/userlicense/1.0/","note":"DOI: 10.1016/B978-0-443-18767-4.00034-2","page":"295-310","publisher":"Elsevier","source":"DOI.org (Crossref)","title":"Introduction to fermentation technologies and techniques","URL":"https://linkinghub.elsevier.com/retrieve/pii/B9780443187674000342","author":[{"family":"Dupuis","given":"John H."}],"accessed":{"date-parts":[["2024",5,3]]},"issued":{"date-parts":[["2024"]]}}},{"id":3691,"uris":["http://zotero.org/users/11518316/items/WEMB83VL"],"itemData":{"id":3691,"type":"book","edition":"4. ed","event-place":"Cold Spring Harbor, NY","ISBN":"978-1-936113-42-2","language":"eng","publisher":"Cold Spring Harbor Laboratory Press","publisher-place":"Cold Spring Harbor, NY","source":"K10plus ISBN","title":"Molecular cloning. 3","author":[{"family":"Sambrook","given":"Joseph"},{"family":"Fritsch","given":"Edward F."},{"family":"Maniatis","given":"Thomas"}],"issued":{"date-parts":[["2012"]]}}}],"schema":"https://github.com/citation-style-language/schema/raw/master/csl-citation.json"} </w:instrText>
            </w:r>
            <w:r w:rsidRPr="007C6F64">
              <w:rPr>
                <w:rFonts w:ascii="Times New Roman" w:hAnsi="Times New Roman" w:cs="Times New Roman"/>
                <w:sz w:val="20"/>
                <w:szCs w:val="20"/>
                <w:lang w:val="en-US"/>
              </w:rPr>
              <w:fldChar w:fldCharType="separate"/>
            </w:r>
            <w:r w:rsidR="00C1698D" w:rsidRPr="00C1698D">
              <w:rPr>
                <w:rFonts w:ascii="Times New Roman" w:hAnsi="Times New Roman" w:cs="Times New Roman"/>
                <w:sz w:val="20"/>
              </w:rPr>
              <w:t>(Dupuis 2024; Sambrook, Fritsch, and Maniatis 2012)</w:t>
            </w:r>
            <w:r w:rsidRPr="007C6F64">
              <w:rPr>
                <w:rFonts w:ascii="Times New Roman" w:hAnsi="Times New Roman" w:cs="Times New Roman"/>
                <w:sz w:val="20"/>
                <w:szCs w:val="20"/>
                <w:lang w:val="en-US"/>
              </w:rPr>
              <w:fldChar w:fldCharType="end"/>
            </w:r>
          </w:p>
        </w:tc>
      </w:tr>
      <w:tr w:rsidR="006E6A7D" w:rsidRPr="007C6F64" w14:paraId="5B85AE2C" w14:textId="77777777" w:rsidTr="007D4E49">
        <w:tc>
          <w:tcPr>
            <w:tcW w:w="1838" w:type="dxa"/>
            <w:vAlign w:val="center"/>
          </w:tcPr>
          <w:p w14:paraId="3B4CC69E" w14:textId="77777777" w:rsidR="006E6A7D" w:rsidRPr="007C6F64" w:rsidRDefault="006E6A7D" w:rsidP="00EF2305">
            <w:pPr>
              <w:jc w:val="center"/>
              <w:rPr>
                <w:rFonts w:ascii="Times New Roman" w:hAnsi="Times New Roman" w:cs="Times New Roman"/>
                <w:b/>
                <w:bCs/>
                <w:sz w:val="20"/>
                <w:szCs w:val="20"/>
                <w:lang w:val="en-US"/>
              </w:rPr>
            </w:pPr>
            <w:r w:rsidRPr="007C6F64">
              <w:rPr>
                <w:rFonts w:ascii="Times New Roman" w:hAnsi="Times New Roman" w:cs="Times New Roman"/>
                <w:b/>
                <w:bCs/>
                <w:sz w:val="20"/>
                <w:szCs w:val="20"/>
                <w:lang w:val="en-US"/>
              </w:rPr>
              <w:t>Secretion, product location, solubility issues, proteolysis</w:t>
            </w:r>
          </w:p>
        </w:tc>
        <w:tc>
          <w:tcPr>
            <w:tcW w:w="3773" w:type="dxa"/>
            <w:vAlign w:val="center"/>
          </w:tcPr>
          <w:p w14:paraId="798E2603" w14:textId="77777777" w:rsidR="007D4E49" w:rsidRDefault="006E6A7D" w:rsidP="007D4E49">
            <w:pPr>
              <w:pStyle w:val="Listenabsatz"/>
              <w:numPr>
                <w:ilvl w:val="0"/>
                <w:numId w:val="11"/>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 xml:space="preserve">Mostly intracellular protein </w:t>
            </w:r>
            <w:r w:rsidR="005C45E9" w:rsidRPr="007D4E49">
              <w:rPr>
                <w:rFonts w:ascii="Times New Roman" w:hAnsi="Times New Roman" w:cs="Times New Roman"/>
                <w:sz w:val="20"/>
                <w:szCs w:val="20"/>
                <w:lang w:val="en-US"/>
              </w:rPr>
              <w:t>production</w:t>
            </w:r>
            <w:r w:rsidRPr="007D4E49">
              <w:rPr>
                <w:rFonts w:ascii="Times New Roman" w:hAnsi="Times New Roman" w:cs="Times New Roman"/>
                <w:sz w:val="20"/>
                <w:szCs w:val="20"/>
                <w:lang w:val="en-US"/>
              </w:rPr>
              <w:t xml:space="preserve"> requires lysis</w:t>
            </w:r>
          </w:p>
          <w:p w14:paraId="5855A6A7" w14:textId="77777777" w:rsidR="007D4E49" w:rsidRDefault="006E6A7D" w:rsidP="007D4E49">
            <w:pPr>
              <w:pStyle w:val="Listenabsatz"/>
              <w:numPr>
                <w:ilvl w:val="0"/>
                <w:numId w:val="11"/>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IBs formation (possible</w:t>
            </w:r>
            <w:r w:rsidR="007D4E49">
              <w:rPr>
                <w:rFonts w:ascii="Times New Roman" w:hAnsi="Times New Roman" w:cs="Times New Roman"/>
                <w:sz w:val="20"/>
                <w:szCs w:val="20"/>
                <w:lang w:val="en-US"/>
              </w:rPr>
              <w:t>)</w:t>
            </w:r>
          </w:p>
          <w:p w14:paraId="2F221E36" w14:textId="77777777" w:rsidR="007D4E49" w:rsidRDefault="00C1698D" w:rsidP="007D4E49">
            <w:pPr>
              <w:pStyle w:val="Listenabsatz"/>
              <w:numPr>
                <w:ilvl w:val="0"/>
                <w:numId w:val="11"/>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w:t>
            </w:r>
            <w:r w:rsidR="006E6A7D" w:rsidRPr="007D4E49">
              <w:rPr>
                <w:rFonts w:ascii="Times New Roman" w:hAnsi="Times New Roman" w:cs="Times New Roman"/>
                <w:sz w:val="20"/>
                <w:szCs w:val="20"/>
                <w:lang w:val="en-US"/>
              </w:rPr>
              <w:t>+ Solubility issues concomitant to high level recombinant protein expression</w:t>
            </w:r>
          </w:p>
          <w:p w14:paraId="399AF262" w14:textId="77777777" w:rsidR="007D4E49" w:rsidRDefault="006E6A7D" w:rsidP="007D4E49">
            <w:pPr>
              <w:pStyle w:val="Listenabsatz"/>
              <w:numPr>
                <w:ilvl w:val="0"/>
                <w:numId w:val="11"/>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Secretion challenges</w:t>
            </w:r>
          </w:p>
          <w:p w14:paraId="7F151161" w14:textId="3916C546" w:rsidR="006E6A7D" w:rsidRPr="007D4E49" w:rsidRDefault="006E6A7D" w:rsidP="007D4E49">
            <w:pPr>
              <w:pStyle w:val="Listenabsatz"/>
              <w:numPr>
                <w:ilvl w:val="0"/>
                <w:numId w:val="11"/>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Proteases should be removed</w:t>
            </w:r>
          </w:p>
        </w:tc>
        <w:tc>
          <w:tcPr>
            <w:tcW w:w="3293" w:type="dxa"/>
            <w:vAlign w:val="center"/>
          </w:tcPr>
          <w:p w14:paraId="3004E21B" w14:textId="77777777" w:rsidR="007D4E49" w:rsidRDefault="006E6A7D" w:rsidP="007D4E49">
            <w:pPr>
              <w:pStyle w:val="Listenabsatz"/>
              <w:numPr>
                <w:ilvl w:val="0"/>
                <w:numId w:val="12"/>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Extracellular protein production</w:t>
            </w:r>
          </w:p>
          <w:p w14:paraId="0A2A438B" w14:textId="77777777" w:rsidR="007D4E49" w:rsidRDefault="006E6A7D" w:rsidP="007D4E49">
            <w:pPr>
              <w:pStyle w:val="Listenabsatz"/>
              <w:numPr>
                <w:ilvl w:val="0"/>
                <w:numId w:val="12"/>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IBs free, good solubility</w:t>
            </w:r>
          </w:p>
          <w:p w14:paraId="40052C3D" w14:textId="220A8F5A" w:rsidR="006E6A7D" w:rsidRPr="007D4E49" w:rsidRDefault="006E6A7D" w:rsidP="007D4E49">
            <w:pPr>
              <w:pStyle w:val="Listenabsatz"/>
              <w:numPr>
                <w:ilvl w:val="0"/>
                <w:numId w:val="12"/>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Secretion of recombinant proteins possible</w:t>
            </w:r>
          </w:p>
          <w:p w14:paraId="217EF176" w14:textId="1D885731" w:rsidR="006E6A7D" w:rsidRPr="007D4E49" w:rsidRDefault="006E6A7D" w:rsidP="007D4E49">
            <w:pPr>
              <w:pStyle w:val="Listenabsatz"/>
              <w:numPr>
                <w:ilvl w:val="0"/>
                <w:numId w:val="13"/>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Some proteolytic degradation possible</w:t>
            </w:r>
          </w:p>
        </w:tc>
        <w:tc>
          <w:tcPr>
            <w:tcW w:w="3347" w:type="dxa"/>
            <w:vAlign w:val="center"/>
          </w:tcPr>
          <w:p w14:paraId="63B37B24" w14:textId="77777777" w:rsidR="007D4E49" w:rsidRDefault="006E6A7D" w:rsidP="007D4E49">
            <w:pPr>
              <w:pStyle w:val="Listenabsatz"/>
              <w:numPr>
                <w:ilvl w:val="0"/>
                <w:numId w:val="14"/>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Extracellular protein production</w:t>
            </w:r>
          </w:p>
          <w:p w14:paraId="73B73D50" w14:textId="77777777" w:rsidR="007D4E49" w:rsidRDefault="006E6A7D" w:rsidP="007D4E49">
            <w:pPr>
              <w:pStyle w:val="Listenabsatz"/>
              <w:numPr>
                <w:ilvl w:val="0"/>
                <w:numId w:val="14"/>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IBs free, good solubility</w:t>
            </w:r>
          </w:p>
          <w:p w14:paraId="46FC667C" w14:textId="4EA038FE" w:rsidR="006E6A7D" w:rsidRPr="007D4E49" w:rsidRDefault="006E6A7D" w:rsidP="007D4E49">
            <w:pPr>
              <w:pStyle w:val="Listenabsatz"/>
              <w:numPr>
                <w:ilvl w:val="0"/>
                <w:numId w:val="14"/>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Efficient secretion</w:t>
            </w:r>
          </w:p>
          <w:p w14:paraId="5BF480A2" w14:textId="4F8F65CA" w:rsidR="006E6A7D" w:rsidRPr="007D4E49" w:rsidRDefault="006E6A7D" w:rsidP="007D4E49">
            <w:pPr>
              <w:pStyle w:val="Listenabsatz"/>
              <w:numPr>
                <w:ilvl w:val="0"/>
                <w:numId w:val="13"/>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Protease activity (protein degradation possible)</w:t>
            </w:r>
          </w:p>
        </w:tc>
        <w:tc>
          <w:tcPr>
            <w:tcW w:w="2026" w:type="dxa"/>
            <w:vAlign w:val="center"/>
          </w:tcPr>
          <w:p w14:paraId="3933E460" w14:textId="2D678A60" w:rsidR="00C1698D" w:rsidRDefault="006E6A7D" w:rsidP="007D4E49">
            <w:pPr>
              <w:jc w:val="center"/>
              <w:rPr>
                <w:rFonts w:ascii="Times New Roman" w:hAnsi="Times New Roman" w:cs="Times New Roman"/>
                <w:sz w:val="20"/>
                <w:szCs w:val="20"/>
                <w:lang w:val="en-US"/>
              </w:rPr>
            </w:pPr>
            <w:r w:rsidRPr="007C6F64">
              <w:rPr>
                <w:rFonts w:ascii="Times New Roman" w:hAnsi="Times New Roman" w:cs="Times New Roman"/>
                <w:sz w:val="20"/>
                <w:szCs w:val="20"/>
                <w:lang w:val="en-US"/>
              </w:rPr>
              <w:fldChar w:fldCharType="begin"/>
            </w:r>
            <w:r w:rsidR="00C1698D">
              <w:rPr>
                <w:rFonts w:ascii="Times New Roman" w:hAnsi="Times New Roman" w:cs="Times New Roman"/>
                <w:sz w:val="20"/>
                <w:szCs w:val="20"/>
                <w:lang w:val="en-US"/>
              </w:rPr>
              <w:instrText xml:space="preserve"> ADDIN ZOTERO_ITEM CSL_CITATION {"citationID":"pWHRK8FX","properties":{"formattedCitation":"(Meyer and Schmidhalter 2014; Sambrook, Fritsch, and Maniatis 2012; Dupuis 2024)","plainCitation":"(Meyer and Schmidhalter 2014; Sambrook, Fritsch, and Maniatis 2012; Dupuis 2024)","noteIndex":0},"citationItems":[{"id":3041,"uris":["http://zotero.org/users/11518316/items/IVUDYKEK"],"itemData":{"id":3041,"type":"book","event-place":"Weinheim","ISBN":"978-3-527-33547-3","language":"eng","number-of-pages":"612","publisher":"Wiley Blackwell/Wiley-VCH","publisher-place":"Weinheim","source":"K10plus ISBN","title":"Industrial scale suspension culture of living cells","editor":[{"family":"Meyer","given":"Hans-Peter"},{"family":"Schmidhalter","given":"Diego R."}],"issued":{"date-parts":[["2014"]]}}},{"id":3691,"uris":["http://zotero.org/users/11518316/items/WEMB83VL"],"itemData":{"id":3691,"type":"book","edition":"4. ed","event-place":"Cold Spring Harbor, NY","ISBN":"978-1-936113-42-2","language":"eng","publisher":"Cold Spring Harbor Laboratory Press","publisher-place":"Cold Spring Harbor, NY","source":"K10plus ISBN","title":"Molecular cloning. 3","author":[{"family":"Sambrook","given":"Joseph"},{"family":"Fritsch","given":"Edward F."},{"family":"Maniatis","given":"Thomas"}],"issued":{"date-parts":[["2012"]]}}},{"id":3544,"uris":["http://zotero.org/users/11518316/items/L2FNJ4TL"],"itemData":{"id":3544,"type":"chapter","container-title":"Cellular Agriculture","ISBN":"978-0-443-18767-4","language":"en","license":"https://www.elsevier.com/tdm/userlicense/1.0/","note":"DOI: 10.1016/B978-0-443-18767-4.00034-2","page":"295-310","publisher":"Elsevier","source":"DOI.org (Crossref)","title":"Introduction to fermentation technologies and techniques","URL":"https://linkinghub.elsevier.com/retrieve/pii/B9780443187674000342","author":[{"family":"Dupuis","given":"John H."}],"accessed":{"date-parts":[["2024",5,3]]},"issued":{"date-parts":[["2024"]]}}}],"schema":"https://github.com/citation-style-language/schema/raw/master/csl-citation.json"} </w:instrText>
            </w:r>
            <w:r w:rsidRPr="007C6F64">
              <w:rPr>
                <w:rFonts w:ascii="Times New Roman" w:hAnsi="Times New Roman" w:cs="Times New Roman"/>
                <w:sz w:val="20"/>
                <w:szCs w:val="20"/>
                <w:lang w:val="en-US"/>
              </w:rPr>
              <w:fldChar w:fldCharType="separate"/>
            </w:r>
            <w:r w:rsidR="00C1698D" w:rsidRPr="00C1698D">
              <w:rPr>
                <w:rFonts w:ascii="Times New Roman" w:hAnsi="Times New Roman" w:cs="Times New Roman"/>
                <w:sz w:val="20"/>
              </w:rPr>
              <w:t>(Meyer and Schmidhalter 2014; Sambrook, Fritsch, and Maniatis 2012; Dupuis 2024)</w:t>
            </w:r>
            <w:r w:rsidRPr="007C6F64">
              <w:rPr>
                <w:rFonts w:ascii="Times New Roman" w:hAnsi="Times New Roman" w:cs="Times New Roman"/>
                <w:sz w:val="20"/>
                <w:szCs w:val="20"/>
                <w:lang w:val="en-US"/>
              </w:rPr>
              <w:fldChar w:fldCharType="end"/>
            </w:r>
          </w:p>
          <w:p w14:paraId="0A9E559D" w14:textId="77777777" w:rsidR="00C1698D" w:rsidRPr="007C6F64" w:rsidRDefault="00C1698D" w:rsidP="007D4E49">
            <w:pPr>
              <w:jc w:val="center"/>
              <w:rPr>
                <w:rFonts w:ascii="Times New Roman" w:hAnsi="Times New Roman" w:cs="Times New Roman"/>
                <w:sz w:val="20"/>
                <w:szCs w:val="20"/>
                <w:lang w:val="en-US"/>
              </w:rPr>
            </w:pPr>
          </w:p>
          <w:p w14:paraId="2F1BE0A4" w14:textId="77777777" w:rsidR="006E6A7D" w:rsidRPr="007C6F64" w:rsidRDefault="006E6A7D" w:rsidP="007D4E49">
            <w:pPr>
              <w:jc w:val="center"/>
              <w:rPr>
                <w:rFonts w:ascii="Times New Roman" w:hAnsi="Times New Roman" w:cs="Times New Roman"/>
                <w:sz w:val="20"/>
                <w:szCs w:val="20"/>
                <w:lang w:val="en-US"/>
              </w:rPr>
            </w:pPr>
            <w:r w:rsidRPr="007C6F64">
              <w:rPr>
                <w:rFonts w:ascii="Times New Roman" w:hAnsi="Times New Roman" w:cs="Times New Roman"/>
                <w:sz w:val="20"/>
                <w:szCs w:val="20"/>
                <w:lang w:val="en-US"/>
              </w:rPr>
              <w:t>(</w:t>
            </w:r>
            <w:r w:rsidRPr="007C6F64">
              <w:rPr>
                <w:rFonts w:ascii="Times New Roman" w:hAnsi="Times New Roman" w:cs="Times New Roman"/>
                <w:sz w:val="20"/>
                <w:szCs w:val="20"/>
                <w:lang w:val="en-US"/>
              </w:rPr>
              <w:fldChar w:fldCharType="begin"/>
            </w:r>
            <w:r w:rsidRPr="007C6F64">
              <w:rPr>
                <w:rFonts w:ascii="Times New Roman" w:hAnsi="Times New Roman" w:cs="Times New Roman"/>
                <w:sz w:val="20"/>
                <w:szCs w:val="20"/>
                <w:lang w:val="en-US"/>
              </w:rPr>
              <w:instrText xml:space="preserve"> REF _Ref188867345 \h  \* MERGEFORMAT </w:instrText>
            </w:r>
            <w:r w:rsidRPr="007C6F64">
              <w:rPr>
                <w:rFonts w:ascii="Times New Roman" w:hAnsi="Times New Roman" w:cs="Times New Roman"/>
                <w:sz w:val="20"/>
                <w:szCs w:val="20"/>
                <w:lang w:val="en-US"/>
              </w:rPr>
            </w:r>
            <w:r w:rsidRPr="007C6F64">
              <w:rPr>
                <w:rFonts w:ascii="Times New Roman" w:hAnsi="Times New Roman" w:cs="Times New Roman"/>
                <w:sz w:val="20"/>
                <w:szCs w:val="20"/>
                <w:lang w:val="en-US"/>
              </w:rPr>
              <w:fldChar w:fldCharType="separate"/>
            </w:r>
            <w:r w:rsidRPr="007C6F64">
              <w:rPr>
                <w:rFonts w:ascii="Times New Roman" w:hAnsi="Times New Roman" w:cs="Times New Roman"/>
                <w:sz w:val="20"/>
                <w:szCs w:val="20"/>
                <w:lang w:val="en-US"/>
              </w:rPr>
              <w:t xml:space="preserve">Table </w:t>
            </w:r>
            <w:r w:rsidRPr="007C6F64">
              <w:rPr>
                <w:rFonts w:ascii="Times New Roman" w:hAnsi="Times New Roman" w:cs="Times New Roman"/>
                <w:noProof/>
                <w:sz w:val="20"/>
                <w:szCs w:val="20"/>
                <w:lang w:val="en-US"/>
              </w:rPr>
              <w:t>2</w:t>
            </w:r>
            <w:r w:rsidRPr="007C6F64">
              <w:rPr>
                <w:rFonts w:ascii="Times New Roman" w:hAnsi="Times New Roman" w:cs="Times New Roman"/>
                <w:sz w:val="20"/>
                <w:szCs w:val="20"/>
                <w:lang w:val="en-US"/>
              </w:rPr>
              <w:fldChar w:fldCharType="end"/>
            </w:r>
            <w:r w:rsidRPr="007C6F64">
              <w:rPr>
                <w:rFonts w:ascii="Times New Roman" w:hAnsi="Times New Roman" w:cs="Times New Roman"/>
                <w:sz w:val="20"/>
                <w:szCs w:val="20"/>
                <w:lang w:val="en-US"/>
              </w:rPr>
              <w:t>)</w:t>
            </w:r>
          </w:p>
        </w:tc>
      </w:tr>
      <w:tr w:rsidR="006E6A7D" w:rsidRPr="007C6F64" w14:paraId="6F7E0AD4" w14:textId="77777777" w:rsidTr="007D4E49">
        <w:trPr>
          <w:trHeight w:val="2679"/>
        </w:trPr>
        <w:tc>
          <w:tcPr>
            <w:tcW w:w="1838" w:type="dxa"/>
            <w:vAlign w:val="center"/>
          </w:tcPr>
          <w:p w14:paraId="3277A979" w14:textId="77777777" w:rsidR="006E6A7D" w:rsidRPr="007C6F64" w:rsidRDefault="006E6A7D" w:rsidP="00EF2305">
            <w:pPr>
              <w:jc w:val="center"/>
              <w:rPr>
                <w:rFonts w:ascii="Times New Roman" w:hAnsi="Times New Roman" w:cs="Times New Roman"/>
                <w:b/>
                <w:bCs/>
                <w:sz w:val="20"/>
                <w:szCs w:val="20"/>
                <w:lang w:val="en-US"/>
              </w:rPr>
            </w:pPr>
            <w:r w:rsidRPr="007C6F64">
              <w:rPr>
                <w:rFonts w:ascii="Times New Roman" w:hAnsi="Times New Roman" w:cs="Times New Roman"/>
                <w:b/>
                <w:bCs/>
                <w:sz w:val="20"/>
                <w:szCs w:val="20"/>
                <w:lang w:val="en-US"/>
              </w:rPr>
              <w:lastRenderedPageBreak/>
              <w:t>PTMs, protein folding</w:t>
            </w:r>
          </w:p>
        </w:tc>
        <w:tc>
          <w:tcPr>
            <w:tcW w:w="3773" w:type="dxa"/>
            <w:vAlign w:val="center"/>
          </w:tcPr>
          <w:p w14:paraId="0AA29BCC" w14:textId="77777777" w:rsidR="007D4E49" w:rsidRDefault="006E6A7D" w:rsidP="007D4E49">
            <w:pPr>
              <w:pStyle w:val="Listenabsatz"/>
              <w:numPr>
                <w:ilvl w:val="0"/>
                <w:numId w:val="13"/>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No natural PTMs (potential need of specific e.g., phosphorylation systems (</w:t>
            </w:r>
            <w:r w:rsidRPr="007D4E49">
              <w:rPr>
                <w:rFonts w:ascii="Times New Roman" w:hAnsi="Times New Roman" w:cs="Times New Roman"/>
                <w:i/>
                <w:iCs/>
                <w:sz w:val="20"/>
                <w:szCs w:val="20"/>
                <w:lang w:val="en-US"/>
              </w:rPr>
              <w:t xml:space="preserve">E. coli </w:t>
            </w:r>
            <w:r w:rsidRPr="007D4E49">
              <w:rPr>
                <w:rFonts w:ascii="Times New Roman" w:hAnsi="Times New Roman" w:cs="Times New Roman"/>
                <w:sz w:val="20"/>
                <w:szCs w:val="20"/>
                <w:lang w:val="en-US"/>
              </w:rPr>
              <w:t>B95</w:t>
            </w:r>
            <w:r w:rsidRPr="007D4E49">
              <w:rPr>
                <w:rFonts w:ascii="Times New Roman" w:eastAsia="Times New Roman" w:hAnsi="Times New Roman" w:cs="Times New Roman"/>
                <w:kern w:val="0"/>
                <w:sz w:val="20"/>
                <w:szCs w:val="20"/>
                <w:lang w:val="en-US" w:eastAsia="de-DE"/>
                <w14:ligatures w14:val="none"/>
              </w:rPr>
              <w:t xml:space="preserve">(DE3) ΔA </w:t>
            </w:r>
            <w:proofErr w:type="spellStart"/>
            <w:r w:rsidRPr="007D4E49">
              <w:rPr>
                <w:rFonts w:ascii="Times New Roman" w:eastAsia="Times New Roman" w:hAnsi="Times New Roman" w:cs="Times New Roman"/>
                <w:kern w:val="0"/>
                <w:sz w:val="20"/>
                <w:szCs w:val="20"/>
                <w:lang w:val="en-US" w:eastAsia="de-DE"/>
                <w14:ligatures w14:val="none"/>
              </w:rPr>
              <w:t>ΔfabR</w:t>
            </w:r>
            <w:proofErr w:type="spellEnd"/>
            <w:r w:rsidRPr="007D4E49">
              <w:rPr>
                <w:rFonts w:ascii="Times New Roman" w:eastAsia="Times New Roman" w:hAnsi="Times New Roman" w:cs="Times New Roman"/>
                <w:kern w:val="0"/>
                <w:sz w:val="20"/>
                <w:szCs w:val="20"/>
                <w:lang w:val="en-US" w:eastAsia="de-DE"/>
                <w14:ligatures w14:val="none"/>
              </w:rPr>
              <w:t xml:space="preserve"> </w:t>
            </w:r>
            <w:proofErr w:type="spellStart"/>
            <w:r w:rsidRPr="007D4E49">
              <w:rPr>
                <w:rFonts w:ascii="Times New Roman" w:eastAsia="Times New Roman" w:hAnsi="Times New Roman" w:cs="Times New Roman"/>
                <w:kern w:val="0"/>
                <w:sz w:val="20"/>
                <w:szCs w:val="20"/>
                <w:lang w:val="en-US" w:eastAsia="de-DE"/>
                <w14:ligatures w14:val="none"/>
              </w:rPr>
              <w:t>ΔserB</w:t>
            </w:r>
            <w:proofErr w:type="spellEnd"/>
            <w:r w:rsidRPr="007D4E49">
              <w:rPr>
                <w:rFonts w:ascii="Times New Roman" w:hAnsi="Times New Roman" w:cs="Times New Roman"/>
                <w:sz w:val="20"/>
                <w:szCs w:val="20"/>
                <w:lang w:val="en-US"/>
              </w:rPr>
              <w:t>))</w:t>
            </w:r>
          </w:p>
          <w:p w14:paraId="1C283224" w14:textId="2A188B3E" w:rsidR="006E6A7D" w:rsidRPr="007D4E49" w:rsidRDefault="006E6A7D" w:rsidP="007D4E49">
            <w:pPr>
              <w:pStyle w:val="Listenabsatz"/>
              <w:numPr>
                <w:ilvl w:val="0"/>
                <w:numId w:val="13"/>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Large proteins may fold improperly (need of chaperones (e.g. Shuffle™ (Express))</w:t>
            </w:r>
          </w:p>
        </w:tc>
        <w:tc>
          <w:tcPr>
            <w:tcW w:w="3293" w:type="dxa"/>
            <w:vAlign w:val="center"/>
          </w:tcPr>
          <w:p w14:paraId="101CD616" w14:textId="77777777" w:rsidR="007D4E49" w:rsidRDefault="006E6A7D" w:rsidP="007D4E49">
            <w:pPr>
              <w:pStyle w:val="Listenabsatz"/>
              <w:numPr>
                <w:ilvl w:val="0"/>
                <w:numId w:val="15"/>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Many PTMs</w:t>
            </w:r>
            <w:r w:rsidR="00C1698D" w:rsidRPr="007D4E49">
              <w:rPr>
                <w:rFonts w:ascii="Times New Roman" w:hAnsi="Times New Roman" w:cs="Times New Roman"/>
                <w:sz w:val="20"/>
                <w:szCs w:val="20"/>
                <w:lang w:val="en-US"/>
              </w:rPr>
              <w:t>,</w:t>
            </w:r>
            <w:r w:rsidRPr="007D4E49">
              <w:rPr>
                <w:rFonts w:ascii="Times New Roman" w:hAnsi="Times New Roman" w:cs="Times New Roman"/>
                <w:sz w:val="20"/>
                <w:szCs w:val="20"/>
                <w:lang w:val="en-US"/>
              </w:rPr>
              <w:t xml:space="preserve"> including disulfide bridge formation, glycosylation, and phosphorylation</w:t>
            </w:r>
          </w:p>
          <w:p w14:paraId="363CB914" w14:textId="3D4DCCD4" w:rsidR="006E6A7D" w:rsidRPr="007D4E49" w:rsidRDefault="007D4E49" w:rsidP="007D4E49">
            <w:pPr>
              <w:pStyle w:val="Listenabsatz"/>
              <w:numPr>
                <w:ilvl w:val="0"/>
                <w:numId w:val="15"/>
              </w:numPr>
              <w:ind w:left="517"/>
              <w:rPr>
                <w:rFonts w:ascii="Times New Roman" w:hAnsi="Times New Roman" w:cs="Times New Roman"/>
                <w:sz w:val="20"/>
                <w:szCs w:val="20"/>
                <w:lang w:val="en-US"/>
              </w:rPr>
            </w:pPr>
            <w:r>
              <w:rPr>
                <w:rFonts w:ascii="Times New Roman" w:hAnsi="Times New Roman" w:cs="Times New Roman"/>
                <w:sz w:val="20"/>
                <w:szCs w:val="20"/>
                <w:lang w:val="en-US"/>
              </w:rPr>
              <w:t>I</w:t>
            </w:r>
            <w:r w:rsidR="006E6A7D" w:rsidRPr="007D4E49">
              <w:rPr>
                <w:rFonts w:ascii="Times New Roman" w:hAnsi="Times New Roman" w:cs="Times New Roman"/>
                <w:sz w:val="20"/>
                <w:szCs w:val="20"/>
                <w:lang w:val="en-US"/>
              </w:rPr>
              <w:t>mproved folding of large proteins</w:t>
            </w:r>
          </w:p>
          <w:p w14:paraId="062F2CB7" w14:textId="77777777" w:rsidR="007D4E49" w:rsidRDefault="006E6A7D" w:rsidP="007D4E49">
            <w:pPr>
              <w:pStyle w:val="Listenabsatz"/>
              <w:numPr>
                <w:ilvl w:val="0"/>
                <w:numId w:val="16"/>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Proteins can be core glycosylated (high-mannose type)</w:t>
            </w:r>
          </w:p>
          <w:p w14:paraId="3A455F40" w14:textId="44121EAA" w:rsidR="006E6A7D" w:rsidRPr="007D4E49" w:rsidRDefault="006E6A7D" w:rsidP="007D4E49">
            <w:pPr>
              <w:pStyle w:val="Listenabsatz"/>
              <w:numPr>
                <w:ilvl w:val="0"/>
                <w:numId w:val="16"/>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Inability to perform complex PTMs</w:t>
            </w:r>
          </w:p>
        </w:tc>
        <w:tc>
          <w:tcPr>
            <w:tcW w:w="3347" w:type="dxa"/>
            <w:vAlign w:val="center"/>
          </w:tcPr>
          <w:p w14:paraId="09E8B857" w14:textId="77777777" w:rsidR="007D4E49" w:rsidRDefault="006E6A7D" w:rsidP="007D4E49">
            <w:pPr>
              <w:pStyle w:val="Listenabsatz"/>
              <w:numPr>
                <w:ilvl w:val="0"/>
                <w:numId w:val="17"/>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Many PTMs, including disulfide bonds and glycosylation</w:t>
            </w:r>
          </w:p>
          <w:p w14:paraId="1E3C17AE" w14:textId="57A256CC" w:rsidR="006E6A7D" w:rsidRPr="007D4E49" w:rsidRDefault="006E6A7D" w:rsidP="007D4E49">
            <w:pPr>
              <w:pStyle w:val="Listenabsatz"/>
              <w:numPr>
                <w:ilvl w:val="0"/>
                <w:numId w:val="17"/>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Good protein folding</w:t>
            </w:r>
          </w:p>
          <w:p w14:paraId="0265212B" w14:textId="2316CEAD" w:rsidR="006E6A7D" w:rsidRPr="007D4E49" w:rsidRDefault="006E6A7D" w:rsidP="007D4E49">
            <w:pPr>
              <w:pStyle w:val="Listenabsatz"/>
              <w:numPr>
                <w:ilvl w:val="0"/>
                <w:numId w:val="18"/>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Different glycosylated patterns possible (</w:t>
            </w:r>
            <w:r w:rsidR="00C1698D" w:rsidRPr="007D4E49">
              <w:rPr>
                <w:rFonts w:ascii="Times New Roman" w:hAnsi="Times New Roman" w:cs="Times New Roman"/>
                <w:sz w:val="20"/>
                <w:szCs w:val="20"/>
                <w:lang w:val="en-US"/>
              </w:rPr>
              <w:t xml:space="preserve">e.g. </w:t>
            </w:r>
            <w:proofErr w:type="spellStart"/>
            <w:r w:rsidRPr="007D4E49">
              <w:rPr>
                <w:rFonts w:ascii="Times New Roman" w:hAnsi="Times New Roman" w:cs="Times New Roman"/>
                <w:sz w:val="20"/>
                <w:szCs w:val="20"/>
                <w:lang w:val="en-US"/>
              </w:rPr>
              <w:t>hyperglycosylation</w:t>
            </w:r>
            <w:proofErr w:type="spellEnd"/>
            <w:r w:rsidRPr="007D4E49">
              <w:rPr>
                <w:rFonts w:ascii="Times New Roman" w:hAnsi="Times New Roman" w:cs="Times New Roman"/>
                <w:sz w:val="20"/>
                <w:szCs w:val="20"/>
                <w:lang w:val="en-US"/>
              </w:rPr>
              <w:t>)</w:t>
            </w:r>
          </w:p>
        </w:tc>
        <w:tc>
          <w:tcPr>
            <w:tcW w:w="2026" w:type="dxa"/>
            <w:vAlign w:val="center"/>
          </w:tcPr>
          <w:p w14:paraId="7EA3078B" w14:textId="69596DB3" w:rsidR="006E6A7D" w:rsidRDefault="006E6A7D" w:rsidP="007D4E49">
            <w:pPr>
              <w:jc w:val="center"/>
              <w:rPr>
                <w:rFonts w:ascii="Times New Roman" w:hAnsi="Times New Roman" w:cs="Times New Roman"/>
                <w:sz w:val="20"/>
                <w:szCs w:val="20"/>
                <w:lang w:val="en-US"/>
              </w:rPr>
            </w:pPr>
            <w:r w:rsidRPr="007C6F64">
              <w:rPr>
                <w:rFonts w:ascii="Times New Roman" w:hAnsi="Times New Roman" w:cs="Times New Roman"/>
                <w:sz w:val="20"/>
                <w:szCs w:val="20"/>
                <w:lang w:val="en-US"/>
              </w:rPr>
              <w:fldChar w:fldCharType="begin"/>
            </w:r>
            <w:r w:rsidR="00C1698D">
              <w:rPr>
                <w:rFonts w:ascii="Times New Roman" w:hAnsi="Times New Roman" w:cs="Times New Roman"/>
                <w:sz w:val="20"/>
                <w:szCs w:val="20"/>
                <w:lang w:val="en-US"/>
              </w:rPr>
              <w:instrText xml:space="preserve"> ADDIN ZOTERO_ITEM CSL_CITATION {"citationID":"v1jabLnP","properties":{"formattedCitation":"(Knychala et al. 2024; Meyer and Schmidhalter 2014; Sambrook, Fritsch, and Maniatis 2012)","plainCitation":"(Knychala et al. 2024; Meyer and Schmidhalter 2014; Sambrook, Fritsch, and Maniatis 2012)","noteIndex":0},"citationItems":[{"id":3998,"uris":["http://zotero.org/users/11518316/items/22NVKNZK"],"itemData":{"id":3998,"type":"article-journal","abstract":"The global food production system faces several challenges, including significant environmental impacts due to traditional agricultural practices. The rising demands of consumers for food products that are safe, healthy, and have animal welfare standards have led to an increased interest in alternative proteins and the development of the cellular agriculture field. Within this innovative field, precision fermentation has emerged as a promising technological solution to produce proteins with reduced ecological footprints. This review provides a summary of the environmental impacts related to the current global food production, and explores how precision fermentation can contribute to address these issues. Additionally, we report on the main animal-derived proteins produced by precision fermentation, with a particular focus on those used in the food and nutraceutical industries. The general principles of precision fermentation will be explained, including strain and bioprocess optimization. Examples of efficient recombinant protein production by bacteria and yeasts, such as milk proteins, egg-white proteins, structural and flavoring proteins, will also be addressed, along with case examples of companies producing these recombinant proteins at a commercial scale. Through these examples, we explore how precision fermentation supports sustainable food production and holds the potential for significant innovations in the sector.","container-title":"Fermentation","DOI":"10.3390/fermentation10060315","ISSN":"2311-5637","issue":"6","journalAbbreviation":"Fermentation","language":"en","license":"https://creativecommons.org/licenses/by/4.0/","page":"315","source":"DOI.org (Crossref)","title":"Precision Fermentation as an Alternative to Animal Protein, a Review","volume":"10","author":[{"family":"Knychala","given":"Marilia M."},{"family":"Boing","given":"Larissa A."},{"family":"Ienczak","given":"Jaciane L."},{"family":"Trichez","given":"Débora"},{"family":"Stambuk","given":"Boris U."}],"issued":{"date-parts":[["2024",6,14]]}}},{"id":3041,"uris":["http://zotero.org/users/11518316/items/IVUDYKEK"],"itemData":{"id":3041,"type":"book","event-place":"Weinheim","ISBN":"978-3-527-33547-3","language":"eng","number-of-pages":"612","publisher":"Wiley Blackwell/Wiley-VCH","publisher-place":"Weinheim","source":"K10plus ISBN","title":"Industrial scale suspension culture of living cells","editor":[{"family":"Meyer","given":"Hans-Peter"},{"family":"Schmidhalter","given":"Diego R."}],"issued":{"date-parts":[["2014"]]}}},{"id":3691,"uris":["http://zotero.org/users/11518316/items/WEMB83VL"],"itemData":{"id":3691,"type":"book","edition":"4. ed","event-place":"Cold Spring Harbor, NY","ISBN":"978-1-936113-42-2","language":"eng","publisher":"Cold Spring Harbor Laboratory Press","publisher-place":"Cold Spring Harbor, NY","source":"K10plus ISBN","title":"Molecular cloning. 3","author":[{"family":"Sambrook","given":"Joseph"},{"family":"Fritsch","given":"Edward F."},{"family":"Maniatis","given":"Thomas"}],"issued":{"date-parts":[["2012"]]}}}],"schema":"https://github.com/citation-style-language/schema/raw/master/csl-citation.json"} </w:instrText>
            </w:r>
            <w:r w:rsidRPr="007C6F64">
              <w:rPr>
                <w:rFonts w:ascii="Times New Roman" w:hAnsi="Times New Roman" w:cs="Times New Roman"/>
                <w:sz w:val="20"/>
                <w:szCs w:val="20"/>
                <w:lang w:val="en-US"/>
              </w:rPr>
              <w:fldChar w:fldCharType="separate"/>
            </w:r>
            <w:r w:rsidR="00C1698D" w:rsidRPr="00C1698D">
              <w:rPr>
                <w:rFonts w:ascii="Times New Roman" w:hAnsi="Times New Roman" w:cs="Times New Roman"/>
                <w:sz w:val="20"/>
              </w:rPr>
              <w:t>(Knychala et al. 2024; Meyer and Schmidhalter 2014; Sambrook, Fritsch, and Maniatis 2012)</w:t>
            </w:r>
            <w:r w:rsidRPr="007C6F64">
              <w:rPr>
                <w:rFonts w:ascii="Times New Roman" w:hAnsi="Times New Roman" w:cs="Times New Roman"/>
                <w:sz w:val="20"/>
                <w:szCs w:val="20"/>
                <w:lang w:val="en-US"/>
              </w:rPr>
              <w:fldChar w:fldCharType="end"/>
            </w:r>
          </w:p>
          <w:p w14:paraId="685900C3" w14:textId="77777777" w:rsidR="00C1698D" w:rsidRDefault="00C1698D" w:rsidP="007D4E49">
            <w:pPr>
              <w:jc w:val="center"/>
              <w:rPr>
                <w:rFonts w:ascii="Times New Roman" w:hAnsi="Times New Roman" w:cs="Times New Roman"/>
                <w:sz w:val="20"/>
                <w:szCs w:val="20"/>
                <w:lang w:val="en-US"/>
              </w:rPr>
            </w:pPr>
          </w:p>
          <w:p w14:paraId="7CB60F83" w14:textId="74FDC48A" w:rsidR="00C1698D" w:rsidRPr="007C6F64" w:rsidRDefault="00C1698D" w:rsidP="007D4E49">
            <w:pPr>
              <w:jc w:val="center"/>
              <w:rPr>
                <w:rFonts w:ascii="Times New Roman" w:hAnsi="Times New Roman" w:cs="Times New Roman"/>
                <w:sz w:val="20"/>
                <w:szCs w:val="20"/>
                <w:lang w:val="en-US"/>
              </w:rPr>
            </w:pPr>
            <w:r>
              <w:rPr>
                <w:rFonts w:ascii="Times New Roman" w:hAnsi="Times New Roman" w:cs="Times New Roman"/>
                <w:sz w:val="20"/>
                <w:szCs w:val="20"/>
                <w:lang w:val="en-US"/>
              </w:rPr>
              <w:t>(Table 3)</w:t>
            </w:r>
          </w:p>
        </w:tc>
      </w:tr>
      <w:tr w:rsidR="006E6A7D" w:rsidRPr="007C6F64" w14:paraId="7C9E98DC" w14:textId="77777777" w:rsidTr="007D4E49">
        <w:tc>
          <w:tcPr>
            <w:tcW w:w="1838" w:type="dxa"/>
            <w:vAlign w:val="center"/>
          </w:tcPr>
          <w:p w14:paraId="517249B2" w14:textId="77777777" w:rsidR="006E6A7D" w:rsidRPr="007C6F64" w:rsidRDefault="006E6A7D" w:rsidP="00EF2305">
            <w:pPr>
              <w:jc w:val="center"/>
              <w:rPr>
                <w:rFonts w:ascii="Times New Roman" w:hAnsi="Times New Roman" w:cs="Times New Roman"/>
                <w:b/>
                <w:bCs/>
                <w:sz w:val="20"/>
                <w:szCs w:val="20"/>
                <w:lang w:val="en-US"/>
              </w:rPr>
            </w:pPr>
            <w:r w:rsidRPr="007C6F64">
              <w:rPr>
                <w:rFonts w:ascii="Times New Roman" w:hAnsi="Times New Roman" w:cs="Times New Roman"/>
                <w:b/>
                <w:bCs/>
                <w:sz w:val="20"/>
                <w:szCs w:val="20"/>
                <w:lang w:val="en-US"/>
              </w:rPr>
              <w:t>System robustness, endotoxins</w:t>
            </w:r>
          </w:p>
        </w:tc>
        <w:tc>
          <w:tcPr>
            <w:tcW w:w="3773" w:type="dxa"/>
            <w:vAlign w:val="center"/>
          </w:tcPr>
          <w:p w14:paraId="2882140C" w14:textId="6C2D66AF" w:rsidR="006E6A7D" w:rsidRPr="007D4E49" w:rsidRDefault="006E6A7D" w:rsidP="007D4E49">
            <w:pPr>
              <w:pStyle w:val="Listenabsatz"/>
              <w:numPr>
                <w:ilvl w:val="0"/>
                <w:numId w:val="19"/>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Robust system</w:t>
            </w:r>
          </w:p>
          <w:p w14:paraId="2147D6CB" w14:textId="206D1852" w:rsidR="006E6A7D" w:rsidRPr="007D4E49" w:rsidRDefault="006E6A7D" w:rsidP="007D4E49">
            <w:pPr>
              <w:pStyle w:val="Listenabsatz"/>
              <w:numPr>
                <w:ilvl w:val="0"/>
                <w:numId w:val="18"/>
              </w:numPr>
              <w:ind w:left="484"/>
              <w:rPr>
                <w:rFonts w:ascii="Times New Roman" w:hAnsi="Times New Roman" w:cs="Times New Roman"/>
                <w:sz w:val="20"/>
                <w:szCs w:val="20"/>
                <w:lang w:val="en-US"/>
              </w:rPr>
            </w:pPr>
            <w:r w:rsidRPr="007D4E49">
              <w:rPr>
                <w:rFonts w:ascii="Times New Roman" w:hAnsi="Times New Roman" w:cs="Times New Roman"/>
                <w:sz w:val="20"/>
                <w:szCs w:val="20"/>
                <w:lang w:val="en-US"/>
              </w:rPr>
              <w:t>Endotoxin production possible</w:t>
            </w:r>
          </w:p>
        </w:tc>
        <w:tc>
          <w:tcPr>
            <w:tcW w:w="3293" w:type="dxa"/>
            <w:vAlign w:val="center"/>
          </w:tcPr>
          <w:p w14:paraId="01C1B2B7" w14:textId="77777777" w:rsidR="007D4E49" w:rsidRDefault="006E6A7D" w:rsidP="007D4E49">
            <w:pPr>
              <w:pStyle w:val="Listenabsatz"/>
              <w:numPr>
                <w:ilvl w:val="0"/>
                <w:numId w:val="19"/>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Good robustness</w:t>
            </w:r>
          </w:p>
          <w:p w14:paraId="52B4B889" w14:textId="77777777" w:rsidR="007D4E49" w:rsidRDefault="006E6A7D" w:rsidP="007D4E49">
            <w:pPr>
              <w:pStyle w:val="Listenabsatz"/>
              <w:numPr>
                <w:ilvl w:val="0"/>
                <w:numId w:val="19"/>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Tolerates harsh conditions</w:t>
            </w:r>
          </w:p>
          <w:p w14:paraId="2E6B22C4" w14:textId="679C4E7A" w:rsidR="006E6A7D" w:rsidRPr="007D4E49" w:rsidRDefault="006E6A7D" w:rsidP="007D4E49">
            <w:pPr>
              <w:pStyle w:val="Listenabsatz"/>
              <w:numPr>
                <w:ilvl w:val="0"/>
                <w:numId w:val="19"/>
              </w:numPr>
              <w:ind w:left="517"/>
              <w:rPr>
                <w:rFonts w:ascii="Times New Roman" w:hAnsi="Times New Roman" w:cs="Times New Roman"/>
                <w:sz w:val="20"/>
                <w:szCs w:val="20"/>
                <w:lang w:val="en-US"/>
              </w:rPr>
            </w:pPr>
            <w:r w:rsidRPr="007D4E49">
              <w:rPr>
                <w:rFonts w:ascii="Times New Roman" w:hAnsi="Times New Roman" w:cs="Times New Roman"/>
                <w:sz w:val="20"/>
                <w:szCs w:val="20"/>
                <w:lang w:val="en-US"/>
              </w:rPr>
              <w:t>No endotoxins</w:t>
            </w:r>
          </w:p>
        </w:tc>
        <w:tc>
          <w:tcPr>
            <w:tcW w:w="3347" w:type="dxa"/>
            <w:vAlign w:val="center"/>
          </w:tcPr>
          <w:p w14:paraId="5F218973" w14:textId="0FA5F8FE" w:rsidR="006E6A7D" w:rsidRPr="007D4E49" w:rsidRDefault="006E6A7D" w:rsidP="007D4E49">
            <w:pPr>
              <w:pStyle w:val="Listenabsatz"/>
              <w:numPr>
                <w:ilvl w:val="0"/>
                <w:numId w:val="19"/>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Robust system</w:t>
            </w:r>
          </w:p>
          <w:p w14:paraId="24A2EF39" w14:textId="25AF8934" w:rsidR="006E6A7D" w:rsidRPr="007D4E49" w:rsidRDefault="006E6A7D" w:rsidP="007D4E49">
            <w:pPr>
              <w:pStyle w:val="Listenabsatz"/>
              <w:numPr>
                <w:ilvl w:val="0"/>
                <w:numId w:val="18"/>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No endotoxin production (aflatoxin)</w:t>
            </w:r>
          </w:p>
        </w:tc>
        <w:tc>
          <w:tcPr>
            <w:tcW w:w="2026" w:type="dxa"/>
            <w:vAlign w:val="center"/>
          </w:tcPr>
          <w:p w14:paraId="19C02D82" w14:textId="72166239" w:rsidR="006E6A7D" w:rsidRPr="007C6F64" w:rsidRDefault="006E6A7D" w:rsidP="007D4E49">
            <w:pPr>
              <w:jc w:val="center"/>
              <w:rPr>
                <w:rFonts w:ascii="Times New Roman" w:hAnsi="Times New Roman" w:cs="Times New Roman"/>
                <w:sz w:val="20"/>
                <w:szCs w:val="20"/>
                <w:lang w:val="en-US"/>
              </w:rPr>
            </w:pPr>
            <w:r w:rsidRPr="007C6F64">
              <w:rPr>
                <w:rFonts w:ascii="Times New Roman" w:hAnsi="Times New Roman" w:cs="Times New Roman"/>
                <w:sz w:val="20"/>
                <w:szCs w:val="20"/>
                <w:lang w:val="en-US"/>
              </w:rPr>
              <w:fldChar w:fldCharType="begin"/>
            </w:r>
            <w:r w:rsidR="00C1698D">
              <w:rPr>
                <w:rFonts w:ascii="Times New Roman" w:hAnsi="Times New Roman" w:cs="Times New Roman"/>
                <w:sz w:val="20"/>
                <w:szCs w:val="20"/>
                <w:lang w:val="en-US"/>
              </w:rPr>
              <w:instrText xml:space="preserve"> ADDIN ZOTERO_ITEM CSL_CITATION {"citationID":"LiEYIuVL","properties":{"formattedCitation":"(Meyer and Schmidhalter 2014)","plainCitation":"(Meyer and Schmidhalter 2014)","noteIndex":0},"citationItems":[{"id":3041,"uris":["http://zotero.org/users/11518316/items/IVUDYKEK"],"itemData":{"id":3041,"type":"book","event-place":"Weinheim","ISBN":"978-3-527-33547-3","language":"eng","number-of-pages":"612","publisher":"Wiley Blackwell/Wiley-VCH","publisher-place":"Weinheim","source":"K10plus ISBN","title":"Industrial scale suspension culture of living cells","editor":[{"family":"Meyer","given":"Hans-Peter"},{"family":"Schmidhalter","given":"Diego R."}],"issued":{"date-parts":[["2014"]]}}}],"schema":"https://github.com/citation-style-language/schema/raw/master/csl-citation.json"} </w:instrText>
            </w:r>
            <w:r w:rsidRPr="007C6F64">
              <w:rPr>
                <w:rFonts w:ascii="Times New Roman" w:hAnsi="Times New Roman" w:cs="Times New Roman"/>
                <w:sz w:val="20"/>
                <w:szCs w:val="20"/>
                <w:lang w:val="en-US"/>
              </w:rPr>
              <w:fldChar w:fldCharType="separate"/>
            </w:r>
            <w:r w:rsidR="00C1698D" w:rsidRPr="00C1698D">
              <w:rPr>
                <w:rFonts w:ascii="Times New Roman" w:hAnsi="Times New Roman" w:cs="Times New Roman"/>
                <w:sz w:val="20"/>
              </w:rPr>
              <w:t>(Meyer and Schmidhalter 2014)</w:t>
            </w:r>
            <w:r w:rsidRPr="007C6F64">
              <w:rPr>
                <w:rFonts w:ascii="Times New Roman" w:hAnsi="Times New Roman" w:cs="Times New Roman"/>
                <w:sz w:val="20"/>
                <w:szCs w:val="20"/>
                <w:lang w:val="en-US"/>
              </w:rPr>
              <w:fldChar w:fldCharType="end"/>
            </w:r>
          </w:p>
        </w:tc>
      </w:tr>
      <w:tr w:rsidR="00C1698D" w:rsidRPr="007C6F64" w14:paraId="0126065A" w14:textId="77777777" w:rsidTr="007D4E49">
        <w:trPr>
          <w:trHeight w:val="1691"/>
        </w:trPr>
        <w:tc>
          <w:tcPr>
            <w:tcW w:w="1838" w:type="dxa"/>
            <w:vAlign w:val="center"/>
          </w:tcPr>
          <w:p w14:paraId="6B5B1872" w14:textId="2B4DEF9C" w:rsidR="00C1698D" w:rsidRPr="007C6F64" w:rsidRDefault="00C1698D" w:rsidP="00EF2305">
            <w:pPr>
              <w:jc w:val="center"/>
              <w:rPr>
                <w:rFonts w:ascii="Times New Roman" w:hAnsi="Times New Roman" w:cs="Times New Roman"/>
                <w:b/>
                <w:bCs/>
                <w:color w:val="0070C0"/>
                <w:sz w:val="20"/>
                <w:szCs w:val="20"/>
                <w:lang w:val="en-US"/>
              </w:rPr>
            </w:pPr>
            <w:r w:rsidRPr="00C1698D">
              <w:rPr>
                <w:rFonts w:ascii="Times New Roman" w:hAnsi="Times New Roman" w:cs="Times New Roman"/>
                <w:b/>
                <w:bCs/>
                <w:sz w:val="20"/>
                <w:szCs w:val="20"/>
                <w:lang w:val="en-US"/>
              </w:rPr>
              <w:t>Cost, equipment, cell maintenance</w:t>
            </w:r>
          </w:p>
        </w:tc>
        <w:tc>
          <w:tcPr>
            <w:tcW w:w="7066" w:type="dxa"/>
            <w:gridSpan w:val="2"/>
            <w:vAlign w:val="center"/>
          </w:tcPr>
          <w:p w14:paraId="2C2844D8" w14:textId="77777777" w:rsidR="007D4E49" w:rsidRDefault="00C1698D" w:rsidP="007D4E49">
            <w:pPr>
              <w:pStyle w:val="Listenabsatz"/>
              <w:numPr>
                <w:ilvl w:val="0"/>
                <w:numId w:val="19"/>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Low-cost and simple media (e.g. glucose)</w:t>
            </w:r>
          </w:p>
          <w:p w14:paraId="31E0B990" w14:textId="77777777" w:rsidR="007D4E49" w:rsidRDefault="00C1698D" w:rsidP="007D4E49">
            <w:pPr>
              <w:pStyle w:val="Listenabsatz"/>
              <w:numPr>
                <w:ilvl w:val="0"/>
                <w:numId w:val="19"/>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Low-cost production</w:t>
            </w:r>
          </w:p>
          <w:p w14:paraId="04FFBFBC" w14:textId="645F2A25" w:rsidR="00C1698D" w:rsidRPr="007D4E49" w:rsidRDefault="00C1698D" w:rsidP="007D4E49">
            <w:pPr>
              <w:pStyle w:val="Listenabsatz"/>
              <w:numPr>
                <w:ilvl w:val="0"/>
                <w:numId w:val="19"/>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Easy cell maintenance</w:t>
            </w:r>
          </w:p>
          <w:p w14:paraId="3197CD84" w14:textId="2C8CF9BA" w:rsidR="00C1698D" w:rsidRPr="007D4E49" w:rsidRDefault="00C1698D" w:rsidP="007D4E49">
            <w:pPr>
              <w:pStyle w:val="Listenabsatz"/>
              <w:numPr>
                <w:ilvl w:val="0"/>
                <w:numId w:val="18"/>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Intensive CAPEX (e.g., for bioreactor)</w:t>
            </w:r>
          </w:p>
        </w:tc>
        <w:tc>
          <w:tcPr>
            <w:tcW w:w="3347" w:type="dxa"/>
            <w:vAlign w:val="center"/>
          </w:tcPr>
          <w:p w14:paraId="27B400CB" w14:textId="298A3CB6" w:rsidR="00C1698D" w:rsidRPr="007D4E49" w:rsidRDefault="00C1698D" w:rsidP="007D4E49">
            <w:pPr>
              <w:pStyle w:val="Listenabsatz"/>
              <w:numPr>
                <w:ilvl w:val="0"/>
                <w:numId w:val="20"/>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Cheap media (e.g. lignocellulose)</w:t>
            </w:r>
          </w:p>
          <w:p w14:paraId="2EAA7597" w14:textId="77777777" w:rsidR="007D4E49" w:rsidRDefault="00C1698D" w:rsidP="007D4E49">
            <w:pPr>
              <w:pStyle w:val="Listenabsatz"/>
              <w:numPr>
                <w:ilvl w:val="0"/>
                <w:numId w:val="18"/>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Requires more specialized equipment</w:t>
            </w:r>
          </w:p>
          <w:p w14:paraId="0F4054C6" w14:textId="77777777" w:rsidR="007D4E49" w:rsidRDefault="00C1698D" w:rsidP="007D4E49">
            <w:pPr>
              <w:pStyle w:val="Listenabsatz"/>
              <w:numPr>
                <w:ilvl w:val="0"/>
                <w:numId w:val="18"/>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Intensive CAPEX (e.g., for bioreactor)</w:t>
            </w:r>
          </w:p>
          <w:p w14:paraId="7280A334" w14:textId="78DB4704" w:rsidR="00C1698D" w:rsidRPr="007D4E49" w:rsidRDefault="00C1698D" w:rsidP="007D4E49">
            <w:pPr>
              <w:pStyle w:val="Listenabsatz"/>
              <w:numPr>
                <w:ilvl w:val="0"/>
                <w:numId w:val="18"/>
              </w:numPr>
              <w:ind w:left="478"/>
              <w:rPr>
                <w:rFonts w:ascii="Times New Roman" w:hAnsi="Times New Roman" w:cs="Times New Roman"/>
                <w:sz w:val="20"/>
                <w:szCs w:val="20"/>
                <w:lang w:val="en-US"/>
              </w:rPr>
            </w:pPr>
            <w:r w:rsidRPr="007D4E49">
              <w:rPr>
                <w:rFonts w:ascii="Times New Roman" w:hAnsi="Times New Roman" w:cs="Times New Roman"/>
                <w:sz w:val="20"/>
                <w:szCs w:val="20"/>
                <w:lang w:val="en-US"/>
              </w:rPr>
              <w:t>Requires more cell maintenance</w:t>
            </w:r>
          </w:p>
        </w:tc>
        <w:tc>
          <w:tcPr>
            <w:tcW w:w="2026" w:type="dxa"/>
            <w:vAlign w:val="center"/>
          </w:tcPr>
          <w:p w14:paraId="4C01EE76" w14:textId="5BA4F0EA" w:rsidR="00C1698D" w:rsidRPr="007C6F64" w:rsidRDefault="00C1698D" w:rsidP="007D4E49">
            <w:pPr>
              <w:jc w:val="center"/>
              <w:rPr>
                <w:rFonts w:ascii="Times New Roman" w:hAnsi="Times New Roman" w:cs="Times New Roman"/>
                <w:sz w:val="20"/>
                <w:szCs w:val="20"/>
                <w:lang w:val="en-US"/>
              </w:rPr>
            </w:pPr>
            <w:r w:rsidRPr="007C6F64">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ZOTERO_ITEM CSL_CITATION {"citationID":"V4Ubmsq6","properties":{"formattedCitation":"(Dupuis et al. 2023; Sambrook, Fritsch, and Maniatis 2012)","plainCitation":"(Dupuis et al. 2023; Sambrook, Fritsch, and Maniatis 2012)","noteIndex":0},"citationItems":[{"id":"F7z1ho5P/nP1kN2Wu","uris":["http://zotero.org/users/11518316/items/7CA7SGND"],"itemData":{"id":"iG3SPdrO/VJXkPJzj","type":"article-journal","abstract":"Cellular agriculture is a rapidly emerging field, within which cultured meat has attracted the majority of media attention in recent years. An equally promising area of cellular agriculture, and one that has produced far more actual food ingredients that have been incorporated into commercially available products, is the use of cellular hosts to produce soluble proteins, herein referred to as precision cellular agriculture (PCAg). In PCAg, specific animal- or plant-sourced proteins are expressed recombinantly in unicellular hosts—the majority of which are yeast—and harvested for food use. The numerous advantages of PCAg over traditional agriculture, including a smaller carbon footprint and more consistent products, have led to extensive research on its utility. This review is the first to survey proteins currently being expressed using PCAg for food purposes. A growing number of viable expression hosts and recent advances for increased protein yields and process optimization have led to its application for producing milk, egg, and muscle proteins; plant hemoglobin; sweet-tasting plant proteins; and ice-binding proteins. Current knowledge gaps present research opportunities for optimizing expression hosts, tailoring posttranslational modifications, and expanding the scope of proteins produced. Considerations for the expansion of PCAg and its implications on food regulation, society, ethics, and the environment are also discussed. Considering the current trajectory of PCAg, food proteins from any biological source can likely be expressed recombinantly and used as purified food ingredients to create novel and tailored food products.","container-title":"Comprehensive Reviews in Food Science and Food Safety","DOI":"10.1111/1541-4337.13094","ISSN":"1541-4337","issue":"2","language":"en","license":"© 2022 Institute of Food Technologists®.","note":"number: 2\n_eprint: https://onlinelibrary.wiley.com/doi/pdf/10.1111/1541-4337.13094","page":"882-912","source":"Wiley Online Library","title":"Precision cellular agriculture: The future role of recombinantly expressed protein as food","title-short":"Precision cellular agriculture","volume":"22","author":[{"family":"Dupuis","given":"John H."},{"family":"Cheung","given":"Lennie K.Y."},{"family":"Newman","given":"Lenore"},{"family":"Dee","given":"Derek R."},{"family":"Yada","given":"Rickey Y."}],"issued":{"date-parts":[["2023"]]}}},{"id":3691,"uris":["http://zotero.org/users/11518316/items/WEMB83VL"],"itemData":{"id":3691,"type":"book","edition":"4. ed","event-place":"Cold Spring Harbor, NY","ISBN":"978-1-936113-42-2","language":"eng","publisher":"Cold Spring Harbor Laboratory Press","publisher-place":"Cold Spring Harbor, NY","source":"K10plus ISBN","title":"Molecular cloning. 3","author":[{"family":"Sambrook","given":"Joseph"},{"family":"Fritsch","given":"Edward F."},{"family":"Maniatis","given":"Thomas"}],"issued":{"date-parts":[["2012"]]}}}],"schema":"https://github.com/citation-style-language/schema/raw/master/csl-citation.json"} </w:instrText>
            </w:r>
            <w:r w:rsidRPr="007C6F64">
              <w:rPr>
                <w:rFonts w:ascii="Times New Roman" w:hAnsi="Times New Roman" w:cs="Times New Roman"/>
                <w:sz w:val="20"/>
                <w:szCs w:val="20"/>
                <w:lang w:val="en-US"/>
              </w:rPr>
              <w:fldChar w:fldCharType="separate"/>
            </w:r>
            <w:r w:rsidRPr="00C1698D">
              <w:rPr>
                <w:rFonts w:ascii="Times New Roman" w:hAnsi="Times New Roman" w:cs="Times New Roman"/>
                <w:sz w:val="20"/>
              </w:rPr>
              <w:t>(Dupuis et al. 2023; Sambrook, Fritsch, and Maniatis 2012)</w:t>
            </w:r>
            <w:r w:rsidRPr="007C6F64">
              <w:rPr>
                <w:rFonts w:ascii="Times New Roman" w:hAnsi="Times New Roman" w:cs="Times New Roman"/>
                <w:sz w:val="20"/>
                <w:szCs w:val="20"/>
                <w:lang w:val="en-US"/>
              </w:rPr>
              <w:fldChar w:fldCharType="end"/>
            </w:r>
          </w:p>
        </w:tc>
      </w:tr>
      <w:tr w:rsidR="006E6A7D" w:rsidRPr="007C6F64" w14:paraId="28C31F38" w14:textId="77777777" w:rsidTr="007D4E49">
        <w:trPr>
          <w:trHeight w:val="394"/>
        </w:trPr>
        <w:tc>
          <w:tcPr>
            <w:tcW w:w="1838" w:type="dxa"/>
            <w:vAlign w:val="center"/>
          </w:tcPr>
          <w:p w14:paraId="2ACE6A3C" w14:textId="61BB22DD" w:rsidR="006E6A7D" w:rsidRPr="007C6F64" w:rsidRDefault="006E6A7D" w:rsidP="00EF2305">
            <w:pPr>
              <w:jc w:val="center"/>
              <w:rPr>
                <w:rFonts w:ascii="Times New Roman" w:hAnsi="Times New Roman" w:cs="Times New Roman"/>
                <w:b/>
                <w:bCs/>
                <w:sz w:val="20"/>
                <w:szCs w:val="20"/>
                <w:lang w:val="en-US"/>
              </w:rPr>
            </w:pPr>
            <w:r w:rsidRPr="007C6F64">
              <w:rPr>
                <w:rFonts w:ascii="Times New Roman" w:hAnsi="Times New Roman" w:cs="Times New Roman"/>
                <w:b/>
                <w:bCs/>
                <w:sz w:val="20"/>
                <w:szCs w:val="20"/>
                <w:lang w:val="en-US"/>
              </w:rPr>
              <w:t>Scalability</w:t>
            </w:r>
          </w:p>
        </w:tc>
        <w:tc>
          <w:tcPr>
            <w:tcW w:w="10413" w:type="dxa"/>
            <w:gridSpan w:val="3"/>
            <w:vAlign w:val="center"/>
          </w:tcPr>
          <w:p w14:paraId="4BCE5AD6" w14:textId="3BB8D85F" w:rsidR="006E6A7D" w:rsidRPr="00C1698D" w:rsidRDefault="006E6A7D" w:rsidP="00EF2305">
            <w:pPr>
              <w:rPr>
                <w:rFonts w:ascii="Times New Roman" w:hAnsi="Times New Roman" w:cs="Times New Roman"/>
                <w:sz w:val="20"/>
                <w:szCs w:val="20"/>
                <w:lang w:val="en-US"/>
              </w:rPr>
            </w:pPr>
            <w:r w:rsidRPr="00C1698D">
              <w:rPr>
                <w:rFonts w:ascii="Times New Roman" w:hAnsi="Times New Roman" w:cs="Times New Roman"/>
                <w:sz w:val="20"/>
                <w:szCs w:val="20"/>
                <w:lang w:val="en-US"/>
              </w:rPr>
              <w:t>Research is needed for efficient up-scaling of recombinant egg protein production</w:t>
            </w:r>
          </w:p>
        </w:tc>
        <w:tc>
          <w:tcPr>
            <w:tcW w:w="2026" w:type="dxa"/>
            <w:vAlign w:val="center"/>
          </w:tcPr>
          <w:p w14:paraId="467F9D52" w14:textId="4671182A" w:rsidR="006E6A7D" w:rsidRPr="007C6F64" w:rsidRDefault="006E6A7D" w:rsidP="00EF2305">
            <w:pPr>
              <w:jc w:val="center"/>
              <w:rPr>
                <w:rFonts w:ascii="Times New Roman" w:hAnsi="Times New Roman" w:cs="Times New Roman"/>
                <w:sz w:val="20"/>
                <w:szCs w:val="20"/>
                <w:lang w:val="en-US"/>
              </w:rPr>
            </w:pPr>
          </w:p>
        </w:tc>
      </w:tr>
    </w:tbl>
    <w:p w14:paraId="6091654F" w14:textId="666F6173" w:rsidR="006E6A7D" w:rsidRPr="00E65933" w:rsidRDefault="00E60E40" w:rsidP="006E6A7D">
      <w:pPr>
        <w:rPr>
          <w:rFonts w:ascii="Times New Roman" w:hAnsi="Times New Roman" w:cs="Times New Roman"/>
          <w:sz w:val="24"/>
          <w:szCs w:val="24"/>
          <w:lang w:val="en-US"/>
        </w:rPr>
      </w:pPr>
      <w:r w:rsidRPr="00E65933">
        <w:rPr>
          <w:rFonts w:ascii="Times New Roman" w:hAnsi="Times New Roman" w:cs="Times New Roman"/>
          <w:b/>
          <w:sz w:val="24"/>
          <w:szCs w:val="24"/>
          <w:lang w:val="en-US"/>
        </w:rPr>
        <w:t>*</w:t>
      </w:r>
      <w:r w:rsidRPr="00E65933">
        <w:rPr>
          <w:rFonts w:ascii="Times New Roman" w:hAnsi="Times New Roman" w:cs="Times New Roman"/>
          <w:sz w:val="24"/>
          <w:szCs w:val="24"/>
          <w:lang w:val="en-US"/>
        </w:rPr>
        <w:t>see list of reference</w:t>
      </w:r>
      <w:r w:rsidR="002F6BA2" w:rsidRPr="00E65933">
        <w:rPr>
          <w:rFonts w:ascii="Times New Roman" w:hAnsi="Times New Roman" w:cs="Times New Roman"/>
          <w:sz w:val="24"/>
          <w:szCs w:val="24"/>
          <w:lang w:val="en-US"/>
        </w:rPr>
        <w:t>s</w:t>
      </w:r>
      <w:r w:rsidRPr="00E65933">
        <w:rPr>
          <w:rFonts w:ascii="Times New Roman" w:hAnsi="Times New Roman" w:cs="Times New Roman"/>
          <w:sz w:val="24"/>
          <w:szCs w:val="24"/>
          <w:lang w:val="en-US"/>
        </w:rPr>
        <w:t xml:space="preserve"> in the main file</w:t>
      </w:r>
      <w:bookmarkStart w:id="1" w:name="_GoBack"/>
      <w:bookmarkEnd w:id="1"/>
    </w:p>
    <w:bookmarkEnd w:id="0"/>
    <w:sectPr w:rsidR="006E6A7D" w:rsidRPr="00E65933" w:rsidSect="006E6A7D">
      <w:pgSz w:w="16838" w:h="11906" w:orient="landscape"/>
      <w:pgMar w:top="1417" w:right="1417" w:bottom="1417"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94F4E5" w16cex:dateUtc="2025-03-19T2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84BF2E" w16cid:durableId="6D94F4E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16C2"/>
    <w:multiLevelType w:val="hybridMultilevel"/>
    <w:tmpl w:val="974EF6E2"/>
    <w:lvl w:ilvl="0" w:tplc="D53E4442">
      <w:start w:val="2"/>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C6007B"/>
    <w:multiLevelType w:val="hybridMultilevel"/>
    <w:tmpl w:val="E3C0BFB6"/>
    <w:lvl w:ilvl="0" w:tplc="F51AAB0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0274AA"/>
    <w:multiLevelType w:val="hybridMultilevel"/>
    <w:tmpl w:val="042A02A2"/>
    <w:lvl w:ilvl="0" w:tplc="D53E4442">
      <w:start w:val="2"/>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206044"/>
    <w:multiLevelType w:val="hybridMultilevel"/>
    <w:tmpl w:val="95AA0F34"/>
    <w:lvl w:ilvl="0" w:tplc="F51AAB0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777EB2"/>
    <w:multiLevelType w:val="hybridMultilevel"/>
    <w:tmpl w:val="9144524A"/>
    <w:lvl w:ilvl="0" w:tplc="F51AAB0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01D24E8"/>
    <w:multiLevelType w:val="hybridMultilevel"/>
    <w:tmpl w:val="159C70D0"/>
    <w:lvl w:ilvl="0" w:tplc="D53E4442">
      <w:start w:val="2"/>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E1649B"/>
    <w:multiLevelType w:val="hybridMultilevel"/>
    <w:tmpl w:val="937EF6A8"/>
    <w:lvl w:ilvl="0" w:tplc="F51AAB0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AA70A8"/>
    <w:multiLevelType w:val="hybridMultilevel"/>
    <w:tmpl w:val="36D60B34"/>
    <w:lvl w:ilvl="0" w:tplc="F51AAB0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E3F6584"/>
    <w:multiLevelType w:val="hybridMultilevel"/>
    <w:tmpl w:val="B5C030BA"/>
    <w:lvl w:ilvl="0" w:tplc="D53E4442">
      <w:start w:val="2"/>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27B5056"/>
    <w:multiLevelType w:val="hybridMultilevel"/>
    <w:tmpl w:val="5F28F492"/>
    <w:lvl w:ilvl="0" w:tplc="D53E4442">
      <w:start w:val="2"/>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FA4BEA"/>
    <w:multiLevelType w:val="hybridMultilevel"/>
    <w:tmpl w:val="4C747DFE"/>
    <w:lvl w:ilvl="0" w:tplc="F51AAB0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6150CEC"/>
    <w:multiLevelType w:val="hybridMultilevel"/>
    <w:tmpl w:val="D8B09B9A"/>
    <w:lvl w:ilvl="0" w:tplc="F51AAB0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507919"/>
    <w:multiLevelType w:val="hybridMultilevel"/>
    <w:tmpl w:val="078CE758"/>
    <w:lvl w:ilvl="0" w:tplc="EAF20E68">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0094AA0"/>
    <w:multiLevelType w:val="hybridMultilevel"/>
    <w:tmpl w:val="C804F800"/>
    <w:lvl w:ilvl="0" w:tplc="F51AAB0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3957C79"/>
    <w:multiLevelType w:val="hybridMultilevel"/>
    <w:tmpl w:val="03C4D808"/>
    <w:lvl w:ilvl="0" w:tplc="F51AAB0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773BDD"/>
    <w:multiLevelType w:val="hybridMultilevel"/>
    <w:tmpl w:val="E1C4B40E"/>
    <w:lvl w:ilvl="0" w:tplc="D53E4442">
      <w:start w:val="2"/>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2BB69DA"/>
    <w:multiLevelType w:val="hybridMultilevel"/>
    <w:tmpl w:val="2D9C48DC"/>
    <w:lvl w:ilvl="0" w:tplc="D53E4442">
      <w:start w:val="2"/>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30F0E15"/>
    <w:multiLevelType w:val="hybridMultilevel"/>
    <w:tmpl w:val="D974C630"/>
    <w:lvl w:ilvl="0" w:tplc="F51AAB0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7CD6154"/>
    <w:multiLevelType w:val="hybridMultilevel"/>
    <w:tmpl w:val="4F0E49FC"/>
    <w:lvl w:ilvl="0" w:tplc="D53E4442">
      <w:start w:val="2"/>
      <w:numFmt w:val="bullet"/>
      <w:lvlText w:val=""/>
      <w:lvlJc w:val="left"/>
      <w:pPr>
        <w:ind w:left="720" w:hanging="360"/>
      </w:pPr>
      <w:rPr>
        <w:rFonts w:ascii="Symbol" w:eastAsiaTheme="minorHAnsi"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5B742FC"/>
    <w:multiLevelType w:val="hybridMultilevel"/>
    <w:tmpl w:val="E3D4CCA6"/>
    <w:lvl w:ilvl="0" w:tplc="F51AAB0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8"/>
  </w:num>
  <w:num w:numId="4">
    <w:abstractNumId w:val="11"/>
  </w:num>
  <w:num w:numId="5">
    <w:abstractNumId w:val="5"/>
  </w:num>
  <w:num w:numId="6">
    <w:abstractNumId w:val="0"/>
  </w:num>
  <w:num w:numId="7">
    <w:abstractNumId w:val="10"/>
  </w:num>
  <w:num w:numId="8">
    <w:abstractNumId w:val="15"/>
  </w:num>
  <w:num w:numId="9">
    <w:abstractNumId w:val="14"/>
  </w:num>
  <w:num w:numId="10">
    <w:abstractNumId w:val="4"/>
  </w:num>
  <w:num w:numId="11">
    <w:abstractNumId w:val="2"/>
  </w:num>
  <w:num w:numId="12">
    <w:abstractNumId w:val="17"/>
  </w:num>
  <w:num w:numId="13">
    <w:abstractNumId w:val="8"/>
  </w:num>
  <w:num w:numId="14">
    <w:abstractNumId w:val="3"/>
  </w:num>
  <w:num w:numId="15">
    <w:abstractNumId w:val="7"/>
  </w:num>
  <w:num w:numId="16">
    <w:abstractNumId w:val="16"/>
  </w:num>
  <w:num w:numId="17">
    <w:abstractNumId w:val="6"/>
  </w:num>
  <w:num w:numId="18">
    <w:abstractNumId w:val="9"/>
  </w:num>
  <w:num w:numId="19">
    <w:abstractNumId w:val="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A7D"/>
    <w:rsid w:val="00081B4E"/>
    <w:rsid w:val="001A315A"/>
    <w:rsid w:val="002468CE"/>
    <w:rsid w:val="002F6BA2"/>
    <w:rsid w:val="003E3F04"/>
    <w:rsid w:val="00416AFA"/>
    <w:rsid w:val="004B6F5B"/>
    <w:rsid w:val="005B240A"/>
    <w:rsid w:val="005C45E9"/>
    <w:rsid w:val="006E6A7D"/>
    <w:rsid w:val="007C6F64"/>
    <w:rsid w:val="007D4E49"/>
    <w:rsid w:val="00B01752"/>
    <w:rsid w:val="00BD1F67"/>
    <w:rsid w:val="00C1698D"/>
    <w:rsid w:val="00C43530"/>
    <w:rsid w:val="00C82EB6"/>
    <w:rsid w:val="00E60E40"/>
    <w:rsid w:val="00E65933"/>
    <w:rsid w:val="00EF2305"/>
    <w:rsid w:val="00F93D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694D5"/>
  <w15:chartTrackingRefBased/>
  <w15:docId w15:val="{17490E49-4745-4668-B3EB-95D2FE4B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E6A7D"/>
    <w:rPr>
      <w:lang w:val="en-GB"/>
    </w:rPr>
  </w:style>
  <w:style w:type="paragraph" w:styleId="berschrift1">
    <w:name w:val="heading 1"/>
    <w:basedOn w:val="Standard"/>
    <w:next w:val="Standard"/>
    <w:link w:val="berschrift1Zchn"/>
    <w:uiPriority w:val="9"/>
    <w:qFormat/>
    <w:rsid w:val="006E6A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E6A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E6A7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E6A7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E6A7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E6A7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E6A7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E6A7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E6A7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6A7D"/>
    <w:rPr>
      <w:rFonts w:asciiTheme="majorHAnsi" w:eastAsiaTheme="majorEastAsia" w:hAnsiTheme="majorHAnsi" w:cstheme="majorBidi"/>
      <w:color w:val="0F4761" w:themeColor="accent1" w:themeShade="BF"/>
      <w:sz w:val="40"/>
      <w:szCs w:val="40"/>
      <w:lang w:val="en-GB"/>
    </w:rPr>
  </w:style>
  <w:style w:type="character" w:customStyle="1" w:styleId="berschrift2Zchn">
    <w:name w:val="Überschrift 2 Zchn"/>
    <w:basedOn w:val="Absatz-Standardschriftart"/>
    <w:link w:val="berschrift2"/>
    <w:uiPriority w:val="9"/>
    <w:semiHidden/>
    <w:rsid w:val="006E6A7D"/>
    <w:rPr>
      <w:rFonts w:asciiTheme="majorHAnsi" w:eastAsiaTheme="majorEastAsia" w:hAnsiTheme="majorHAnsi" w:cstheme="majorBidi"/>
      <w:color w:val="0F4761" w:themeColor="accent1" w:themeShade="BF"/>
      <w:sz w:val="32"/>
      <w:szCs w:val="32"/>
      <w:lang w:val="en-GB"/>
    </w:rPr>
  </w:style>
  <w:style w:type="character" w:customStyle="1" w:styleId="berschrift3Zchn">
    <w:name w:val="Überschrift 3 Zchn"/>
    <w:basedOn w:val="Absatz-Standardschriftart"/>
    <w:link w:val="berschrift3"/>
    <w:uiPriority w:val="9"/>
    <w:semiHidden/>
    <w:rsid w:val="006E6A7D"/>
    <w:rPr>
      <w:rFonts w:eastAsiaTheme="majorEastAsia" w:cstheme="majorBidi"/>
      <w:color w:val="0F4761" w:themeColor="accent1" w:themeShade="BF"/>
      <w:sz w:val="28"/>
      <w:szCs w:val="28"/>
      <w:lang w:val="en-GB"/>
    </w:rPr>
  </w:style>
  <w:style w:type="character" w:customStyle="1" w:styleId="berschrift4Zchn">
    <w:name w:val="Überschrift 4 Zchn"/>
    <w:basedOn w:val="Absatz-Standardschriftart"/>
    <w:link w:val="berschrift4"/>
    <w:uiPriority w:val="9"/>
    <w:semiHidden/>
    <w:rsid w:val="006E6A7D"/>
    <w:rPr>
      <w:rFonts w:eastAsiaTheme="majorEastAsia" w:cstheme="majorBidi"/>
      <w:i/>
      <w:iCs/>
      <w:color w:val="0F4761" w:themeColor="accent1" w:themeShade="BF"/>
      <w:lang w:val="en-GB"/>
    </w:rPr>
  </w:style>
  <w:style w:type="character" w:customStyle="1" w:styleId="berschrift5Zchn">
    <w:name w:val="Überschrift 5 Zchn"/>
    <w:basedOn w:val="Absatz-Standardschriftart"/>
    <w:link w:val="berschrift5"/>
    <w:uiPriority w:val="9"/>
    <w:semiHidden/>
    <w:rsid w:val="006E6A7D"/>
    <w:rPr>
      <w:rFonts w:eastAsiaTheme="majorEastAsia" w:cstheme="majorBidi"/>
      <w:color w:val="0F4761" w:themeColor="accent1" w:themeShade="BF"/>
      <w:lang w:val="en-GB"/>
    </w:rPr>
  </w:style>
  <w:style w:type="character" w:customStyle="1" w:styleId="berschrift6Zchn">
    <w:name w:val="Überschrift 6 Zchn"/>
    <w:basedOn w:val="Absatz-Standardschriftart"/>
    <w:link w:val="berschrift6"/>
    <w:uiPriority w:val="9"/>
    <w:semiHidden/>
    <w:rsid w:val="006E6A7D"/>
    <w:rPr>
      <w:rFonts w:eastAsiaTheme="majorEastAsia" w:cstheme="majorBidi"/>
      <w:i/>
      <w:iCs/>
      <w:color w:val="595959" w:themeColor="text1" w:themeTint="A6"/>
      <w:lang w:val="en-GB"/>
    </w:rPr>
  </w:style>
  <w:style w:type="character" w:customStyle="1" w:styleId="berschrift7Zchn">
    <w:name w:val="Überschrift 7 Zchn"/>
    <w:basedOn w:val="Absatz-Standardschriftart"/>
    <w:link w:val="berschrift7"/>
    <w:uiPriority w:val="9"/>
    <w:semiHidden/>
    <w:rsid w:val="006E6A7D"/>
    <w:rPr>
      <w:rFonts w:eastAsiaTheme="majorEastAsia" w:cstheme="majorBidi"/>
      <w:color w:val="595959" w:themeColor="text1" w:themeTint="A6"/>
      <w:lang w:val="en-GB"/>
    </w:rPr>
  </w:style>
  <w:style w:type="character" w:customStyle="1" w:styleId="berschrift8Zchn">
    <w:name w:val="Überschrift 8 Zchn"/>
    <w:basedOn w:val="Absatz-Standardschriftart"/>
    <w:link w:val="berschrift8"/>
    <w:uiPriority w:val="9"/>
    <w:semiHidden/>
    <w:rsid w:val="006E6A7D"/>
    <w:rPr>
      <w:rFonts w:eastAsiaTheme="majorEastAsia" w:cstheme="majorBidi"/>
      <w:i/>
      <w:iCs/>
      <w:color w:val="272727" w:themeColor="text1" w:themeTint="D8"/>
      <w:lang w:val="en-GB"/>
    </w:rPr>
  </w:style>
  <w:style w:type="character" w:customStyle="1" w:styleId="berschrift9Zchn">
    <w:name w:val="Überschrift 9 Zchn"/>
    <w:basedOn w:val="Absatz-Standardschriftart"/>
    <w:link w:val="berschrift9"/>
    <w:uiPriority w:val="9"/>
    <w:semiHidden/>
    <w:rsid w:val="006E6A7D"/>
    <w:rPr>
      <w:rFonts w:eastAsiaTheme="majorEastAsia" w:cstheme="majorBidi"/>
      <w:color w:val="272727" w:themeColor="text1" w:themeTint="D8"/>
      <w:lang w:val="en-GB"/>
    </w:rPr>
  </w:style>
  <w:style w:type="paragraph" w:styleId="Titel">
    <w:name w:val="Title"/>
    <w:basedOn w:val="Standard"/>
    <w:next w:val="Standard"/>
    <w:link w:val="TitelZchn"/>
    <w:uiPriority w:val="10"/>
    <w:qFormat/>
    <w:rsid w:val="006E6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E6A7D"/>
    <w:rPr>
      <w:rFonts w:asciiTheme="majorHAnsi" w:eastAsiaTheme="majorEastAsia" w:hAnsiTheme="majorHAnsi" w:cstheme="majorBidi"/>
      <w:spacing w:val="-10"/>
      <w:kern w:val="28"/>
      <w:sz w:val="56"/>
      <w:szCs w:val="56"/>
      <w:lang w:val="en-GB"/>
    </w:rPr>
  </w:style>
  <w:style w:type="paragraph" w:styleId="Untertitel">
    <w:name w:val="Subtitle"/>
    <w:basedOn w:val="Standard"/>
    <w:next w:val="Standard"/>
    <w:link w:val="UntertitelZchn"/>
    <w:uiPriority w:val="11"/>
    <w:qFormat/>
    <w:rsid w:val="006E6A7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E6A7D"/>
    <w:rPr>
      <w:rFonts w:eastAsiaTheme="majorEastAsia" w:cstheme="majorBidi"/>
      <w:color w:val="595959" w:themeColor="text1" w:themeTint="A6"/>
      <w:spacing w:val="15"/>
      <w:sz w:val="28"/>
      <w:szCs w:val="28"/>
      <w:lang w:val="en-GB"/>
    </w:rPr>
  </w:style>
  <w:style w:type="paragraph" w:styleId="Zitat">
    <w:name w:val="Quote"/>
    <w:basedOn w:val="Standard"/>
    <w:next w:val="Standard"/>
    <w:link w:val="ZitatZchn"/>
    <w:uiPriority w:val="29"/>
    <w:qFormat/>
    <w:rsid w:val="006E6A7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E6A7D"/>
    <w:rPr>
      <w:i/>
      <w:iCs/>
      <w:color w:val="404040" w:themeColor="text1" w:themeTint="BF"/>
      <w:lang w:val="en-GB"/>
    </w:rPr>
  </w:style>
  <w:style w:type="paragraph" w:styleId="Listenabsatz">
    <w:name w:val="List Paragraph"/>
    <w:basedOn w:val="Standard"/>
    <w:uiPriority w:val="34"/>
    <w:qFormat/>
    <w:rsid w:val="006E6A7D"/>
    <w:pPr>
      <w:ind w:left="720"/>
      <w:contextualSpacing/>
    </w:pPr>
  </w:style>
  <w:style w:type="character" w:styleId="IntensiveHervorhebung">
    <w:name w:val="Intense Emphasis"/>
    <w:basedOn w:val="Absatz-Standardschriftart"/>
    <w:uiPriority w:val="21"/>
    <w:qFormat/>
    <w:rsid w:val="006E6A7D"/>
    <w:rPr>
      <w:i/>
      <w:iCs/>
      <w:color w:val="0F4761" w:themeColor="accent1" w:themeShade="BF"/>
    </w:rPr>
  </w:style>
  <w:style w:type="paragraph" w:styleId="IntensivesZitat">
    <w:name w:val="Intense Quote"/>
    <w:basedOn w:val="Standard"/>
    <w:next w:val="Standard"/>
    <w:link w:val="IntensivesZitatZchn"/>
    <w:uiPriority w:val="30"/>
    <w:qFormat/>
    <w:rsid w:val="006E6A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E6A7D"/>
    <w:rPr>
      <w:i/>
      <w:iCs/>
      <w:color w:val="0F4761" w:themeColor="accent1" w:themeShade="BF"/>
      <w:lang w:val="en-GB"/>
    </w:rPr>
  </w:style>
  <w:style w:type="character" w:styleId="IntensiverVerweis">
    <w:name w:val="Intense Reference"/>
    <w:basedOn w:val="Absatz-Standardschriftart"/>
    <w:uiPriority w:val="32"/>
    <w:qFormat/>
    <w:rsid w:val="006E6A7D"/>
    <w:rPr>
      <w:b/>
      <w:bCs/>
      <w:smallCaps/>
      <w:color w:val="0F4761" w:themeColor="accent1" w:themeShade="BF"/>
      <w:spacing w:val="5"/>
    </w:rPr>
  </w:style>
  <w:style w:type="character" w:styleId="Kommentarzeichen">
    <w:name w:val="annotation reference"/>
    <w:basedOn w:val="Absatz-Standardschriftart"/>
    <w:uiPriority w:val="99"/>
    <w:semiHidden/>
    <w:unhideWhenUsed/>
    <w:rsid w:val="006E6A7D"/>
    <w:rPr>
      <w:sz w:val="16"/>
      <w:szCs w:val="16"/>
    </w:rPr>
  </w:style>
  <w:style w:type="paragraph" w:styleId="Kommentartext">
    <w:name w:val="annotation text"/>
    <w:basedOn w:val="Standard"/>
    <w:link w:val="KommentartextZchn"/>
    <w:uiPriority w:val="99"/>
    <w:unhideWhenUsed/>
    <w:rsid w:val="006E6A7D"/>
    <w:pPr>
      <w:spacing w:line="240" w:lineRule="auto"/>
    </w:pPr>
    <w:rPr>
      <w:sz w:val="20"/>
      <w:szCs w:val="20"/>
    </w:rPr>
  </w:style>
  <w:style w:type="character" w:customStyle="1" w:styleId="KommentartextZchn">
    <w:name w:val="Kommentartext Zchn"/>
    <w:basedOn w:val="Absatz-Standardschriftart"/>
    <w:link w:val="Kommentartext"/>
    <w:uiPriority w:val="99"/>
    <w:rsid w:val="006E6A7D"/>
    <w:rPr>
      <w:sz w:val="20"/>
      <w:szCs w:val="20"/>
      <w:lang w:val="en-GB"/>
    </w:rPr>
  </w:style>
  <w:style w:type="table" w:styleId="Tabellenraster">
    <w:name w:val="Table Grid"/>
    <w:basedOn w:val="NormaleTabelle"/>
    <w:uiPriority w:val="39"/>
    <w:rsid w:val="006E6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6E6A7D"/>
    <w:pPr>
      <w:spacing w:after="200" w:line="240" w:lineRule="auto"/>
    </w:pPr>
    <w:rPr>
      <w:i/>
      <w:iCs/>
      <w:color w:val="0E2841" w:themeColor="text2"/>
      <w:sz w:val="18"/>
      <w:szCs w:val="18"/>
    </w:rPr>
  </w:style>
  <w:style w:type="paragraph" w:styleId="Kommentarthema">
    <w:name w:val="annotation subject"/>
    <w:basedOn w:val="Kommentartext"/>
    <w:next w:val="Kommentartext"/>
    <w:link w:val="KommentarthemaZchn"/>
    <w:uiPriority w:val="99"/>
    <w:semiHidden/>
    <w:unhideWhenUsed/>
    <w:rsid w:val="007C6F64"/>
    <w:rPr>
      <w:b/>
      <w:bCs/>
    </w:rPr>
  </w:style>
  <w:style w:type="character" w:customStyle="1" w:styleId="KommentarthemaZchn">
    <w:name w:val="Kommentarthema Zchn"/>
    <w:basedOn w:val="KommentartextZchn"/>
    <w:link w:val="Kommentarthema"/>
    <w:uiPriority w:val="99"/>
    <w:semiHidden/>
    <w:rsid w:val="007C6F64"/>
    <w:rPr>
      <w:b/>
      <w:bCs/>
      <w:sz w:val="20"/>
      <w:szCs w:val="20"/>
      <w:lang w:val="en-GB"/>
    </w:rPr>
  </w:style>
  <w:style w:type="paragraph" w:styleId="Sprechblasentext">
    <w:name w:val="Balloon Text"/>
    <w:basedOn w:val="Standard"/>
    <w:link w:val="SprechblasentextZchn"/>
    <w:uiPriority w:val="99"/>
    <w:semiHidden/>
    <w:unhideWhenUsed/>
    <w:rsid w:val="00E60E4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0E40"/>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19048</Characters>
  <Application>Microsoft Office Word</Application>
  <DocSecurity>0</DocSecurity>
  <Lines>158</Lines>
  <Paragraphs>39</Paragraphs>
  <ScaleCrop>false</ScaleCrop>
  <Company/>
  <LinksUpToDate>false</LinksUpToDate>
  <CharactersWithSpaces>19540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Franziska Beck</dc:creator>
  <cp:keywords/>
  <dc:description/>
  <cp:lastModifiedBy>Marius Henkel</cp:lastModifiedBy>
  <cp:revision>17</cp:revision>
  <dcterms:created xsi:type="dcterms:W3CDTF">2025-03-19T15:11:00Z</dcterms:created>
  <dcterms:modified xsi:type="dcterms:W3CDTF">2025-03-25T13:30:00Z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86338e32-83d6-4b13-b3b4-7d475ef00b2e</vt:lpwstr>
  </property>
  <property fmtid="{D5CDD505-2E9C-101B-9397-08002B2CF9AE}" pid="3" name="ZOTERO_PREF_1">
    <vt:lpwstr>&lt;data data-version="3" zotero-version="6.0.36"&gt;&lt;session id="F7z1ho5P"/&gt;&lt;style id="http://www.zotero.org/styles/chicago-author-date" locale="en-US" hasBibliography="1" bibliographyStyleHasBeenSet="0"/&gt;&lt;prefs&gt;&lt;pref name="fieldType" value="Field"/&gt;&lt;/prefs&gt;&lt;/</vt:lpwstr>
  </property>
  <property fmtid="{D5CDD505-2E9C-101B-9397-08002B2CF9AE}" pid="4" name="ZOTERO_PREF_2">
    <vt:lpwstr>data&gt;</vt:lpwstr>
  </property>
</Properties>
</file>