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50EB1" w14:textId="77777777" w:rsidR="00FF2E24" w:rsidRPr="00B44C7E" w:rsidRDefault="00B4166D" w:rsidP="00FF2E24">
      <w:pPr>
        <w:pStyle w:val="1"/>
        <w:spacing w:after="120" w:line="276" w:lineRule="auto"/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</w:rPr>
      </w:pPr>
      <w:r w:rsidRPr="00B44C7E"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</w:rPr>
        <w:t>Supplementary Material S4</w:t>
      </w:r>
    </w:p>
    <w:p w14:paraId="0FE60D6B" w14:textId="163F6F7F" w:rsidR="00B4166D" w:rsidRPr="009F470D" w:rsidRDefault="00B4166D" w:rsidP="009F470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470D">
        <w:rPr>
          <w:rFonts w:ascii="Times New Roman" w:hAnsi="Times New Roman" w:cs="Times New Roman"/>
          <w:b/>
          <w:bCs/>
          <w:sz w:val="24"/>
          <w:szCs w:val="24"/>
        </w:rPr>
        <w:t xml:space="preserve">Codon-usage analysis of generated NLR ORFs relative to </w:t>
      </w:r>
      <w:r w:rsidRPr="009F470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Alnus </w:t>
      </w:r>
      <w:proofErr w:type="spellStart"/>
      <w:r w:rsidRPr="009F470D">
        <w:rPr>
          <w:rFonts w:ascii="Times New Roman" w:hAnsi="Times New Roman" w:cs="Times New Roman"/>
          <w:b/>
          <w:bCs/>
          <w:i/>
          <w:iCs/>
          <w:sz w:val="24"/>
          <w:szCs w:val="24"/>
        </w:rPr>
        <w:t>glutinosa</w:t>
      </w:r>
      <w:proofErr w:type="spellEnd"/>
      <w:r w:rsidRPr="009F470D">
        <w:rPr>
          <w:rFonts w:ascii="Times New Roman" w:hAnsi="Times New Roman" w:cs="Times New Roman"/>
          <w:b/>
          <w:bCs/>
          <w:sz w:val="24"/>
          <w:szCs w:val="24"/>
        </w:rPr>
        <w:t xml:space="preserve"> reference sequences</w:t>
      </w:r>
    </w:p>
    <w:p w14:paraId="079D7893" w14:textId="77777777" w:rsidR="00B4166D" w:rsidRPr="00B4166D" w:rsidRDefault="00B4166D" w:rsidP="009F470D">
      <w:pPr>
        <w:spacing w:after="120"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sz w:val="24"/>
          <w:szCs w:val="24"/>
        </w:rPr>
        <w:t xml:space="preserve">Four groups were scored on the same neutral metrics. Codon-usage metrics are interpreted by proximity to the species reference, not by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maximisation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minimisation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. The two </w:t>
      </w:r>
      <w:r w:rsidRPr="00B4166D">
        <w:rPr>
          <w:rFonts w:ascii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Pr="00B4166D">
        <w:rPr>
          <w:rFonts w:ascii="Times New Roman" w:hAnsi="Times New Roman" w:cs="Times New Roman"/>
          <w:i/>
          <w:iCs/>
          <w:sz w:val="24"/>
          <w:szCs w:val="24"/>
        </w:rPr>
        <w:t>glutinosa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reference sets and the random controls behave as expected (see table notes and the interpretation note below).</w:t>
      </w:r>
    </w:p>
    <w:p w14:paraId="3F274371" w14:textId="77777777" w:rsidR="00B4166D" w:rsidRPr="00B4166D" w:rsidRDefault="00B4166D" w:rsidP="00B4166D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b/>
          <w:bCs/>
          <w:sz w:val="24"/>
          <w:szCs w:val="24"/>
        </w:rPr>
        <w:t>Table S4.1. Per-group summary codon-usage statistics</w:t>
      </w:r>
    </w:p>
    <w:p w14:paraId="60532E0D" w14:textId="77777777" w:rsidR="00B4166D" w:rsidRPr="00B4166D" w:rsidRDefault="00B4166D" w:rsidP="009F470D">
      <w:pPr>
        <w:spacing w:after="120"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sz w:val="24"/>
          <w:szCs w:val="24"/>
        </w:rPr>
        <w:t xml:space="preserve">Table S4.1. Per-group summary statistics (mean ±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s.d.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where applicable). GC = overall CDS GC content; GC3 = GC at third codon positions.</w:t>
      </w:r>
    </w:p>
    <w:tbl>
      <w:tblPr>
        <w:tblW w:w="9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7"/>
        <w:gridCol w:w="900"/>
        <w:gridCol w:w="1475"/>
        <w:gridCol w:w="1272"/>
        <w:gridCol w:w="1272"/>
        <w:gridCol w:w="1272"/>
        <w:gridCol w:w="1272"/>
      </w:tblGrid>
      <w:tr w:rsidR="00B4166D" w:rsidRPr="00B4166D" w14:paraId="6B8417A8" w14:textId="77777777" w:rsidTr="00710D15">
        <w:trPr>
          <w:tblHeader/>
        </w:trPr>
        <w:tc>
          <w:tcPr>
            <w:tcW w:w="24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A870E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Group</w:t>
            </w:r>
          </w:p>
        </w:tc>
        <w:tc>
          <w:tcPr>
            <w:tcW w:w="7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BC1839" w14:textId="77777777" w:rsidR="00B4166D" w:rsidRPr="00B4166D" w:rsidRDefault="00B4166D" w:rsidP="002A18D8">
            <w:pPr>
              <w:ind w:firstLineChars="100"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5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A3187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 length (bp)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AD46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GC (%)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C3040D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GC3 (%)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F4D00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ENc</w:t>
            </w:r>
            <w:proofErr w:type="spellEnd"/>
          </w:p>
        </w:tc>
        <w:tc>
          <w:tcPr>
            <w:tcW w:w="13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B9D097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CAI</w:t>
            </w:r>
          </w:p>
        </w:tc>
      </w:tr>
      <w:tr w:rsidR="00B4166D" w:rsidRPr="00B4166D" w14:paraId="302609C1" w14:textId="77777777" w:rsidTr="00710D15">
        <w:tc>
          <w:tcPr>
            <w:tcW w:w="24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8C69F6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Generated NLR ORFs</w:t>
            </w:r>
          </w:p>
        </w:tc>
        <w:tc>
          <w:tcPr>
            <w:tcW w:w="7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9EBCB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79406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A69CBF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40.6 ± 1.24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81AE3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39.85 ± 5.70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C459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53.64 ± 5.62</w:t>
            </w:r>
          </w:p>
        </w:tc>
        <w:tc>
          <w:tcPr>
            <w:tcW w:w="13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56848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0.772 ± 0.030</w:t>
            </w:r>
          </w:p>
        </w:tc>
      </w:tr>
      <w:tr w:rsidR="00B4166D" w:rsidRPr="00B4166D" w14:paraId="0F0B8CF4" w14:textId="77777777" w:rsidTr="00FF2E24"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0F02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NLR CDS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8F29C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759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0359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3,348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4E9C7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40.68 ± 2.31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93DCE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38.65 ± 4.65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4B864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52.75 ± 2.45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62A2C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0.791 ± 0.016</w:t>
            </w:r>
          </w:p>
        </w:tc>
      </w:tr>
      <w:tr w:rsidR="00B4166D" w:rsidRPr="00B4166D" w14:paraId="7B2D89B4" w14:textId="77777777" w:rsidTr="00710D15"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B2C4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genome-wide CDS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D9B9F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34,508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7ECB7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1,251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210D0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45.59 ± 4.38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FDE31E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44.84 ± 9.19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ECF7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53.56 ± 4.13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8D7DA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0.776 ± 0.040</w:t>
            </w:r>
          </w:p>
        </w:tc>
      </w:tr>
      <w:tr w:rsidR="00B4166D" w:rsidRPr="00B4166D" w14:paraId="50033112" w14:textId="77777777" w:rsidTr="00710D15">
        <w:tc>
          <w:tcPr>
            <w:tcW w:w="24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8B17C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Random coding controls</w:t>
            </w:r>
          </w:p>
        </w:tc>
        <w:tc>
          <w:tcPr>
            <w:tcW w:w="7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D958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E075A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CE13C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50.65 ± 2.71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996F6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49.99 ± 4.23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11EE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61.28 ± 4.60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A6A7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0.685 ± 0.027</w:t>
            </w:r>
          </w:p>
        </w:tc>
      </w:tr>
    </w:tbl>
    <w:p w14:paraId="79FE5E01" w14:textId="1C681726" w:rsidR="00B4166D" w:rsidRPr="008C4F03" w:rsidRDefault="008C4F03" w:rsidP="00B4166D">
      <w:pPr>
        <w:spacing w:after="80" w:line="248" w:lineRule="auto"/>
        <w:ind w:left="120"/>
        <w:rPr>
          <w:rFonts w:ascii="Times New Roman" w:hAnsi="Times New Roman" w:cs="Times New Roman"/>
        </w:rPr>
      </w:pPr>
      <w:r w:rsidRPr="008C4F03">
        <w:rPr>
          <w:rFonts w:ascii="Times New Roman" w:hAnsi="Times New Roman" w:cs="Times New Roman" w:hint="eastAsia"/>
          <w:vertAlign w:val="superscript"/>
        </w:rPr>
        <w:t>1</w:t>
      </w:r>
      <w:r w:rsidR="00B4166D" w:rsidRPr="008C4F03">
        <w:rPr>
          <w:rFonts w:ascii="Times New Roman" w:hAnsi="Times New Roman" w:cs="Times New Roman"/>
        </w:rPr>
        <w:t xml:space="preserve">Median length: the generated and random ORFs have a short median length (351 bp) relative to the </w:t>
      </w:r>
      <w:r w:rsidR="00B4166D" w:rsidRPr="008C4F03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="00B4166D" w:rsidRPr="008C4F03">
        <w:rPr>
          <w:rFonts w:ascii="Times New Roman" w:hAnsi="Times New Roman" w:cs="Times New Roman"/>
          <w:i/>
          <w:iCs/>
        </w:rPr>
        <w:t>glutinosa</w:t>
      </w:r>
      <w:proofErr w:type="spellEnd"/>
      <w:r w:rsidR="00B4166D" w:rsidRPr="008C4F03">
        <w:rPr>
          <w:rFonts w:ascii="Times New Roman" w:hAnsi="Times New Roman" w:cs="Times New Roman"/>
        </w:rPr>
        <w:t xml:space="preserve"> NLR CDS reference (3,348 bp); ORF-extraction settings should be considered when interpreting the generated-group metrics (see Discussion).</w:t>
      </w:r>
    </w:p>
    <w:p w14:paraId="2E6940F4" w14:textId="7270D22B" w:rsidR="00B4166D" w:rsidRPr="008C4F03" w:rsidRDefault="008C4F03" w:rsidP="00B4166D">
      <w:pPr>
        <w:spacing w:after="80" w:line="248" w:lineRule="auto"/>
        <w:ind w:left="120"/>
        <w:rPr>
          <w:rFonts w:ascii="Times New Roman" w:hAnsi="Times New Roman" w:cs="Times New Roman"/>
        </w:rPr>
      </w:pPr>
      <w:r w:rsidRPr="008C4F03">
        <w:rPr>
          <w:rFonts w:ascii="Times New Roman" w:hAnsi="Times New Roman" w:cs="Times New Roman" w:hint="eastAsia"/>
          <w:vertAlign w:val="superscript"/>
        </w:rPr>
        <w:t>2</w:t>
      </w:r>
      <w:r w:rsidR="00B4166D" w:rsidRPr="008C4F03">
        <w:rPr>
          <w:rFonts w:ascii="Times New Roman" w:hAnsi="Times New Roman" w:cs="Times New Roman"/>
          <w:vertAlign w:val="superscript"/>
        </w:rPr>
        <w:t xml:space="preserve"> </w:t>
      </w:r>
      <w:r w:rsidR="00B4166D" w:rsidRPr="008C4F03">
        <w:rPr>
          <w:rFonts w:ascii="Times New Roman" w:hAnsi="Times New Roman" w:cs="Times New Roman"/>
        </w:rPr>
        <w:t>GC = overall CDS GC content; GC3 = GC content at third codon positions.</w:t>
      </w:r>
    </w:p>
    <w:p w14:paraId="16ED9C65" w14:textId="28CF4FB6" w:rsidR="00B4166D" w:rsidRPr="008C4F03" w:rsidRDefault="008C4F03" w:rsidP="00B4166D">
      <w:pPr>
        <w:spacing w:after="80" w:line="248" w:lineRule="auto"/>
        <w:ind w:left="120"/>
        <w:rPr>
          <w:rFonts w:ascii="Times New Roman" w:hAnsi="Times New Roman" w:cs="Times New Roman"/>
        </w:rPr>
      </w:pPr>
      <w:r w:rsidRPr="008C4F03">
        <w:rPr>
          <w:rFonts w:ascii="Times New Roman" w:hAnsi="Times New Roman" w:cs="Times New Roman" w:hint="eastAsia"/>
          <w:vertAlign w:val="superscript"/>
        </w:rPr>
        <w:t>3</w:t>
      </w:r>
      <w:r w:rsidR="00B4166D" w:rsidRPr="008C4F03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="00B4166D" w:rsidRPr="008C4F03">
        <w:rPr>
          <w:rFonts w:ascii="Times New Roman" w:hAnsi="Times New Roman" w:cs="Times New Roman"/>
        </w:rPr>
        <w:t>ENc</w:t>
      </w:r>
      <w:proofErr w:type="spellEnd"/>
      <w:r w:rsidR="00B4166D" w:rsidRPr="008C4F03">
        <w:rPr>
          <w:rFonts w:ascii="Times New Roman" w:hAnsi="Times New Roman" w:cs="Times New Roman"/>
        </w:rPr>
        <w:t xml:space="preserve"> (Effective Number of Codons): 20 (maximal bias) to 61 (no bias / uniform synonymous usage). Lower = stronger bias. Under near-uniform synonymous usage the standard finite-sample estimator can yield values slightly above 61 (as for the random controls, 61.28). Values are interpreted by proximity to the </w:t>
      </w:r>
      <w:r w:rsidR="00B4166D" w:rsidRPr="008C4F03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="00B4166D" w:rsidRPr="008C4F03">
        <w:rPr>
          <w:rFonts w:ascii="Times New Roman" w:hAnsi="Times New Roman" w:cs="Times New Roman"/>
          <w:i/>
          <w:iCs/>
        </w:rPr>
        <w:t>glutinosa</w:t>
      </w:r>
      <w:proofErr w:type="spellEnd"/>
      <w:r w:rsidR="00B4166D" w:rsidRPr="008C4F03">
        <w:rPr>
          <w:rFonts w:ascii="Times New Roman" w:hAnsi="Times New Roman" w:cs="Times New Roman"/>
        </w:rPr>
        <w:t xml:space="preserve"> reference, not by </w:t>
      </w:r>
      <w:proofErr w:type="spellStart"/>
      <w:r w:rsidR="00B4166D" w:rsidRPr="008C4F03">
        <w:rPr>
          <w:rFonts w:ascii="Times New Roman" w:hAnsi="Times New Roman" w:cs="Times New Roman"/>
        </w:rPr>
        <w:t>minimisation</w:t>
      </w:r>
      <w:proofErr w:type="spellEnd"/>
      <w:r w:rsidR="00B4166D" w:rsidRPr="008C4F03">
        <w:rPr>
          <w:rFonts w:ascii="Times New Roman" w:hAnsi="Times New Roman" w:cs="Times New Roman"/>
        </w:rPr>
        <w:t>.</w:t>
      </w:r>
    </w:p>
    <w:p w14:paraId="34959AAB" w14:textId="7215C51C" w:rsidR="00B4166D" w:rsidRPr="008C4F03" w:rsidRDefault="008C4F03" w:rsidP="00B4166D">
      <w:pPr>
        <w:spacing w:after="80" w:line="248" w:lineRule="auto"/>
        <w:ind w:left="120"/>
        <w:rPr>
          <w:rFonts w:ascii="Times New Roman" w:hAnsi="Times New Roman" w:cs="Times New Roman"/>
        </w:rPr>
      </w:pPr>
      <w:r w:rsidRPr="008C4F03">
        <w:rPr>
          <w:rFonts w:ascii="Times New Roman" w:hAnsi="Times New Roman" w:cs="Times New Roman" w:hint="eastAsia"/>
          <w:vertAlign w:val="superscript"/>
        </w:rPr>
        <w:t>4</w:t>
      </w:r>
      <w:r w:rsidR="00B4166D" w:rsidRPr="008C4F03">
        <w:rPr>
          <w:rFonts w:ascii="Times New Roman" w:hAnsi="Times New Roman" w:cs="Times New Roman"/>
          <w:vertAlign w:val="superscript"/>
        </w:rPr>
        <w:t xml:space="preserve"> </w:t>
      </w:r>
      <w:r w:rsidR="00B4166D" w:rsidRPr="008C4F03">
        <w:rPr>
          <w:rFonts w:ascii="Times New Roman" w:hAnsi="Times New Roman" w:cs="Times New Roman"/>
        </w:rPr>
        <w:t xml:space="preserve">CAI (Codon Adaptation Index): range 0–1, computed against the </w:t>
      </w:r>
      <w:r w:rsidR="00B4166D" w:rsidRPr="008C4F03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="00B4166D" w:rsidRPr="008C4F03">
        <w:rPr>
          <w:rFonts w:ascii="Times New Roman" w:hAnsi="Times New Roman" w:cs="Times New Roman"/>
          <w:i/>
          <w:iCs/>
        </w:rPr>
        <w:t>glutinosa</w:t>
      </w:r>
      <w:proofErr w:type="spellEnd"/>
      <w:r w:rsidR="00B4166D" w:rsidRPr="008C4F03">
        <w:rPr>
          <w:rFonts w:ascii="Times New Roman" w:hAnsi="Times New Roman" w:cs="Times New Roman"/>
        </w:rPr>
        <w:t xml:space="preserve"> genome-wide CDS set as the reference; higher = closer to that reference codon usage.</w:t>
      </w:r>
    </w:p>
    <w:p w14:paraId="6A5B7300" w14:textId="006AAA34" w:rsidR="00B4166D" w:rsidRPr="008C4F03" w:rsidRDefault="008C4F03" w:rsidP="00B4166D">
      <w:pPr>
        <w:spacing w:after="80" w:line="248" w:lineRule="auto"/>
        <w:ind w:left="120"/>
        <w:rPr>
          <w:rFonts w:ascii="Times New Roman" w:hAnsi="Times New Roman" w:cs="Times New Roman"/>
        </w:rPr>
      </w:pPr>
      <w:r w:rsidRPr="008C4F03">
        <w:rPr>
          <w:rFonts w:ascii="Times New Roman" w:hAnsi="Times New Roman" w:cs="Times New Roman" w:hint="eastAsia"/>
          <w:vertAlign w:val="superscript"/>
        </w:rPr>
        <w:t>5</w:t>
      </w:r>
      <w:r w:rsidR="00B4166D" w:rsidRPr="008C4F03">
        <w:rPr>
          <w:rFonts w:ascii="Times New Roman" w:hAnsi="Times New Roman" w:cs="Times New Roman"/>
          <w:vertAlign w:val="superscript"/>
        </w:rPr>
        <w:t xml:space="preserve"> </w:t>
      </w:r>
      <w:r w:rsidR="00B4166D" w:rsidRPr="008C4F03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="00B4166D" w:rsidRPr="008C4F03">
        <w:rPr>
          <w:rFonts w:ascii="Times New Roman" w:hAnsi="Times New Roman" w:cs="Times New Roman"/>
          <w:i/>
          <w:iCs/>
        </w:rPr>
        <w:t>glutinosa</w:t>
      </w:r>
      <w:proofErr w:type="spellEnd"/>
      <w:r w:rsidR="00B4166D" w:rsidRPr="008C4F03">
        <w:rPr>
          <w:rFonts w:ascii="Times New Roman" w:hAnsi="Times New Roman" w:cs="Times New Roman"/>
        </w:rPr>
        <w:t xml:space="preserve"> NLR/R-gene CDS reference set: 759 CDS records from 396 unique genes/loci, retained under a conservative filter for disease-resistance / NLR-related annotations (e.g. disease resistance protein, RPP/RPM/RPS/RGA/Roq1/TMV-resistance) and excluding generic LRR receptor-like kinases and F-box/LRR proteins.</w:t>
      </w:r>
    </w:p>
    <w:p w14:paraId="5157C1E2" w14:textId="665F895C" w:rsidR="00B4166D" w:rsidRPr="008C4F03" w:rsidRDefault="008C4F03" w:rsidP="00B4166D">
      <w:pPr>
        <w:spacing w:after="80" w:line="248" w:lineRule="auto"/>
        <w:ind w:left="120"/>
        <w:rPr>
          <w:rFonts w:ascii="Times New Roman" w:hAnsi="Times New Roman" w:cs="Times New Roman"/>
        </w:rPr>
      </w:pPr>
      <w:r w:rsidRPr="008C4F03">
        <w:rPr>
          <w:rFonts w:ascii="Times New Roman" w:hAnsi="Times New Roman" w:cs="Times New Roman" w:hint="eastAsia"/>
          <w:vertAlign w:val="superscript"/>
        </w:rPr>
        <w:t>6</w:t>
      </w:r>
      <w:r w:rsidR="00B4166D" w:rsidRPr="008C4F03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="00B4166D" w:rsidRPr="008C4F03">
        <w:rPr>
          <w:rFonts w:ascii="Times New Roman" w:hAnsi="Times New Roman" w:cs="Times New Roman"/>
          <w:i/>
          <w:iCs/>
        </w:rPr>
        <w:t>glutinosa</w:t>
      </w:r>
      <w:proofErr w:type="spellEnd"/>
      <w:r w:rsidR="00B4166D" w:rsidRPr="008C4F03">
        <w:rPr>
          <w:rFonts w:ascii="Times New Roman" w:hAnsi="Times New Roman" w:cs="Times New Roman"/>
        </w:rPr>
        <w:t xml:space="preserve"> genome-wide CDS = CAI reference set, extracted from the NCBI </w:t>
      </w:r>
      <w:proofErr w:type="spellStart"/>
      <w:r w:rsidR="00B4166D" w:rsidRPr="008C4F03">
        <w:rPr>
          <w:rFonts w:ascii="Times New Roman" w:hAnsi="Times New Roman" w:cs="Times New Roman"/>
        </w:rPr>
        <w:t>RefSeq</w:t>
      </w:r>
      <w:proofErr w:type="spellEnd"/>
      <w:r w:rsidR="00B4166D" w:rsidRPr="008C4F03">
        <w:rPr>
          <w:rFonts w:ascii="Times New Roman" w:hAnsi="Times New Roman" w:cs="Times New Roman"/>
        </w:rPr>
        <w:t xml:space="preserve"> annotation (GCF_958979055.1).</w:t>
      </w:r>
    </w:p>
    <w:p w14:paraId="2EB5D0BF" w14:textId="0AFC1303" w:rsidR="00B4166D" w:rsidRPr="008C4F03" w:rsidRDefault="008C4F03" w:rsidP="00B4166D">
      <w:pPr>
        <w:spacing w:after="80" w:line="248" w:lineRule="auto"/>
        <w:ind w:left="120"/>
        <w:rPr>
          <w:rFonts w:ascii="Times New Roman" w:hAnsi="Times New Roman" w:cs="Times New Roman"/>
        </w:rPr>
      </w:pPr>
      <w:r w:rsidRPr="008C4F03">
        <w:rPr>
          <w:rFonts w:ascii="Times New Roman" w:hAnsi="Times New Roman" w:cs="Times New Roman" w:hint="eastAsia"/>
          <w:vertAlign w:val="superscript"/>
        </w:rPr>
        <w:t>7</w:t>
      </w:r>
      <w:r w:rsidR="00B4166D" w:rsidRPr="008C4F03">
        <w:rPr>
          <w:rFonts w:ascii="Times New Roman" w:hAnsi="Times New Roman" w:cs="Times New Roman"/>
          <w:vertAlign w:val="superscript"/>
        </w:rPr>
        <w:t xml:space="preserve"> </w:t>
      </w:r>
      <w:r w:rsidR="00B4166D" w:rsidRPr="008C4F03">
        <w:rPr>
          <w:rFonts w:ascii="Times New Roman" w:hAnsi="Times New Roman" w:cs="Times New Roman"/>
        </w:rPr>
        <w:t>Random coding controls (n = 92) are length-matched random coding controls with uniform synonymous codon usage.</w:t>
      </w:r>
    </w:p>
    <w:p w14:paraId="1015FA78" w14:textId="77777777" w:rsidR="00B4166D" w:rsidRPr="00B4166D" w:rsidRDefault="00B4166D" w:rsidP="00B4166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36368138" w14:textId="77777777" w:rsidR="00B4166D" w:rsidRPr="00B4166D" w:rsidRDefault="00B4166D" w:rsidP="00B4166D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S4.2. Pairwise RSCU profile correlations</w:t>
      </w:r>
    </w:p>
    <w:p w14:paraId="640820F3" w14:textId="77777777" w:rsidR="00B4166D" w:rsidRPr="00B4166D" w:rsidRDefault="00B4166D" w:rsidP="009F470D">
      <w:pPr>
        <w:spacing w:after="120"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sz w:val="24"/>
          <w:szCs w:val="24"/>
        </w:rPr>
        <w:t>Table S4.2. Pairwise correlation of the relative synonymous codon usage (RSCU) profiles.</w:t>
      </w:r>
    </w:p>
    <w:tbl>
      <w:tblPr>
        <w:tblW w:w="9800" w:type="dxa"/>
        <w:jc w:val="center"/>
        <w:tblBorders>
          <w:top w:val="single" w:sz="12" w:space="0" w:color="000000" w:themeColor="text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2200"/>
        <w:gridCol w:w="2200"/>
      </w:tblGrid>
      <w:tr w:rsidR="00B4166D" w:rsidRPr="00B4166D" w14:paraId="71A3307B" w14:textId="77777777" w:rsidTr="00D648AB">
        <w:trPr>
          <w:tblHeader/>
          <w:jc w:val="center"/>
        </w:trPr>
        <w:tc>
          <w:tcPr>
            <w:tcW w:w="5400" w:type="dxa"/>
            <w:tcBorders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E501CA" w14:textId="77777777" w:rsidR="00B4166D" w:rsidRPr="00B4166D" w:rsidRDefault="00B4166D" w:rsidP="002A18D8">
            <w:pPr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RSCU profile comparison</w:t>
            </w:r>
          </w:p>
        </w:tc>
        <w:tc>
          <w:tcPr>
            <w:tcW w:w="2200" w:type="dxa"/>
            <w:tcBorders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2715C" w14:textId="77777777" w:rsidR="00B4166D" w:rsidRPr="00B4166D" w:rsidRDefault="00B4166D" w:rsidP="002A18D8">
            <w:pPr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Pearson r</w:t>
            </w:r>
          </w:p>
        </w:tc>
        <w:tc>
          <w:tcPr>
            <w:tcW w:w="2200" w:type="dxa"/>
            <w:tcBorders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439B22" w14:textId="77777777" w:rsidR="00B4166D" w:rsidRPr="00B4166D" w:rsidRDefault="00B4166D" w:rsidP="002A18D8">
            <w:pPr>
              <w:ind w:firstLineChars="200" w:firstLine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Spearman ρ</w:t>
            </w:r>
          </w:p>
        </w:tc>
      </w:tr>
      <w:tr w:rsidR="00B4166D" w:rsidRPr="00B4166D" w14:paraId="14A20D4F" w14:textId="77777777" w:rsidTr="00D648AB">
        <w:trPr>
          <w:jc w:val="center"/>
        </w:trPr>
        <w:tc>
          <w:tcPr>
            <w:tcW w:w="54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7C35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A. </w:t>
            </w:r>
            <w:proofErr w:type="spellStart"/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NLR CDS vs genome-wide CDS</w:t>
            </w:r>
          </w:p>
        </w:tc>
        <w:tc>
          <w:tcPr>
            <w:tcW w:w="22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CABCE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0.940</w:t>
            </w:r>
          </w:p>
        </w:tc>
        <w:tc>
          <w:tcPr>
            <w:tcW w:w="22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37CC36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0.911</w:t>
            </w:r>
          </w:p>
        </w:tc>
      </w:tr>
      <w:tr w:rsidR="00B4166D" w:rsidRPr="00B4166D" w14:paraId="7FE9AF7A" w14:textId="77777777" w:rsidTr="00D648AB">
        <w:trPr>
          <w:jc w:val="center"/>
        </w:trPr>
        <w:tc>
          <w:tcPr>
            <w:tcW w:w="5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55370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Generated vs A. </w:t>
            </w: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 genome-wide CDS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EAAF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1467A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0.813</w:t>
            </w:r>
          </w:p>
        </w:tc>
      </w:tr>
      <w:tr w:rsidR="00B4166D" w:rsidRPr="00B4166D" w14:paraId="4B432769" w14:textId="77777777" w:rsidTr="00D648AB">
        <w:trPr>
          <w:jc w:val="center"/>
        </w:trPr>
        <w:tc>
          <w:tcPr>
            <w:tcW w:w="5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DD082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Generated vs A. </w:t>
            </w: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 NLR CDS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4E85D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0.891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C3092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0.883</w:t>
            </w:r>
          </w:p>
        </w:tc>
      </w:tr>
      <w:tr w:rsidR="00B4166D" w:rsidRPr="00B4166D" w14:paraId="51CD8DFB" w14:textId="77777777" w:rsidTr="00D648AB">
        <w:trPr>
          <w:jc w:val="center"/>
        </w:trPr>
        <w:tc>
          <w:tcPr>
            <w:tcW w:w="5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BC5ED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Random vs A. </w:t>
            </w: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 genome-wide CDS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50CAE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46B8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</w:tr>
      <w:tr w:rsidR="00B4166D" w:rsidRPr="00B4166D" w14:paraId="2D60325F" w14:textId="77777777" w:rsidTr="00D648AB">
        <w:trPr>
          <w:jc w:val="center"/>
        </w:trPr>
        <w:tc>
          <w:tcPr>
            <w:tcW w:w="5400" w:type="dxa"/>
            <w:tcBorders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CA6A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Random vs A. </w:t>
            </w: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 NLR CDS</w:t>
            </w:r>
          </w:p>
        </w:tc>
        <w:tc>
          <w:tcPr>
            <w:tcW w:w="2200" w:type="dxa"/>
            <w:tcBorders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22580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  <w:tc>
          <w:tcPr>
            <w:tcW w:w="2200" w:type="dxa"/>
            <w:tcBorders>
              <w:bottom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77B40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</w:tr>
      <w:tr w:rsidR="00B4166D" w:rsidRPr="00B4166D" w14:paraId="63B158C9" w14:textId="77777777" w:rsidTr="00D648AB">
        <w:trPr>
          <w:jc w:val="center"/>
        </w:trPr>
        <w:tc>
          <w:tcPr>
            <w:tcW w:w="5400" w:type="dxa"/>
            <w:tcBorders>
              <w:top w:val="nil"/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9448C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Generated vs random</w:t>
            </w:r>
          </w:p>
        </w:tc>
        <w:tc>
          <w:tcPr>
            <w:tcW w:w="2200" w:type="dxa"/>
            <w:tcBorders>
              <w:top w:val="nil"/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7871F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  <w:tc>
          <w:tcPr>
            <w:tcW w:w="2200" w:type="dxa"/>
            <w:tcBorders>
              <w:top w:val="nil"/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7AF6A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0.171</w:t>
            </w:r>
          </w:p>
        </w:tc>
      </w:tr>
    </w:tbl>
    <w:p w14:paraId="3AB28CD9" w14:textId="231D95A7" w:rsidR="00B4166D" w:rsidRPr="00D648AB" w:rsidRDefault="00D648AB" w:rsidP="00D648AB">
      <w:pPr>
        <w:spacing w:after="80" w:line="248" w:lineRule="auto"/>
        <w:rPr>
          <w:rFonts w:ascii="Times New Roman" w:hAnsi="Times New Roman" w:cs="Times New Roman"/>
        </w:rPr>
      </w:pPr>
      <w:r w:rsidRPr="00D648AB">
        <w:rPr>
          <w:rFonts w:ascii="Times New Roman" w:hAnsi="Times New Roman" w:cs="Times New Roman" w:hint="eastAsia"/>
          <w:vertAlign w:val="superscript"/>
        </w:rPr>
        <w:t>1</w:t>
      </w:r>
      <w:r w:rsidR="00B4166D" w:rsidRPr="00D648AB">
        <w:rPr>
          <w:rFonts w:ascii="Times New Roman" w:hAnsi="Times New Roman" w:cs="Times New Roman"/>
          <w:vertAlign w:val="superscript"/>
        </w:rPr>
        <w:t xml:space="preserve"> </w:t>
      </w:r>
      <w:r w:rsidR="00B4166D" w:rsidRPr="00D648AB">
        <w:rPr>
          <w:rFonts w:ascii="Times New Roman" w:hAnsi="Times New Roman" w:cs="Times New Roman"/>
        </w:rPr>
        <w:t>RSCU (Relative Synonymous Codon Usage) = observed codon count divided by the count expected under equal usage within its synonymous family (RSCU = 1: no bias). Correlations are computed across the synonymous-codon RSCU vector; Met (ATG) and Trp (TGG) have no synonyms and stop codons may be excluded.</w:t>
      </w:r>
    </w:p>
    <w:p w14:paraId="1119360F" w14:textId="57DCEEBE" w:rsidR="00B4166D" w:rsidRDefault="00D648AB" w:rsidP="002A18D8">
      <w:pPr>
        <w:spacing w:after="80" w:line="248" w:lineRule="auto"/>
        <w:rPr>
          <w:rFonts w:ascii="Times New Roman" w:hAnsi="Times New Roman" w:cs="Times New Roman"/>
        </w:rPr>
      </w:pPr>
      <w:r w:rsidRPr="00D648AB">
        <w:rPr>
          <w:rFonts w:ascii="Times New Roman" w:hAnsi="Times New Roman" w:cs="Times New Roman" w:hint="eastAsia"/>
          <w:vertAlign w:val="superscript"/>
        </w:rPr>
        <w:t>2</w:t>
      </w:r>
      <w:r w:rsidR="00B4166D" w:rsidRPr="00D648AB">
        <w:rPr>
          <w:rFonts w:ascii="Times New Roman" w:hAnsi="Times New Roman" w:cs="Times New Roman"/>
          <w:vertAlign w:val="superscript"/>
        </w:rPr>
        <w:t xml:space="preserve"> </w:t>
      </w:r>
      <w:r w:rsidR="00B4166D" w:rsidRPr="00D648AB">
        <w:rPr>
          <w:rFonts w:ascii="Times New Roman" w:hAnsi="Times New Roman" w:cs="Times New Roman"/>
        </w:rPr>
        <w:t xml:space="preserve">The two real reference sets correlate strongly with one another (Pearson r = 0.940). The generated ORFs likewise correlate strongly with both references (r = 0.891 vs. the NLR set and 0.826 vs. the genome-wide set; Spearman ρ = 0.883 and 0.813) and far </w:t>
      </w:r>
      <w:proofErr w:type="gramStart"/>
      <w:r w:rsidR="00B4166D" w:rsidRPr="00D648AB">
        <w:rPr>
          <w:rFonts w:ascii="Times New Roman" w:hAnsi="Times New Roman" w:cs="Times New Roman"/>
        </w:rPr>
        <w:t>more weakly</w:t>
      </w:r>
      <w:proofErr w:type="gramEnd"/>
      <w:r w:rsidR="00B4166D" w:rsidRPr="00D648AB">
        <w:rPr>
          <w:rFonts w:ascii="Times New Roman" w:hAnsi="Times New Roman" w:cs="Times New Roman"/>
        </w:rPr>
        <w:t xml:space="preserve"> with the random controls (r = 0.209). The Pearson and Spearman coefficients are concordant within each comparison, as expected for a near-monotonic RSCU vector.</w:t>
      </w:r>
    </w:p>
    <w:p w14:paraId="486696FB" w14:textId="77777777" w:rsidR="002A18D8" w:rsidRPr="002A18D8" w:rsidRDefault="002A18D8" w:rsidP="002A18D8">
      <w:pPr>
        <w:spacing w:after="80" w:line="248" w:lineRule="auto"/>
        <w:rPr>
          <w:rFonts w:ascii="Times New Roman" w:hAnsi="Times New Roman" w:cs="Times New Roman"/>
        </w:rPr>
      </w:pPr>
    </w:p>
    <w:p w14:paraId="0F3B8C22" w14:textId="77777777" w:rsidR="00B4166D" w:rsidRPr="00B4166D" w:rsidRDefault="00B4166D" w:rsidP="00B4166D">
      <w:pPr>
        <w:spacing w:after="80" w:line="276" w:lineRule="auto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b/>
          <w:bCs/>
          <w:sz w:val="24"/>
          <w:szCs w:val="24"/>
        </w:rPr>
        <w:t>Table S4.3. Between-group Kolmogorov–Smirnov distribution tests</w:t>
      </w:r>
    </w:p>
    <w:p w14:paraId="7A7BAE0B" w14:textId="77777777" w:rsidR="00B4166D" w:rsidRPr="00B4166D" w:rsidRDefault="00B4166D" w:rsidP="009F470D">
      <w:pPr>
        <w:spacing w:after="120"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sz w:val="24"/>
          <w:szCs w:val="24"/>
        </w:rPr>
        <w:t xml:space="preserve">Table S4.3. Two-sample Kolmogorov–Smirnov tests of the GC3,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ENc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and CAI distributions.</w:t>
      </w:r>
    </w:p>
    <w:tbl>
      <w:tblPr>
        <w:tblW w:w="9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000"/>
        <w:gridCol w:w="1700"/>
        <w:gridCol w:w="1700"/>
      </w:tblGrid>
      <w:tr w:rsidR="00B4166D" w:rsidRPr="00B4166D" w14:paraId="61E86F99" w14:textId="77777777" w:rsidTr="002A18D8">
        <w:trPr>
          <w:tblHeader/>
        </w:trPr>
        <w:tc>
          <w:tcPr>
            <w:tcW w:w="14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0D6F3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Metric</w:t>
            </w:r>
          </w:p>
        </w:tc>
        <w:tc>
          <w:tcPr>
            <w:tcW w:w="50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32B53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Comparison</w:t>
            </w:r>
          </w:p>
        </w:tc>
        <w:tc>
          <w:tcPr>
            <w:tcW w:w="17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20384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KS D</w:t>
            </w:r>
          </w:p>
        </w:tc>
        <w:tc>
          <w:tcPr>
            <w:tcW w:w="1700" w:type="dxa"/>
            <w:tcBorders>
              <w:top w:val="single" w:sz="12" w:space="0" w:color="auto"/>
              <w:bottom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BDBC2A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B4166D" w:rsidRPr="00B4166D" w14:paraId="449BCB18" w14:textId="77777777" w:rsidTr="002A18D8">
        <w:tc>
          <w:tcPr>
            <w:tcW w:w="14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E205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GC3</w:t>
            </w:r>
          </w:p>
        </w:tc>
        <w:tc>
          <w:tcPr>
            <w:tcW w:w="50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B88B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Generated vs A. </w:t>
            </w: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 NLR CDS</w:t>
            </w:r>
          </w:p>
        </w:tc>
        <w:tc>
          <w:tcPr>
            <w:tcW w:w="17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B7B50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700" w:type="dxa"/>
            <w:tcBorders>
              <w:top w:val="single" w:sz="8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8DFBB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0.040</w:t>
            </w:r>
          </w:p>
        </w:tc>
      </w:tr>
      <w:tr w:rsidR="00B4166D" w:rsidRPr="00B4166D" w14:paraId="668FB7DF" w14:textId="77777777" w:rsidTr="002A18D8"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B4078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GC3</w:t>
            </w:r>
          </w:p>
        </w:tc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512E3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Generated vs random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2596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0.450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0C43BE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7.7 × 10⁻⁹</w:t>
            </w:r>
          </w:p>
        </w:tc>
      </w:tr>
      <w:tr w:rsidR="00B4166D" w:rsidRPr="00B4166D" w14:paraId="524510D8" w14:textId="77777777" w:rsidTr="002A18D8"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DDCED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ENc</w:t>
            </w:r>
            <w:proofErr w:type="spellEnd"/>
          </w:p>
        </w:tc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12DB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Generated vs A. </w:t>
            </w: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 NLR CDS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229E9E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0.244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BD987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8.6 × 10⁻⁵</w:t>
            </w:r>
          </w:p>
        </w:tc>
      </w:tr>
      <w:tr w:rsidR="00B4166D" w:rsidRPr="00B4166D" w14:paraId="0C3E5A95" w14:textId="77777777" w:rsidTr="002A18D8"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41186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ENc</w:t>
            </w:r>
            <w:proofErr w:type="spellEnd"/>
          </w:p>
        </w:tc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12077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Generated vs random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74674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0.549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A6A61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5.8 × 10⁻</w:t>
            </w:r>
            <w:r w:rsidRPr="00B4166D">
              <w:rPr>
                <w:rFonts w:ascii="Times New Roman" w:eastAsia="等线" w:hAnsi="Times New Roman" w:cs="Times New Roman"/>
                <w:sz w:val="24"/>
                <w:szCs w:val="24"/>
              </w:rPr>
              <w:t>¹³</w:t>
            </w:r>
          </w:p>
        </w:tc>
      </w:tr>
      <w:tr w:rsidR="00B4166D" w:rsidRPr="00B4166D" w14:paraId="116869AD" w14:textId="77777777" w:rsidTr="002A18D8"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5CFA2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CAI</w:t>
            </w:r>
          </w:p>
        </w:tc>
        <w:tc>
          <w:tcPr>
            <w:tcW w:w="5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B5AF5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Generated vs A. </w:t>
            </w:r>
            <w:proofErr w:type="spellStart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glutinosa</w:t>
            </w:r>
            <w:proofErr w:type="spellEnd"/>
            <w:r w:rsidRPr="00B4166D">
              <w:rPr>
                <w:rFonts w:ascii="Times New Roman" w:hAnsi="Times New Roman" w:cs="Times New Roman"/>
                <w:sz w:val="24"/>
                <w:szCs w:val="24"/>
              </w:rPr>
              <w:t xml:space="preserve"> NLR CDS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D526D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0.383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00F50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3.4 × 10⁻</w:t>
            </w:r>
            <w:r w:rsidRPr="00B4166D">
              <w:rPr>
                <w:rFonts w:ascii="Times New Roman" w:eastAsia="等线" w:hAnsi="Times New Roman" w:cs="Times New Roman"/>
                <w:sz w:val="24"/>
                <w:szCs w:val="24"/>
              </w:rPr>
              <w:t>¹¹</w:t>
            </w:r>
          </w:p>
        </w:tc>
      </w:tr>
      <w:tr w:rsidR="00B4166D" w:rsidRPr="00B4166D" w14:paraId="4AD53E15" w14:textId="77777777" w:rsidTr="002A18D8">
        <w:tc>
          <w:tcPr>
            <w:tcW w:w="14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AABDC1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CAI</w:t>
            </w:r>
          </w:p>
        </w:tc>
        <w:tc>
          <w:tcPr>
            <w:tcW w:w="50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E7FE3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Generated vs random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CFB29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0.873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C299D" w14:textId="77777777" w:rsidR="00B4166D" w:rsidRPr="00B4166D" w:rsidRDefault="00B4166D" w:rsidP="002A1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66D">
              <w:rPr>
                <w:rFonts w:ascii="Times New Roman" w:hAnsi="Times New Roman" w:cs="Times New Roman"/>
                <w:sz w:val="24"/>
                <w:szCs w:val="24"/>
              </w:rPr>
              <w:t>2.7 × 10⁻</w:t>
            </w:r>
            <w:r w:rsidRPr="00B4166D">
              <w:rPr>
                <w:rFonts w:ascii="Times New Roman" w:eastAsia="等线" w:hAnsi="Times New Roman" w:cs="Times New Roman"/>
                <w:sz w:val="24"/>
                <w:szCs w:val="24"/>
              </w:rPr>
              <w:t>³²</w:t>
            </w:r>
          </w:p>
        </w:tc>
      </w:tr>
    </w:tbl>
    <w:p w14:paraId="2B8E03F7" w14:textId="2EE15FC8" w:rsidR="00B4166D" w:rsidRPr="009F470D" w:rsidRDefault="002A18D8" w:rsidP="009F470D">
      <w:pPr>
        <w:spacing w:after="80" w:line="248" w:lineRule="auto"/>
        <w:rPr>
          <w:rFonts w:ascii="Times New Roman" w:hAnsi="Times New Roman" w:cs="Times New Roman"/>
        </w:rPr>
      </w:pPr>
      <w:r w:rsidRPr="002A18D8">
        <w:rPr>
          <w:rFonts w:ascii="Times New Roman" w:hAnsi="Times New Roman" w:cs="Times New Roman" w:hint="eastAsia"/>
          <w:vertAlign w:val="superscript"/>
        </w:rPr>
        <w:t xml:space="preserve">1 </w:t>
      </w:r>
      <w:r w:rsidR="00B4166D" w:rsidRPr="002A18D8">
        <w:rPr>
          <w:rFonts w:ascii="Times New Roman" w:hAnsi="Times New Roman" w:cs="Times New Roman"/>
        </w:rPr>
        <w:t xml:space="preserve">KS = two-sample Kolmogorov–Smirnov test (statistic D, two-sided). With n ≈ 92 per generated/random group these tests retain power; the smaller D values against the </w:t>
      </w:r>
      <w:r w:rsidR="00B4166D" w:rsidRPr="002A18D8">
        <w:rPr>
          <w:rFonts w:ascii="Times New Roman" w:hAnsi="Times New Roman" w:cs="Times New Roman"/>
          <w:i/>
          <w:iCs/>
        </w:rPr>
        <w:t xml:space="preserve">A. </w:t>
      </w:r>
      <w:proofErr w:type="spellStart"/>
      <w:r w:rsidR="00B4166D" w:rsidRPr="002A18D8">
        <w:rPr>
          <w:rFonts w:ascii="Times New Roman" w:hAnsi="Times New Roman" w:cs="Times New Roman"/>
          <w:i/>
          <w:iCs/>
        </w:rPr>
        <w:t>glutinosa</w:t>
      </w:r>
      <w:proofErr w:type="spellEnd"/>
      <w:r w:rsidR="00B4166D" w:rsidRPr="002A18D8">
        <w:rPr>
          <w:rFonts w:ascii="Times New Roman" w:hAnsi="Times New Roman" w:cs="Times New Roman"/>
        </w:rPr>
        <w:t xml:space="preserve"> NLR reference, together with the larger and highly significant D values against the random controls, indicate that the generated distributions lie closer to the species reference than to the unbiased random distribution.</w:t>
      </w:r>
      <w:r w:rsidR="009F470D">
        <w:rPr>
          <w:rFonts w:ascii="Times New Roman" w:hAnsi="Times New Roman" w:cs="Times New Roman" w:hint="eastAsia"/>
        </w:rPr>
        <w:t xml:space="preserve"> </w:t>
      </w:r>
    </w:p>
    <w:p w14:paraId="27196101" w14:textId="77777777" w:rsidR="00B4166D" w:rsidRPr="00B4166D" w:rsidRDefault="00B4166D" w:rsidP="009F470D">
      <w:pPr>
        <w:spacing w:after="120"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sz w:val="24"/>
          <w:szCs w:val="24"/>
        </w:rPr>
        <w:t>The genome-wide and NLR reference sets show the expected eudicot signature (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ENc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≈ 53, CAI ≈ 0.78–0.79) and their RSCU profiles are strongly correlated (Pearson r = 0.940), confirming that the measurement pipeline is sound. The generated ORFs resemble the </w:t>
      </w:r>
      <w:r w:rsidRPr="009F470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F470D">
        <w:rPr>
          <w:rFonts w:ascii="Times New Roman" w:hAnsi="Times New Roman" w:cs="Times New Roman"/>
          <w:sz w:val="24"/>
          <w:szCs w:val="24"/>
        </w:rPr>
        <w:t>glutinosa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reference far more than the random controls: their overall GC (40.6%) and GC3 (39.85%) closely match the NLR reference (40.68% and 38.65%), their mean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ENc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(53.64) and CAI (0.772) are comparable to the reference values </w:t>
      </w:r>
      <w:r w:rsidRPr="00B4166D">
        <w:rPr>
          <w:rFonts w:ascii="Times New Roman" w:hAnsi="Times New Roman" w:cs="Times New Roman"/>
          <w:sz w:val="24"/>
          <w:szCs w:val="24"/>
        </w:rPr>
        <w:lastRenderedPageBreak/>
        <w:t xml:space="preserve">(slightly above the references on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ENc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, 52.75–53.56, and slightly below on CAI, 0.776–0.791), and their RSCU profiles are strongly correlated with both reference sets (Pearson r = 0.891 vs. the NLR set and 0.826 vs. the genome-wide set; Spearman ρ = 0.883 and 0.813), while correlating only weakly with the random controls (r = 0.209). In the Kolmogorov–Smirnov tests (Table S4.3) the generated distributions are far closer to the </w:t>
      </w:r>
      <w:r w:rsidRPr="009F470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F470D">
        <w:rPr>
          <w:rFonts w:ascii="Times New Roman" w:hAnsi="Times New Roman" w:cs="Times New Roman"/>
          <w:sz w:val="24"/>
          <w:szCs w:val="24"/>
        </w:rPr>
        <w:t>glutinosa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NLR reference than to the random controls on all three metrics. The generated distributions still differ significantly from the NLR reference (GC3 D = 0.152, p = 0.040;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ENc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D = 0.244, p = 8.6 × 10⁻⁵; CAI D = 0.383, p = 3.4 </w:t>
      </w:r>
      <w:r w:rsidRPr="009F470D">
        <w:rPr>
          <w:rFonts w:ascii="Times New Roman" w:hAnsi="Times New Roman" w:cs="Times New Roman"/>
          <w:sz w:val="24"/>
          <w:szCs w:val="24"/>
        </w:rPr>
        <w:t>×</w:t>
      </w:r>
      <w:r w:rsidRPr="00B4166D">
        <w:rPr>
          <w:rFonts w:ascii="Times New Roman" w:hAnsi="Times New Roman" w:cs="Times New Roman"/>
          <w:sz w:val="24"/>
          <w:szCs w:val="24"/>
        </w:rPr>
        <w:t xml:space="preserve"> 10⁻</w:t>
      </w:r>
      <w:r w:rsidRPr="009F470D">
        <w:rPr>
          <w:rFonts w:ascii="Times New Roman" w:hAnsi="Times New Roman" w:cs="Times New Roman"/>
          <w:sz w:val="24"/>
          <w:szCs w:val="24"/>
        </w:rPr>
        <w:t>¹¹</w:t>
      </w:r>
      <w:r w:rsidRPr="00B4166D">
        <w:rPr>
          <w:rFonts w:ascii="Times New Roman" w:hAnsi="Times New Roman" w:cs="Times New Roman"/>
          <w:sz w:val="24"/>
          <w:szCs w:val="24"/>
        </w:rPr>
        <w:t xml:space="preserve">), but these differences are far smaller in magnitude than those against the random controls (GC3 D = 0.450;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ENc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D = 0.549; CAI D = 0.873), so the generated ORFs are consistently displaced away from the unbiased random distribution and toward the species reference.</w:t>
      </w:r>
    </w:p>
    <w:p w14:paraId="13AB1B44" w14:textId="77777777" w:rsidR="00B4166D" w:rsidRPr="00B4166D" w:rsidRDefault="00B4166D" w:rsidP="009F470D">
      <w:pPr>
        <w:spacing w:after="120" w:line="276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B4166D">
        <w:rPr>
          <w:rFonts w:ascii="Times New Roman" w:hAnsi="Times New Roman" w:cs="Times New Roman"/>
          <w:sz w:val="24"/>
          <w:szCs w:val="24"/>
        </w:rPr>
        <w:t xml:space="preserve">Taken together, these results indicate that the species-specific codon-usage signature was largely recapitulated at the ORF level: on composition, codon-bias summary statistics and RSCU profile alike, the generated ORFs resemble the </w:t>
      </w:r>
      <w:r w:rsidRPr="009F470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F470D">
        <w:rPr>
          <w:rFonts w:ascii="Times New Roman" w:hAnsi="Times New Roman" w:cs="Times New Roman"/>
          <w:sz w:val="24"/>
          <w:szCs w:val="24"/>
        </w:rPr>
        <w:t>glutinosa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reference far more than the unbiased random controls. This is consistent with the model capturing not only large-scale composition and domain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(main text) but also fine-grained synonymous codon preferences. A residual gap from the reference nonetheless remains: the KS differences against the NLR set are statistically significant and, although far smaller than those against the random controls, are not negligible for every metric — the gap is smallest for GC3 (D = 0.152) and largest for CAI (D = 0.383). Together with the short median length of the generated ORFs (351 bp; Table S4.1 note a), this leaves room for refinement (e.g. adding an explicit codon-usage objective or applying post-hoc codon </w:t>
      </w:r>
      <w:proofErr w:type="spellStart"/>
      <w:r w:rsidRPr="00B4166D">
        <w:rPr>
          <w:rFonts w:ascii="Times New Roman" w:hAnsi="Times New Roman" w:cs="Times New Roman"/>
          <w:sz w:val="24"/>
          <w:szCs w:val="24"/>
        </w:rPr>
        <w:t>optimisation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toward the </w:t>
      </w:r>
      <w:r w:rsidRPr="009F470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9F470D">
        <w:rPr>
          <w:rFonts w:ascii="Times New Roman" w:hAnsi="Times New Roman" w:cs="Times New Roman"/>
          <w:sz w:val="24"/>
          <w:szCs w:val="24"/>
        </w:rPr>
        <w:t>glutinosa</w:t>
      </w:r>
      <w:proofErr w:type="spellEnd"/>
      <w:r w:rsidRPr="00B4166D">
        <w:rPr>
          <w:rFonts w:ascii="Times New Roman" w:hAnsi="Times New Roman" w:cs="Times New Roman"/>
          <w:sz w:val="24"/>
          <w:szCs w:val="24"/>
        </w:rPr>
        <w:t xml:space="preserve"> codon table). Overall, however, the generated ORFs reproduce the expected species codon-usage signature.</w:t>
      </w:r>
    </w:p>
    <w:p w14:paraId="1B75FBB1" w14:textId="77777777" w:rsidR="00164DD0" w:rsidRPr="00B4166D" w:rsidRDefault="00164DD0" w:rsidP="00B4166D">
      <w:pPr>
        <w:rPr>
          <w:rFonts w:ascii="Times New Roman" w:hAnsi="Times New Roman" w:cs="Times New Roman"/>
          <w:sz w:val="24"/>
          <w:szCs w:val="24"/>
        </w:rPr>
      </w:pPr>
    </w:p>
    <w:sectPr w:rsidR="00164DD0" w:rsidRPr="00B4166D" w:rsidSect="002A18D8">
      <w:pgSz w:w="12240" w:h="15840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B71EB" w14:textId="77777777" w:rsidR="005342E0" w:rsidRDefault="005342E0" w:rsidP="00AB6DC4">
      <w:r>
        <w:separator/>
      </w:r>
    </w:p>
  </w:endnote>
  <w:endnote w:type="continuationSeparator" w:id="0">
    <w:p w14:paraId="3F899F87" w14:textId="77777777" w:rsidR="005342E0" w:rsidRDefault="005342E0" w:rsidP="00AB6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3DE8" w14:textId="77777777" w:rsidR="005342E0" w:rsidRDefault="005342E0" w:rsidP="00AB6DC4">
      <w:r>
        <w:separator/>
      </w:r>
    </w:p>
  </w:footnote>
  <w:footnote w:type="continuationSeparator" w:id="0">
    <w:p w14:paraId="51AFEF83" w14:textId="77777777" w:rsidR="005342E0" w:rsidRDefault="005342E0" w:rsidP="00AB6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C4"/>
    <w:rsid w:val="00146C3D"/>
    <w:rsid w:val="00164DD0"/>
    <w:rsid w:val="002A18D8"/>
    <w:rsid w:val="003E15BA"/>
    <w:rsid w:val="005342E0"/>
    <w:rsid w:val="0066344D"/>
    <w:rsid w:val="00710D15"/>
    <w:rsid w:val="0074370F"/>
    <w:rsid w:val="00783784"/>
    <w:rsid w:val="00785477"/>
    <w:rsid w:val="008C4F03"/>
    <w:rsid w:val="008E1DC9"/>
    <w:rsid w:val="00933EAA"/>
    <w:rsid w:val="0097652D"/>
    <w:rsid w:val="009F470D"/>
    <w:rsid w:val="00A55411"/>
    <w:rsid w:val="00AB6DC4"/>
    <w:rsid w:val="00B4166D"/>
    <w:rsid w:val="00B44C7E"/>
    <w:rsid w:val="00D30762"/>
    <w:rsid w:val="00D64235"/>
    <w:rsid w:val="00D648AB"/>
    <w:rsid w:val="00F26081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6FC1E6"/>
  <w15:chartTrackingRefBased/>
  <w15:docId w15:val="{C4341447-4812-411C-986D-2DF3DD95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DC4"/>
    <w:pPr>
      <w:widowControl w:val="0"/>
      <w:spacing w:after="0" w:line="240" w:lineRule="auto"/>
    </w:pPr>
    <w:rPr>
      <w:rFonts w:ascii="Arial" w:hAnsi="Arial" w:cs="Arial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6DC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AB6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D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DC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DC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DC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DC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DC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DC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6DC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6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6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6DC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6DC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B6DC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6DC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6DC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6DC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B6D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B6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DC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B6D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6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B6D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6DC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6DC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6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B6DC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6DC4"/>
    <w:rPr>
      <w:b/>
      <w:bCs/>
      <w:smallCaps/>
      <w:color w:val="0F4761" w:themeColor="accent1" w:themeShade="BF"/>
      <w:spacing w:val="5"/>
    </w:rPr>
  </w:style>
  <w:style w:type="character" w:styleId="ae">
    <w:name w:val="footnote reference"/>
    <w:uiPriority w:val="99"/>
    <w:semiHidden/>
    <w:unhideWhenUsed/>
    <w:rsid w:val="00AB6DC4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146C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46C3D"/>
    <w:rPr>
      <w:rFonts w:ascii="Arial" w:hAnsi="Arial" w:cs="Arial"/>
      <w:kern w:val="0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146C3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46C3D"/>
    <w:rPr>
      <w:rFonts w:ascii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振光 魏</dc:creator>
  <cp:keywords/>
  <dc:description/>
  <cp:lastModifiedBy>振光 魏</cp:lastModifiedBy>
  <cp:revision>2</cp:revision>
  <dcterms:created xsi:type="dcterms:W3CDTF">2026-06-11T07:46:00Z</dcterms:created>
  <dcterms:modified xsi:type="dcterms:W3CDTF">2026-06-14T01:46:00Z</dcterms:modified>
</cp:coreProperties>
</file>