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5AF08" w14:textId="3C5104AF" w:rsidR="001E47E4" w:rsidRPr="005F4BC2" w:rsidRDefault="00EC4EF7" w:rsidP="001E47E4">
      <w:pPr>
        <w:spacing w:after="60"/>
        <w:rPr>
          <w:sz w:val="28"/>
          <w:szCs w:val="28"/>
        </w:rPr>
      </w:pPr>
      <w:r>
        <w:rPr>
          <w:rFonts w:eastAsia="Times New Roman"/>
          <w:b/>
          <w:bCs/>
          <w:sz w:val="28"/>
          <w:szCs w:val="28"/>
        </w:rPr>
        <w:t>Supplementary Material S</w:t>
      </w:r>
      <w:r>
        <w:rPr>
          <w:rFonts w:hint="eastAsia"/>
          <w:b/>
          <w:bCs/>
          <w:sz w:val="28"/>
          <w:szCs w:val="28"/>
        </w:rPr>
        <w:t>7</w:t>
      </w:r>
      <w:r w:rsidR="005F4BC2">
        <w:rPr>
          <w:rFonts w:hint="eastAsia"/>
          <w:b/>
          <w:bCs/>
          <w:sz w:val="28"/>
          <w:szCs w:val="28"/>
        </w:rPr>
        <w:t xml:space="preserve"> </w:t>
      </w:r>
      <w:r w:rsidR="001E47E4" w:rsidRPr="005F4BC2">
        <w:rPr>
          <w:sz w:val="28"/>
          <w:szCs w:val="28"/>
        </w:rPr>
        <w:t>Dinucleotide-preserving shuffled NLR negative controls for biological validation</w:t>
      </w:r>
    </w:p>
    <w:p w14:paraId="05B5761A" w14:textId="44C53D47" w:rsidR="00475F78" w:rsidRPr="005F4BC2" w:rsidRDefault="001E47E4" w:rsidP="005F4BC2">
      <w:pPr>
        <w:spacing w:after="200"/>
        <w:ind w:firstLineChars="200" w:firstLine="480"/>
        <w:rPr>
          <w:sz w:val="24"/>
          <w:szCs w:val="24"/>
        </w:rPr>
      </w:pPr>
      <w:r w:rsidRPr="005F4BC2">
        <w:rPr>
          <w:sz w:val="24"/>
          <w:szCs w:val="24"/>
        </w:rPr>
        <w:t xml:space="preserve">Random genomic sequences provide a general negative background but differ from natural NLR loci in length, GC content, and local nucleotide composition. To provide a more stringent composition-matched biological negative control, we generated dinucleotide-preserving shuffled sequences from the reference Alnus </w:t>
      </w:r>
      <w:proofErr w:type="spellStart"/>
      <w:r w:rsidRPr="005F4BC2">
        <w:rPr>
          <w:sz w:val="24"/>
          <w:szCs w:val="24"/>
        </w:rPr>
        <w:t>glutinosa</w:t>
      </w:r>
      <w:proofErr w:type="spellEnd"/>
      <w:r w:rsidRPr="005F4BC2">
        <w:rPr>
          <w:sz w:val="24"/>
          <w:szCs w:val="24"/>
        </w:rPr>
        <w:t xml:space="preserve"> NLR loci. This control retains low-order nucleotide composition while disrupting motif integrity, domain organization, reading-frame structure, and positional regulatory signals. It therefore enables the contribution of higher-order sequence organization to be distinguished from that of nucleotide composition alone</w:t>
      </w:r>
      <w:r w:rsidR="00475F78" w:rsidRPr="005F4BC2">
        <w:rPr>
          <w:sz w:val="24"/>
          <w:szCs w:val="24"/>
        </w:rPr>
        <w:t>.</w:t>
      </w:r>
    </w:p>
    <w:p w14:paraId="0ED225ED" w14:textId="78F99078" w:rsidR="00475F78" w:rsidRPr="00F817E2" w:rsidRDefault="00475F78" w:rsidP="00F817E2">
      <w:pPr>
        <w:pStyle w:val="1"/>
        <w:spacing w:line="278" w:lineRule="auto"/>
        <w:rPr>
          <w:rFonts w:ascii="Times New Roman" w:eastAsiaTheme="minorEastAsia" w:hAnsi="Times New Roman" w:cs="Times New Roman"/>
          <w:color w:val="auto"/>
          <w:kern w:val="2"/>
          <w:sz w:val="28"/>
          <w:szCs w:val="28"/>
          <w14:ligatures w14:val="standardContextual"/>
        </w:rPr>
      </w:pPr>
      <w:r w:rsidRPr="00F817E2">
        <w:rPr>
          <w:rFonts w:ascii="Times New Roman" w:eastAsiaTheme="minorEastAsia" w:hAnsi="Times New Roman" w:cs="Times New Roman"/>
          <w:color w:val="auto"/>
          <w:kern w:val="2"/>
          <w:sz w:val="28"/>
          <w:szCs w:val="28"/>
          <w14:ligatures w14:val="standardContextual"/>
        </w:rPr>
        <w:t xml:space="preserve">S7.1 </w:t>
      </w:r>
      <w:r w:rsidR="001E47E4" w:rsidRPr="001E47E4">
        <w:rPr>
          <w:rFonts w:ascii="Times New Roman" w:eastAsiaTheme="minorEastAsia" w:hAnsi="Times New Roman" w:cs="Times New Roman"/>
          <w:color w:val="auto"/>
          <w:kern w:val="2"/>
          <w:sz w:val="28"/>
          <w:szCs w:val="28"/>
          <w14:ligatures w14:val="standardContextual"/>
        </w:rPr>
        <w:t>Construction and evaluation of the shuffled NLR control</w:t>
      </w:r>
    </w:p>
    <w:p w14:paraId="2BC5F768" w14:textId="77777777" w:rsidR="001E47E4" w:rsidRPr="005F4BC2" w:rsidRDefault="001E47E4" w:rsidP="005F4BC2">
      <w:pPr>
        <w:spacing w:after="200"/>
        <w:ind w:firstLineChars="200" w:firstLine="480"/>
        <w:rPr>
          <w:sz w:val="24"/>
          <w:szCs w:val="24"/>
        </w:rPr>
      </w:pPr>
      <w:r w:rsidRPr="005F4BC2">
        <w:rPr>
          <w:sz w:val="24"/>
          <w:szCs w:val="24"/>
        </w:rPr>
        <w:t xml:space="preserve">The shuffled control was constructed from the </w:t>
      </w:r>
      <w:proofErr w:type="gramStart"/>
      <w:r w:rsidRPr="005F4BC2">
        <w:rPr>
          <w:sz w:val="24"/>
          <w:szCs w:val="24"/>
        </w:rPr>
        <w:t>362 reference</w:t>
      </w:r>
      <w:proofErr w:type="gramEnd"/>
      <w:r w:rsidRPr="005F4BC2">
        <w:rPr>
          <w:sz w:val="24"/>
          <w:szCs w:val="24"/>
        </w:rPr>
        <w:t xml:space="preserve"> A. </w:t>
      </w:r>
      <w:proofErr w:type="spellStart"/>
      <w:r w:rsidRPr="005F4BC2">
        <w:rPr>
          <w:sz w:val="24"/>
          <w:szCs w:val="24"/>
        </w:rPr>
        <w:t>glutinosa</w:t>
      </w:r>
      <w:proofErr w:type="spellEnd"/>
      <w:r w:rsidRPr="005F4BC2">
        <w:rPr>
          <w:sz w:val="24"/>
          <w:szCs w:val="24"/>
        </w:rPr>
        <w:t xml:space="preserve"> NLR loci used in Section 3.3. Each locus was independently shuffled 10 times using the Altschul–Erikson dinucleotide-preserving algorithm implemented in </w:t>
      </w:r>
      <w:proofErr w:type="spellStart"/>
      <w:r w:rsidRPr="005F4BC2">
        <w:rPr>
          <w:sz w:val="24"/>
          <w:szCs w:val="24"/>
        </w:rPr>
        <w:t>uShuffle</w:t>
      </w:r>
      <w:proofErr w:type="spellEnd"/>
      <w:r w:rsidRPr="005F4BC2">
        <w:rPr>
          <w:sz w:val="24"/>
          <w:szCs w:val="24"/>
        </w:rPr>
        <w:t xml:space="preserve"> v1.1.2 with k = 2, producing 3,620 shuffled sequences. The procedure preserved sequence length and dinucleotide frequencies and was designed to retain the corresponding nucleotide composition and GC content while disrupting higher-order sequence organization. All shuffled sequences were evaluated using the same NLR-Annotator, functional-scoring, ORF-prediction, </w:t>
      </w:r>
      <w:proofErr w:type="spellStart"/>
      <w:r w:rsidRPr="005F4BC2">
        <w:rPr>
          <w:sz w:val="24"/>
          <w:szCs w:val="24"/>
        </w:rPr>
        <w:t>ExPASy</w:t>
      </w:r>
      <w:proofErr w:type="spellEnd"/>
      <w:r w:rsidRPr="005F4BC2">
        <w:rPr>
          <w:sz w:val="24"/>
          <w:szCs w:val="24"/>
        </w:rPr>
        <w:t xml:space="preserve"> translation, </w:t>
      </w:r>
      <w:proofErr w:type="spellStart"/>
      <w:r w:rsidRPr="005F4BC2">
        <w:rPr>
          <w:sz w:val="24"/>
          <w:szCs w:val="24"/>
        </w:rPr>
        <w:t>ESMFold</w:t>
      </w:r>
      <w:proofErr w:type="spellEnd"/>
      <w:r w:rsidRPr="005F4BC2">
        <w:rPr>
          <w:sz w:val="24"/>
          <w:szCs w:val="24"/>
        </w:rPr>
        <w:t>, and zero-shot structural-classification procedures applied to the reference, generated, and random-control sequences.</w:t>
      </w:r>
    </w:p>
    <w:p w14:paraId="64B1169D" w14:textId="77777777" w:rsidR="001E47E4" w:rsidRPr="005F4BC2" w:rsidRDefault="001E47E4" w:rsidP="005F4BC2">
      <w:pPr>
        <w:spacing w:after="200"/>
        <w:ind w:firstLineChars="200" w:firstLine="480"/>
        <w:rPr>
          <w:sz w:val="24"/>
          <w:szCs w:val="24"/>
        </w:rPr>
      </w:pPr>
      <w:r w:rsidRPr="005F4BC2">
        <w:rPr>
          <w:sz w:val="24"/>
          <w:szCs w:val="24"/>
        </w:rPr>
        <w:t xml:space="preserve">The shuffled sequences were </w:t>
      </w:r>
      <w:proofErr w:type="spellStart"/>
      <w:r w:rsidRPr="005F4BC2">
        <w:rPr>
          <w:sz w:val="24"/>
          <w:szCs w:val="24"/>
        </w:rPr>
        <w:t>organised</w:t>
      </w:r>
      <w:proofErr w:type="spellEnd"/>
      <w:r w:rsidRPr="005F4BC2">
        <w:rPr>
          <w:sz w:val="24"/>
          <w:szCs w:val="24"/>
        </w:rPr>
        <w:t xml:space="preserve"> into 10 replicate sets, each containing one shuffled sequence per reference locus (n = 362 per replicate). Outcomes were first summarized at the source-locus level within each replicate, and individual shuffled sequences were not treated as independent biological observations. Shuffled NLR results were then summarized across the 10 replicate sets. Functional-score comparisons used 100 source loci to match the generated and random-control sample sizes. Protein-structure analyses included only sequences containing ORFs that met the predefined translation criteria.</w:t>
      </w:r>
    </w:p>
    <w:p w14:paraId="78BD69F6" w14:textId="77777777" w:rsidR="001E47E4" w:rsidRPr="005F4BC2" w:rsidRDefault="001E47E4" w:rsidP="005F4BC2">
      <w:pPr>
        <w:spacing w:after="200"/>
        <w:ind w:firstLineChars="200" w:firstLine="480"/>
        <w:rPr>
          <w:sz w:val="24"/>
          <w:szCs w:val="24"/>
        </w:rPr>
      </w:pPr>
      <w:r w:rsidRPr="005F4BC2">
        <w:rPr>
          <w:sz w:val="24"/>
          <w:szCs w:val="24"/>
        </w:rPr>
        <w:t>Generated and Shuffled NLR results were compared using two-sided paired permutation tests based on the replicate-level summaries. P values for the five prespecified biological endpoints were adjusted for multiple comparisons using the Holm method. GC content was evaluated separately as a composition-matching check by comparing the Reference and Shuffled NLR groups using a two-sample Kolmogorov–Smirnov test.</w:t>
      </w:r>
    </w:p>
    <w:p w14:paraId="1596F5E9" w14:textId="77777777" w:rsidR="001E47E4" w:rsidRPr="005F4BC2" w:rsidRDefault="001E47E4" w:rsidP="005F4BC2">
      <w:pPr>
        <w:spacing w:after="200"/>
        <w:ind w:firstLineChars="200" w:firstLine="480"/>
        <w:rPr>
          <w:sz w:val="24"/>
          <w:szCs w:val="24"/>
        </w:rPr>
      </w:pPr>
      <w:r w:rsidRPr="005F4BC2">
        <w:rPr>
          <w:sz w:val="24"/>
          <w:szCs w:val="24"/>
        </w:rPr>
        <w:t xml:space="preserve">Composition matching was assessed before downstream evaluation. The Reference and Shuffled NLR groups had the same mean GC content (38.1%), and </w:t>
      </w:r>
      <w:r w:rsidRPr="005F4BC2">
        <w:rPr>
          <w:sz w:val="24"/>
          <w:szCs w:val="24"/>
        </w:rPr>
        <w:lastRenderedPageBreak/>
        <w:t>their GC-content distributions did not differ significantly (KS p = 0.71). Dinucleotide frequencies were preserved by the k = 2 shuffling procedure.</w:t>
      </w:r>
    </w:p>
    <w:p w14:paraId="5BCDE4D1" w14:textId="2388A384" w:rsidR="00B33285" w:rsidRPr="005F4BC2" w:rsidRDefault="00B35131" w:rsidP="005F4BC2">
      <w:pPr>
        <w:rPr>
          <w:b/>
          <w:bCs/>
          <w:sz w:val="24"/>
          <w:szCs w:val="24"/>
        </w:rPr>
      </w:pPr>
      <w:r w:rsidRPr="005F4BC2">
        <w:rPr>
          <w:b/>
          <w:bCs/>
          <w:sz w:val="24"/>
          <w:szCs w:val="24"/>
        </w:rPr>
        <w:t>Table S7.1</w:t>
      </w:r>
      <w:r w:rsidR="005B0EFA" w:rsidRPr="005F4BC2">
        <w:rPr>
          <w:rFonts w:hint="eastAsia"/>
          <w:b/>
          <w:bCs/>
          <w:sz w:val="24"/>
          <w:szCs w:val="24"/>
        </w:rPr>
        <w:t xml:space="preserve"> </w:t>
      </w:r>
      <w:r w:rsidR="005B0EFA" w:rsidRPr="005F4BC2">
        <w:rPr>
          <w:b/>
          <w:bCs/>
          <w:sz w:val="24"/>
          <w:szCs w:val="24"/>
        </w:rPr>
        <w:t xml:space="preserve">Biological performance of reference, generated and </w:t>
      </w:r>
      <w:proofErr w:type="spellStart"/>
      <w:r w:rsidR="005B0EFA" w:rsidRPr="005F4BC2">
        <w:rPr>
          <w:b/>
          <w:bCs/>
          <w:sz w:val="24"/>
          <w:szCs w:val="24"/>
        </w:rPr>
        <w:t>controlsequences</w:t>
      </w:r>
      <w:proofErr w:type="spellEnd"/>
    </w:p>
    <w:tbl>
      <w:tblPr>
        <w:tblW w:w="8642" w:type="dxa"/>
        <w:tblBorders>
          <w:top w:val="single" w:sz="4" w:space="0" w:color="000000" w:themeColor="text1"/>
          <w:bottom w:val="single" w:sz="4" w:space="0" w:color="000000" w:themeColor="text1"/>
        </w:tblBorders>
        <w:tblCellMar>
          <w:left w:w="10" w:type="dxa"/>
          <w:right w:w="10" w:type="dxa"/>
        </w:tblCellMar>
        <w:tblLook w:val="04A0" w:firstRow="1" w:lastRow="0" w:firstColumn="1" w:lastColumn="0" w:noHBand="0" w:noVBand="1"/>
      </w:tblPr>
      <w:tblGrid>
        <w:gridCol w:w="2830"/>
        <w:gridCol w:w="993"/>
        <w:gridCol w:w="992"/>
        <w:gridCol w:w="1134"/>
        <w:gridCol w:w="1417"/>
        <w:gridCol w:w="1276"/>
      </w:tblGrid>
      <w:tr w:rsidR="00C442C6" w:rsidRPr="009B7872" w14:paraId="4EE75C85" w14:textId="46919F67" w:rsidTr="00FA608D">
        <w:trPr>
          <w:tblHeader/>
        </w:trPr>
        <w:tc>
          <w:tcPr>
            <w:tcW w:w="2830" w:type="dxa"/>
            <w:tcBorders>
              <w:top w:val="single" w:sz="12" w:space="0" w:color="auto"/>
              <w:bottom w:val="single" w:sz="8" w:space="0" w:color="000000" w:themeColor="text1"/>
            </w:tcBorders>
            <w:vAlign w:val="center"/>
          </w:tcPr>
          <w:p w14:paraId="69137636" w14:textId="77777777" w:rsidR="00C442C6" w:rsidRPr="005018DE" w:rsidRDefault="00C442C6" w:rsidP="006B7D4D">
            <w:pPr>
              <w:spacing w:before="20" w:after="20"/>
              <w:jc w:val="center"/>
              <w:rPr>
                <w:color w:val="000000" w:themeColor="text1"/>
                <w:sz w:val="21"/>
                <w:szCs w:val="21"/>
              </w:rPr>
            </w:pPr>
            <w:r w:rsidRPr="005018DE">
              <w:rPr>
                <w:rFonts w:eastAsia="Times New Roman"/>
                <w:b/>
                <w:bCs/>
                <w:color w:val="000000" w:themeColor="text1"/>
                <w:sz w:val="21"/>
                <w:szCs w:val="21"/>
              </w:rPr>
              <w:t>Metric</w:t>
            </w:r>
          </w:p>
        </w:tc>
        <w:tc>
          <w:tcPr>
            <w:tcW w:w="993" w:type="dxa"/>
            <w:tcBorders>
              <w:top w:val="single" w:sz="12" w:space="0" w:color="auto"/>
              <w:bottom w:val="single" w:sz="8" w:space="0" w:color="000000" w:themeColor="text1"/>
            </w:tcBorders>
            <w:vAlign w:val="center"/>
          </w:tcPr>
          <w:p w14:paraId="2AAAEC61" w14:textId="77777777" w:rsidR="00C442C6" w:rsidRPr="005018DE" w:rsidRDefault="00C442C6" w:rsidP="006B7D4D">
            <w:pPr>
              <w:spacing w:before="20" w:after="20"/>
              <w:jc w:val="center"/>
              <w:rPr>
                <w:color w:val="000000" w:themeColor="text1"/>
                <w:sz w:val="21"/>
                <w:szCs w:val="21"/>
              </w:rPr>
            </w:pPr>
            <w:r w:rsidRPr="005018DE">
              <w:rPr>
                <w:rFonts w:eastAsia="Times New Roman"/>
                <w:b/>
                <w:bCs/>
                <w:color w:val="000000" w:themeColor="text1"/>
                <w:sz w:val="21"/>
                <w:szCs w:val="21"/>
              </w:rPr>
              <w:t>Reference</w:t>
            </w:r>
          </w:p>
        </w:tc>
        <w:tc>
          <w:tcPr>
            <w:tcW w:w="992" w:type="dxa"/>
            <w:tcBorders>
              <w:top w:val="single" w:sz="12" w:space="0" w:color="auto"/>
              <w:bottom w:val="single" w:sz="8" w:space="0" w:color="000000" w:themeColor="text1"/>
            </w:tcBorders>
            <w:vAlign w:val="center"/>
          </w:tcPr>
          <w:p w14:paraId="7A3B1B41" w14:textId="77777777" w:rsidR="00C442C6" w:rsidRPr="005018DE" w:rsidRDefault="00C442C6" w:rsidP="006B7D4D">
            <w:pPr>
              <w:spacing w:before="20" w:after="20"/>
              <w:jc w:val="center"/>
              <w:rPr>
                <w:color w:val="000000" w:themeColor="text1"/>
                <w:sz w:val="21"/>
                <w:szCs w:val="21"/>
              </w:rPr>
            </w:pPr>
            <w:r w:rsidRPr="005018DE">
              <w:rPr>
                <w:rFonts w:eastAsia="Times New Roman"/>
                <w:b/>
                <w:bCs/>
                <w:color w:val="000000" w:themeColor="text1"/>
                <w:sz w:val="21"/>
                <w:szCs w:val="21"/>
              </w:rPr>
              <w:t>Generated</w:t>
            </w:r>
          </w:p>
        </w:tc>
        <w:tc>
          <w:tcPr>
            <w:tcW w:w="1134" w:type="dxa"/>
            <w:tcBorders>
              <w:top w:val="single" w:sz="12" w:space="0" w:color="auto"/>
              <w:bottom w:val="single" w:sz="8" w:space="0" w:color="000000" w:themeColor="text1"/>
            </w:tcBorders>
            <w:vAlign w:val="center"/>
          </w:tcPr>
          <w:p w14:paraId="48917A88" w14:textId="77777777" w:rsidR="00C442C6" w:rsidRPr="005018DE" w:rsidRDefault="00C442C6" w:rsidP="006B7D4D">
            <w:pPr>
              <w:spacing w:before="20" w:after="20"/>
              <w:jc w:val="center"/>
              <w:rPr>
                <w:color w:val="000000" w:themeColor="text1"/>
                <w:sz w:val="21"/>
                <w:szCs w:val="21"/>
              </w:rPr>
            </w:pPr>
            <w:r w:rsidRPr="005018DE">
              <w:rPr>
                <w:rFonts w:eastAsia="Times New Roman"/>
                <w:b/>
                <w:bCs/>
                <w:color w:val="000000" w:themeColor="text1"/>
                <w:sz w:val="21"/>
                <w:szCs w:val="21"/>
              </w:rPr>
              <w:t>Random</w:t>
            </w:r>
          </w:p>
        </w:tc>
        <w:tc>
          <w:tcPr>
            <w:tcW w:w="1417" w:type="dxa"/>
            <w:tcBorders>
              <w:top w:val="single" w:sz="12" w:space="0" w:color="auto"/>
              <w:bottom w:val="single" w:sz="8" w:space="0" w:color="000000" w:themeColor="text1"/>
            </w:tcBorders>
            <w:vAlign w:val="center"/>
          </w:tcPr>
          <w:p w14:paraId="10169F3B" w14:textId="77777777" w:rsidR="00C442C6" w:rsidRPr="005018DE" w:rsidRDefault="00C442C6" w:rsidP="006B7D4D">
            <w:pPr>
              <w:spacing w:before="20" w:after="20"/>
              <w:jc w:val="center"/>
              <w:rPr>
                <w:color w:val="000000" w:themeColor="text1"/>
                <w:sz w:val="21"/>
                <w:szCs w:val="21"/>
              </w:rPr>
            </w:pPr>
            <w:r w:rsidRPr="005018DE">
              <w:rPr>
                <w:rFonts w:eastAsia="Times New Roman"/>
                <w:b/>
                <w:bCs/>
                <w:color w:val="000000" w:themeColor="text1"/>
                <w:sz w:val="21"/>
                <w:szCs w:val="21"/>
              </w:rPr>
              <w:t>Shuffled NLR</w:t>
            </w:r>
          </w:p>
        </w:tc>
        <w:tc>
          <w:tcPr>
            <w:tcW w:w="1276" w:type="dxa"/>
            <w:tcBorders>
              <w:top w:val="single" w:sz="12" w:space="0" w:color="auto"/>
              <w:bottom w:val="single" w:sz="8" w:space="0" w:color="000000" w:themeColor="text1"/>
            </w:tcBorders>
            <w:vAlign w:val="center"/>
          </w:tcPr>
          <w:p w14:paraId="5B9D0D28" w14:textId="13F2ACAC" w:rsidR="00C442C6" w:rsidRPr="005018DE" w:rsidRDefault="00E86367" w:rsidP="006B7D4D">
            <w:pPr>
              <w:spacing w:before="20" w:after="20"/>
              <w:jc w:val="center"/>
              <w:rPr>
                <w:rFonts w:eastAsia="Times New Roman"/>
                <w:b/>
                <w:bCs/>
                <w:color w:val="000000" w:themeColor="text1"/>
                <w:sz w:val="21"/>
                <w:szCs w:val="21"/>
              </w:rPr>
            </w:pPr>
            <w:r w:rsidRPr="005018DE">
              <w:rPr>
                <w:rFonts w:eastAsia="Times New Roman"/>
                <w:b/>
                <w:bCs/>
                <w:i/>
                <w:iCs/>
                <w:color w:val="000000" w:themeColor="text1"/>
                <w:sz w:val="21"/>
                <w:szCs w:val="21"/>
              </w:rPr>
              <w:t>P value</w:t>
            </w:r>
          </w:p>
        </w:tc>
      </w:tr>
      <w:tr w:rsidR="00C442C6" w:rsidRPr="009B7872" w14:paraId="3692521F" w14:textId="330E9019" w:rsidTr="00FA608D">
        <w:tc>
          <w:tcPr>
            <w:tcW w:w="2830" w:type="dxa"/>
            <w:tcBorders>
              <w:top w:val="single" w:sz="8" w:space="0" w:color="000000" w:themeColor="text1"/>
              <w:bottom w:val="nil"/>
            </w:tcBorders>
            <w:vAlign w:val="center"/>
          </w:tcPr>
          <w:p w14:paraId="1CD53C1A" w14:textId="7777777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NLR-related domain hit rate (%)</w:t>
            </w:r>
          </w:p>
        </w:tc>
        <w:tc>
          <w:tcPr>
            <w:tcW w:w="993" w:type="dxa"/>
            <w:tcBorders>
              <w:top w:val="single" w:sz="8" w:space="0" w:color="000000" w:themeColor="text1"/>
              <w:bottom w:val="nil"/>
            </w:tcBorders>
            <w:vAlign w:val="center"/>
          </w:tcPr>
          <w:p w14:paraId="3B6F667F" w14:textId="7777777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58.9</w:t>
            </w:r>
          </w:p>
        </w:tc>
        <w:tc>
          <w:tcPr>
            <w:tcW w:w="992" w:type="dxa"/>
            <w:tcBorders>
              <w:top w:val="single" w:sz="8" w:space="0" w:color="000000" w:themeColor="text1"/>
              <w:bottom w:val="nil"/>
            </w:tcBorders>
            <w:vAlign w:val="center"/>
          </w:tcPr>
          <w:p w14:paraId="3BBBE0B1" w14:textId="00CACC7D"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60</w:t>
            </w:r>
            <w:r w:rsidRPr="005018DE">
              <w:rPr>
                <w:rFonts w:hint="eastAsia"/>
                <w:color w:val="000000" w:themeColor="text1"/>
                <w:sz w:val="21"/>
                <w:szCs w:val="21"/>
              </w:rPr>
              <w:t>.0</w:t>
            </w:r>
          </w:p>
        </w:tc>
        <w:tc>
          <w:tcPr>
            <w:tcW w:w="1134" w:type="dxa"/>
            <w:tcBorders>
              <w:top w:val="single" w:sz="8" w:space="0" w:color="000000" w:themeColor="text1"/>
              <w:bottom w:val="nil"/>
            </w:tcBorders>
            <w:vAlign w:val="center"/>
          </w:tcPr>
          <w:p w14:paraId="31A7B5E0" w14:textId="64ECC29A"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2</w:t>
            </w:r>
            <w:r w:rsidRPr="005018DE">
              <w:rPr>
                <w:rFonts w:hint="eastAsia"/>
                <w:color w:val="000000" w:themeColor="text1"/>
                <w:sz w:val="21"/>
                <w:szCs w:val="21"/>
              </w:rPr>
              <w:t>.0</w:t>
            </w:r>
          </w:p>
        </w:tc>
        <w:tc>
          <w:tcPr>
            <w:tcW w:w="1417" w:type="dxa"/>
            <w:tcBorders>
              <w:top w:val="single" w:sz="8" w:space="0" w:color="000000" w:themeColor="text1"/>
              <w:bottom w:val="nil"/>
            </w:tcBorders>
            <w:vAlign w:val="center"/>
          </w:tcPr>
          <w:p w14:paraId="09F92879" w14:textId="08A1A1C2" w:rsidR="00C442C6" w:rsidRPr="005018DE" w:rsidRDefault="00C442C6" w:rsidP="006B7D4D">
            <w:pPr>
              <w:spacing w:before="20" w:after="20"/>
              <w:jc w:val="center"/>
              <w:rPr>
                <w:color w:val="000000" w:themeColor="text1"/>
                <w:sz w:val="21"/>
                <w:szCs w:val="21"/>
              </w:rPr>
            </w:pPr>
            <w:r w:rsidRPr="005018DE">
              <w:rPr>
                <w:rFonts w:hint="eastAsia"/>
                <w:color w:val="000000" w:themeColor="text1"/>
                <w:sz w:val="21"/>
                <w:szCs w:val="21"/>
              </w:rPr>
              <w:t>4.0</w:t>
            </w:r>
            <w:r w:rsidR="003611F9" w:rsidRPr="005018DE">
              <w:rPr>
                <w:rFonts w:hint="eastAsia"/>
                <w:color w:val="000000" w:themeColor="text1"/>
                <w:sz w:val="21"/>
                <w:szCs w:val="21"/>
              </w:rPr>
              <w:t xml:space="preserve"> </w:t>
            </w:r>
            <w:r w:rsidR="001A38D5" w:rsidRPr="005018DE">
              <w:rPr>
                <w:rFonts w:eastAsia="Times New Roman"/>
                <w:color w:val="000000" w:themeColor="text1"/>
                <w:sz w:val="21"/>
                <w:szCs w:val="21"/>
              </w:rPr>
              <w:t xml:space="preserve">± </w:t>
            </w:r>
            <w:r w:rsidR="001A38D5" w:rsidRPr="005018DE">
              <w:rPr>
                <w:rFonts w:hint="eastAsia"/>
                <w:color w:val="000000" w:themeColor="text1"/>
                <w:sz w:val="21"/>
                <w:szCs w:val="21"/>
              </w:rPr>
              <w:t>1.51</w:t>
            </w:r>
          </w:p>
        </w:tc>
        <w:tc>
          <w:tcPr>
            <w:tcW w:w="1276" w:type="dxa"/>
            <w:tcBorders>
              <w:top w:val="single" w:sz="8" w:space="0" w:color="000000" w:themeColor="text1"/>
              <w:bottom w:val="nil"/>
            </w:tcBorders>
            <w:vAlign w:val="center"/>
          </w:tcPr>
          <w:p w14:paraId="50BADD62" w14:textId="1F5CAA3D" w:rsidR="00C442C6" w:rsidRPr="005018DE" w:rsidRDefault="00F04C4A" w:rsidP="006B7D4D">
            <w:pPr>
              <w:spacing w:before="20" w:after="20"/>
              <w:jc w:val="center"/>
              <w:rPr>
                <w:color w:val="000000" w:themeColor="text1"/>
                <w:sz w:val="21"/>
                <w:szCs w:val="21"/>
              </w:rPr>
            </w:pPr>
            <w:r w:rsidRPr="005018DE">
              <w:rPr>
                <w:color w:val="000000" w:themeColor="text1"/>
                <w:sz w:val="21"/>
                <w:szCs w:val="21"/>
              </w:rPr>
              <w:t xml:space="preserve">p = </w:t>
            </w:r>
            <w:r w:rsidR="00F7613C" w:rsidRPr="005018DE">
              <w:rPr>
                <w:rFonts w:hint="eastAsia"/>
                <w:color w:val="000000" w:themeColor="text1"/>
                <w:sz w:val="21"/>
                <w:szCs w:val="21"/>
              </w:rPr>
              <w:t>0.0098</w:t>
            </w:r>
          </w:p>
        </w:tc>
      </w:tr>
      <w:tr w:rsidR="00C442C6" w:rsidRPr="009B7872" w14:paraId="517600D6" w14:textId="2BCBCB53" w:rsidTr="00FA608D">
        <w:tc>
          <w:tcPr>
            <w:tcW w:w="2830" w:type="dxa"/>
            <w:tcBorders>
              <w:top w:val="nil"/>
              <w:bottom w:val="nil"/>
            </w:tcBorders>
            <w:vAlign w:val="center"/>
          </w:tcPr>
          <w:p w14:paraId="26653087" w14:textId="7777777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Complete-NLR hit rate (%)</w:t>
            </w:r>
          </w:p>
        </w:tc>
        <w:tc>
          <w:tcPr>
            <w:tcW w:w="993" w:type="dxa"/>
            <w:tcBorders>
              <w:top w:val="nil"/>
              <w:bottom w:val="nil"/>
            </w:tcBorders>
            <w:vAlign w:val="center"/>
          </w:tcPr>
          <w:p w14:paraId="1303668A" w14:textId="7777777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38.7</w:t>
            </w:r>
          </w:p>
        </w:tc>
        <w:tc>
          <w:tcPr>
            <w:tcW w:w="992" w:type="dxa"/>
            <w:tcBorders>
              <w:top w:val="nil"/>
              <w:bottom w:val="nil"/>
            </w:tcBorders>
            <w:vAlign w:val="center"/>
          </w:tcPr>
          <w:p w14:paraId="04817828" w14:textId="2A0F0BCC"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35</w:t>
            </w:r>
            <w:r w:rsidRPr="005018DE">
              <w:rPr>
                <w:rFonts w:hint="eastAsia"/>
                <w:color w:val="000000" w:themeColor="text1"/>
                <w:sz w:val="21"/>
                <w:szCs w:val="21"/>
              </w:rPr>
              <w:t>.0</w:t>
            </w:r>
          </w:p>
        </w:tc>
        <w:tc>
          <w:tcPr>
            <w:tcW w:w="1134" w:type="dxa"/>
            <w:tcBorders>
              <w:top w:val="nil"/>
              <w:bottom w:val="nil"/>
            </w:tcBorders>
            <w:vAlign w:val="center"/>
          </w:tcPr>
          <w:p w14:paraId="75EB3699" w14:textId="0A6F482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0</w:t>
            </w:r>
            <w:r w:rsidRPr="005018DE">
              <w:rPr>
                <w:rFonts w:hint="eastAsia"/>
                <w:color w:val="000000" w:themeColor="text1"/>
                <w:sz w:val="21"/>
                <w:szCs w:val="21"/>
              </w:rPr>
              <w:t>.0</w:t>
            </w:r>
          </w:p>
        </w:tc>
        <w:tc>
          <w:tcPr>
            <w:tcW w:w="1417" w:type="dxa"/>
            <w:tcBorders>
              <w:top w:val="nil"/>
              <w:bottom w:val="nil"/>
            </w:tcBorders>
            <w:vAlign w:val="center"/>
          </w:tcPr>
          <w:p w14:paraId="5B9A81E4" w14:textId="3BC737B7" w:rsidR="00C442C6" w:rsidRPr="005018DE" w:rsidRDefault="00C442C6" w:rsidP="006B7D4D">
            <w:pPr>
              <w:spacing w:before="20" w:after="20"/>
              <w:jc w:val="center"/>
              <w:rPr>
                <w:color w:val="000000" w:themeColor="text1"/>
                <w:sz w:val="21"/>
                <w:szCs w:val="21"/>
              </w:rPr>
            </w:pPr>
            <w:r w:rsidRPr="005018DE">
              <w:rPr>
                <w:rFonts w:hint="eastAsia"/>
                <w:color w:val="000000" w:themeColor="text1"/>
                <w:sz w:val="21"/>
                <w:szCs w:val="21"/>
              </w:rPr>
              <w:t>1.0</w:t>
            </w:r>
            <w:r w:rsidR="003611F9" w:rsidRPr="005018DE">
              <w:rPr>
                <w:rFonts w:hint="eastAsia"/>
                <w:color w:val="000000" w:themeColor="text1"/>
                <w:sz w:val="21"/>
                <w:szCs w:val="21"/>
              </w:rPr>
              <w:t xml:space="preserve"> </w:t>
            </w:r>
            <w:r w:rsidR="001A38D5" w:rsidRPr="005018DE">
              <w:rPr>
                <w:rFonts w:eastAsia="Times New Roman"/>
                <w:color w:val="000000" w:themeColor="text1"/>
                <w:sz w:val="21"/>
                <w:szCs w:val="21"/>
              </w:rPr>
              <w:t xml:space="preserve">± </w:t>
            </w:r>
            <w:r w:rsidR="001A38D5" w:rsidRPr="005018DE">
              <w:rPr>
                <w:rFonts w:hint="eastAsia"/>
                <w:color w:val="000000" w:themeColor="text1"/>
                <w:sz w:val="21"/>
                <w:szCs w:val="21"/>
              </w:rPr>
              <w:t>0.18</w:t>
            </w:r>
          </w:p>
        </w:tc>
        <w:tc>
          <w:tcPr>
            <w:tcW w:w="1276" w:type="dxa"/>
            <w:tcBorders>
              <w:top w:val="nil"/>
              <w:bottom w:val="nil"/>
            </w:tcBorders>
            <w:vAlign w:val="center"/>
          </w:tcPr>
          <w:p w14:paraId="4443F702" w14:textId="482EB429" w:rsidR="00C442C6" w:rsidRPr="005018DE" w:rsidRDefault="00D41579" w:rsidP="006B7D4D">
            <w:pPr>
              <w:spacing w:before="20" w:after="20"/>
              <w:jc w:val="center"/>
              <w:rPr>
                <w:color w:val="000000" w:themeColor="text1"/>
                <w:sz w:val="21"/>
                <w:szCs w:val="21"/>
              </w:rPr>
            </w:pPr>
            <w:r w:rsidRPr="005018DE">
              <w:rPr>
                <w:color w:val="000000" w:themeColor="text1"/>
                <w:sz w:val="21"/>
                <w:szCs w:val="21"/>
              </w:rPr>
              <w:t xml:space="preserve">p = </w:t>
            </w:r>
            <w:r w:rsidR="00F7613C" w:rsidRPr="005018DE">
              <w:rPr>
                <w:rFonts w:hint="eastAsia"/>
                <w:color w:val="000000" w:themeColor="text1"/>
                <w:sz w:val="21"/>
                <w:szCs w:val="21"/>
              </w:rPr>
              <w:t>0.0095</w:t>
            </w:r>
          </w:p>
        </w:tc>
      </w:tr>
      <w:tr w:rsidR="00C442C6" w:rsidRPr="009B7872" w14:paraId="6B404232" w14:textId="7E67E8FB" w:rsidTr="005D42C1">
        <w:tc>
          <w:tcPr>
            <w:tcW w:w="2830" w:type="dxa"/>
            <w:tcBorders>
              <w:top w:val="nil"/>
              <w:bottom w:val="nil"/>
            </w:tcBorders>
            <w:vAlign w:val="center"/>
          </w:tcPr>
          <w:p w14:paraId="370AF8FF" w14:textId="7777777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NB-ARC-like hit rate (%)</w:t>
            </w:r>
          </w:p>
        </w:tc>
        <w:tc>
          <w:tcPr>
            <w:tcW w:w="993" w:type="dxa"/>
            <w:tcBorders>
              <w:top w:val="nil"/>
              <w:bottom w:val="nil"/>
            </w:tcBorders>
            <w:vAlign w:val="center"/>
          </w:tcPr>
          <w:p w14:paraId="3AFF0DA7" w14:textId="7777777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20.2</w:t>
            </w:r>
          </w:p>
        </w:tc>
        <w:tc>
          <w:tcPr>
            <w:tcW w:w="992" w:type="dxa"/>
            <w:tcBorders>
              <w:top w:val="nil"/>
              <w:bottom w:val="nil"/>
            </w:tcBorders>
            <w:vAlign w:val="center"/>
          </w:tcPr>
          <w:p w14:paraId="65BB904A" w14:textId="3F94574C"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25</w:t>
            </w:r>
            <w:r w:rsidRPr="005018DE">
              <w:rPr>
                <w:rFonts w:hint="eastAsia"/>
                <w:color w:val="000000" w:themeColor="text1"/>
                <w:sz w:val="21"/>
                <w:szCs w:val="21"/>
              </w:rPr>
              <w:t>.0</w:t>
            </w:r>
          </w:p>
        </w:tc>
        <w:tc>
          <w:tcPr>
            <w:tcW w:w="1134" w:type="dxa"/>
            <w:tcBorders>
              <w:top w:val="nil"/>
              <w:bottom w:val="nil"/>
            </w:tcBorders>
            <w:vAlign w:val="center"/>
          </w:tcPr>
          <w:p w14:paraId="679B51CE" w14:textId="41F1DF4A"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2</w:t>
            </w:r>
            <w:r w:rsidRPr="005018DE">
              <w:rPr>
                <w:rFonts w:hint="eastAsia"/>
                <w:color w:val="000000" w:themeColor="text1"/>
                <w:sz w:val="21"/>
                <w:szCs w:val="21"/>
              </w:rPr>
              <w:t>.0</w:t>
            </w:r>
          </w:p>
        </w:tc>
        <w:tc>
          <w:tcPr>
            <w:tcW w:w="1417" w:type="dxa"/>
            <w:tcBorders>
              <w:top w:val="nil"/>
              <w:bottom w:val="nil"/>
            </w:tcBorders>
            <w:vAlign w:val="center"/>
          </w:tcPr>
          <w:p w14:paraId="4C9E2D64" w14:textId="64B12FB6" w:rsidR="00C442C6" w:rsidRPr="005018DE" w:rsidRDefault="00C442C6" w:rsidP="006B7D4D">
            <w:pPr>
              <w:spacing w:before="20" w:after="20"/>
              <w:jc w:val="center"/>
              <w:rPr>
                <w:color w:val="000000" w:themeColor="text1"/>
                <w:sz w:val="21"/>
                <w:szCs w:val="21"/>
              </w:rPr>
            </w:pPr>
            <w:r w:rsidRPr="005018DE">
              <w:rPr>
                <w:rFonts w:hint="eastAsia"/>
                <w:color w:val="000000" w:themeColor="text1"/>
                <w:sz w:val="21"/>
                <w:szCs w:val="21"/>
              </w:rPr>
              <w:t>3.0</w:t>
            </w:r>
            <w:r w:rsidR="003611F9" w:rsidRPr="005018DE">
              <w:rPr>
                <w:rFonts w:hint="eastAsia"/>
                <w:color w:val="000000" w:themeColor="text1"/>
                <w:sz w:val="21"/>
                <w:szCs w:val="21"/>
              </w:rPr>
              <w:t xml:space="preserve"> </w:t>
            </w:r>
            <w:r w:rsidR="001A38D5" w:rsidRPr="005018DE">
              <w:rPr>
                <w:rFonts w:eastAsia="Times New Roman"/>
                <w:color w:val="000000" w:themeColor="text1"/>
                <w:sz w:val="21"/>
                <w:szCs w:val="21"/>
              </w:rPr>
              <w:t xml:space="preserve">± </w:t>
            </w:r>
            <w:r w:rsidR="001A38D5" w:rsidRPr="005018DE">
              <w:rPr>
                <w:rFonts w:hint="eastAsia"/>
                <w:color w:val="000000" w:themeColor="text1"/>
                <w:sz w:val="21"/>
                <w:szCs w:val="21"/>
              </w:rPr>
              <w:t>0.63</w:t>
            </w:r>
          </w:p>
        </w:tc>
        <w:tc>
          <w:tcPr>
            <w:tcW w:w="1276" w:type="dxa"/>
            <w:tcBorders>
              <w:top w:val="nil"/>
              <w:bottom w:val="nil"/>
            </w:tcBorders>
            <w:vAlign w:val="center"/>
          </w:tcPr>
          <w:p w14:paraId="7361DC8B" w14:textId="081BCDB5" w:rsidR="00C442C6" w:rsidRPr="005018DE" w:rsidRDefault="00D41579" w:rsidP="006B7D4D">
            <w:pPr>
              <w:spacing w:before="20" w:after="20"/>
              <w:jc w:val="center"/>
              <w:rPr>
                <w:color w:val="000000" w:themeColor="text1"/>
                <w:sz w:val="21"/>
                <w:szCs w:val="21"/>
              </w:rPr>
            </w:pPr>
            <w:r w:rsidRPr="005018DE">
              <w:rPr>
                <w:color w:val="000000" w:themeColor="text1"/>
                <w:sz w:val="21"/>
                <w:szCs w:val="21"/>
              </w:rPr>
              <w:t xml:space="preserve">p = </w:t>
            </w:r>
            <w:r w:rsidR="00F7613C" w:rsidRPr="005018DE">
              <w:rPr>
                <w:rFonts w:hint="eastAsia"/>
                <w:color w:val="000000" w:themeColor="text1"/>
                <w:sz w:val="21"/>
                <w:szCs w:val="21"/>
              </w:rPr>
              <w:t>0.0094</w:t>
            </w:r>
          </w:p>
        </w:tc>
      </w:tr>
      <w:tr w:rsidR="00C442C6" w:rsidRPr="009B7872" w14:paraId="2F583AAE" w14:textId="0C56A7FA" w:rsidTr="005D42C1">
        <w:tc>
          <w:tcPr>
            <w:tcW w:w="2830" w:type="dxa"/>
            <w:tcBorders>
              <w:top w:val="nil"/>
              <w:bottom w:val="nil"/>
            </w:tcBorders>
            <w:vAlign w:val="center"/>
          </w:tcPr>
          <w:p w14:paraId="1B387572" w14:textId="24D0D0C1"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Functional score, median</w:t>
            </w:r>
          </w:p>
        </w:tc>
        <w:tc>
          <w:tcPr>
            <w:tcW w:w="993" w:type="dxa"/>
            <w:tcBorders>
              <w:top w:val="nil"/>
              <w:bottom w:val="nil"/>
            </w:tcBorders>
            <w:vAlign w:val="center"/>
          </w:tcPr>
          <w:p w14:paraId="5FFE64DD" w14:textId="7777777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0.48</w:t>
            </w:r>
          </w:p>
        </w:tc>
        <w:tc>
          <w:tcPr>
            <w:tcW w:w="992" w:type="dxa"/>
            <w:tcBorders>
              <w:top w:val="nil"/>
              <w:bottom w:val="nil"/>
            </w:tcBorders>
            <w:vAlign w:val="center"/>
          </w:tcPr>
          <w:p w14:paraId="3D7052F1" w14:textId="7777777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0.48</w:t>
            </w:r>
          </w:p>
        </w:tc>
        <w:tc>
          <w:tcPr>
            <w:tcW w:w="1134" w:type="dxa"/>
            <w:tcBorders>
              <w:top w:val="nil"/>
              <w:bottom w:val="nil"/>
            </w:tcBorders>
            <w:vAlign w:val="center"/>
          </w:tcPr>
          <w:p w14:paraId="192ACD88" w14:textId="7777777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0.20</w:t>
            </w:r>
          </w:p>
        </w:tc>
        <w:tc>
          <w:tcPr>
            <w:tcW w:w="1417" w:type="dxa"/>
            <w:tcBorders>
              <w:top w:val="nil"/>
              <w:bottom w:val="nil"/>
            </w:tcBorders>
            <w:vAlign w:val="center"/>
          </w:tcPr>
          <w:p w14:paraId="1A1B960D" w14:textId="7C8036D9" w:rsidR="00C442C6" w:rsidRPr="005018DE" w:rsidRDefault="00C442C6" w:rsidP="006B7D4D">
            <w:pPr>
              <w:spacing w:before="20" w:after="20"/>
              <w:jc w:val="center"/>
              <w:rPr>
                <w:color w:val="000000" w:themeColor="text1"/>
                <w:sz w:val="21"/>
                <w:szCs w:val="21"/>
              </w:rPr>
            </w:pPr>
            <w:r w:rsidRPr="005018DE">
              <w:rPr>
                <w:rFonts w:hint="eastAsia"/>
                <w:color w:val="000000" w:themeColor="text1"/>
                <w:sz w:val="21"/>
                <w:szCs w:val="21"/>
              </w:rPr>
              <w:t>0.24</w:t>
            </w:r>
            <w:r w:rsidR="003611F9" w:rsidRPr="005018DE">
              <w:rPr>
                <w:rFonts w:hint="eastAsia"/>
                <w:color w:val="000000" w:themeColor="text1"/>
                <w:sz w:val="21"/>
                <w:szCs w:val="21"/>
              </w:rPr>
              <w:t xml:space="preserve"> </w:t>
            </w:r>
            <w:r w:rsidR="001A38D5" w:rsidRPr="005018DE">
              <w:rPr>
                <w:rFonts w:eastAsia="Times New Roman"/>
                <w:color w:val="000000" w:themeColor="text1"/>
                <w:sz w:val="21"/>
                <w:szCs w:val="21"/>
              </w:rPr>
              <w:t xml:space="preserve">± </w:t>
            </w:r>
            <w:r w:rsidR="001A38D5" w:rsidRPr="005018DE">
              <w:rPr>
                <w:rFonts w:hint="eastAsia"/>
                <w:color w:val="000000" w:themeColor="text1"/>
                <w:sz w:val="21"/>
                <w:szCs w:val="21"/>
              </w:rPr>
              <w:t>0.0</w:t>
            </w:r>
            <w:r w:rsidR="003611F9" w:rsidRPr="005018DE">
              <w:rPr>
                <w:rFonts w:hint="eastAsia"/>
                <w:color w:val="000000" w:themeColor="text1"/>
                <w:sz w:val="21"/>
                <w:szCs w:val="21"/>
              </w:rPr>
              <w:t>8</w:t>
            </w:r>
          </w:p>
        </w:tc>
        <w:tc>
          <w:tcPr>
            <w:tcW w:w="1276" w:type="dxa"/>
            <w:tcBorders>
              <w:top w:val="nil"/>
              <w:bottom w:val="nil"/>
            </w:tcBorders>
            <w:vAlign w:val="center"/>
          </w:tcPr>
          <w:p w14:paraId="7376CF73" w14:textId="42C6F190" w:rsidR="00C442C6" w:rsidRPr="005018DE" w:rsidRDefault="00603D87" w:rsidP="006B7D4D">
            <w:pPr>
              <w:spacing w:before="20" w:after="20"/>
              <w:jc w:val="center"/>
              <w:rPr>
                <w:color w:val="000000" w:themeColor="text1"/>
                <w:sz w:val="21"/>
                <w:szCs w:val="21"/>
              </w:rPr>
            </w:pPr>
            <w:r w:rsidRPr="005018DE">
              <w:rPr>
                <w:color w:val="000000" w:themeColor="text1"/>
                <w:sz w:val="21"/>
                <w:szCs w:val="21"/>
              </w:rPr>
              <w:t>p =</w:t>
            </w:r>
            <w:r w:rsidR="00F7613C" w:rsidRPr="005018DE">
              <w:rPr>
                <w:rFonts w:hint="eastAsia"/>
                <w:color w:val="000000" w:themeColor="text1"/>
                <w:sz w:val="21"/>
                <w:szCs w:val="21"/>
              </w:rPr>
              <w:t>0.0096</w:t>
            </w:r>
          </w:p>
        </w:tc>
      </w:tr>
      <w:tr w:rsidR="00C442C6" w:rsidRPr="009B7872" w14:paraId="75336128" w14:textId="3001605F" w:rsidTr="005D42C1">
        <w:tc>
          <w:tcPr>
            <w:tcW w:w="2830" w:type="dxa"/>
            <w:tcBorders>
              <w:top w:val="nil"/>
              <w:bottom w:val="nil"/>
            </w:tcBorders>
            <w:vAlign w:val="center"/>
          </w:tcPr>
          <w:p w14:paraId="2A358786" w14:textId="7777777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 xml:space="preserve">Mean </w:t>
            </w:r>
            <w:proofErr w:type="spellStart"/>
            <w:r w:rsidRPr="005018DE">
              <w:rPr>
                <w:rFonts w:eastAsia="Times New Roman"/>
                <w:color w:val="000000" w:themeColor="text1"/>
                <w:sz w:val="21"/>
                <w:szCs w:val="21"/>
              </w:rPr>
              <w:t>pLDDT</w:t>
            </w:r>
            <w:proofErr w:type="spellEnd"/>
            <w:r w:rsidRPr="005018DE">
              <w:rPr>
                <w:rFonts w:eastAsia="Times New Roman"/>
                <w:color w:val="000000" w:themeColor="text1"/>
                <w:sz w:val="21"/>
                <w:szCs w:val="21"/>
              </w:rPr>
              <w:t xml:space="preserve"> (± SD)</w:t>
            </w:r>
          </w:p>
        </w:tc>
        <w:tc>
          <w:tcPr>
            <w:tcW w:w="993" w:type="dxa"/>
            <w:tcBorders>
              <w:top w:val="nil"/>
              <w:bottom w:val="nil"/>
            </w:tcBorders>
            <w:vAlign w:val="center"/>
          </w:tcPr>
          <w:p w14:paraId="629CDBD8" w14:textId="7777777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83.5 ± 6.7</w:t>
            </w:r>
          </w:p>
        </w:tc>
        <w:tc>
          <w:tcPr>
            <w:tcW w:w="992" w:type="dxa"/>
            <w:tcBorders>
              <w:top w:val="nil"/>
              <w:bottom w:val="nil"/>
            </w:tcBorders>
            <w:vAlign w:val="center"/>
          </w:tcPr>
          <w:p w14:paraId="36AAE834" w14:textId="7777777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48.7 ± 10.8</w:t>
            </w:r>
          </w:p>
        </w:tc>
        <w:tc>
          <w:tcPr>
            <w:tcW w:w="1134" w:type="dxa"/>
            <w:tcBorders>
              <w:top w:val="nil"/>
              <w:bottom w:val="nil"/>
            </w:tcBorders>
            <w:vAlign w:val="center"/>
          </w:tcPr>
          <w:p w14:paraId="559ADA99" w14:textId="7777777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30.5 ± 5.2</w:t>
            </w:r>
          </w:p>
        </w:tc>
        <w:tc>
          <w:tcPr>
            <w:tcW w:w="1417" w:type="dxa"/>
            <w:tcBorders>
              <w:top w:val="nil"/>
              <w:bottom w:val="nil"/>
            </w:tcBorders>
            <w:vAlign w:val="center"/>
          </w:tcPr>
          <w:p w14:paraId="30C0F2E7" w14:textId="5DC52BF3" w:rsidR="00C442C6" w:rsidRPr="005018DE" w:rsidRDefault="00C442C6" w:rsidP="006B7D4D">
            <w:pPr>
              <w:spacing w:before="20" w:after="20"/>
              <w:jc w:val="center"/>
              <w:rPr>
                <w:color w:val="000000" w:themeColor="text1"/>
                <w:sz w:val="21"/>
                <w:szCs w:val="21"/>
              </w:rPr>
            </w:pPr>
            <w:r w:rsidRPr="005018DE">
              <w:rPr>
                <w:rFonts w:hint="eastAsia"/>
                <w:color w:val="000000" w:themeColor="text1"/>
                <w:sz w:val="21"/>
                <w:szCs w:val="21"/>
              </w:rPr>
              <w:t>33.5</w:t>
            </w:r>
            <w:r w:rsidR="003611F9" w:rsidRPr="005018DE">
              <w:rPr>
                <w:rFonts w:hint="eastAsia"/>
                <w:color w:val="000000" w:themeColor="text1"/>
                <w:sz w:val="21"/>
                <w:szCs w:val="21"/>
              </w:rPr>
              <w:t xml:space="preserve"> </w:t>
            </w:r>
            <w:r w:rsidRPr="005018DE">
              <w:rPr>
                <w:rFonts w:eastAsia="Times New Roman"/>
                <w:color w:val="000000" w:themeColor="text1"/>
                <w:sz w:val="21"/>
                <w:szCs w:val="21"/>
              </w:rPr>
              <w:t xml:space="preserve">± </w:t>
            </w:r>
            <w:r w:rsidRPr="005018DE">
              <w:rPr>
                <w:rFonts w:hint="eastAsia"/>
                <w:color w:val="000000" w:themeColor="text1"/>
                <w:sz w:val="21"/>
                <w:szCs w:val="21"/>
              </w:rPr>
              <w:t>4.6</w:t>
            </w:r>
          </w:p>
        </w:tc>
        <w:tc>
          <w:tcPr>
            <w:tcW w:w="1276" w:type="dxa"/>
            <w:tcBorders>
              <w:top w:val="nil"/>
              <w:bottom w:val="nil"/>
            </w:tcBorders>
            <w:vAlign w:val="center"/>
          </w:tcPr>
          <w:p w14:paraId="3FDADE13" w14:textId="50361821" w:rsidR="00C442C6" w:rsidRPr="005018DE" w:rsidRDefault="00603D87" w:rsidP="006B7D4D">
            <w:pPr>
              <w:spacing w:before="20" w:after="20"/>
              <w:jc w:val="center"/>
              <w:rPr>
                <w:color w:val="000000" w:themeColor="text1"/>
                <w:sz w:val="21"/>
                <w:szCs w:val="21"/>
              </w:rPr>
            </w:pPr>
            <w:r w:rsidRPr="005018DE">
              <w:rPr>
                <w:color w:val="000000" w:themeColor="text1"/>
                <w:sz w:val="21"/>
                <w:szCs w:val="21"/>
              </w:rPr>
              <w:t xml:space="preserve">p = </w:t>
            </w:r>
            <w:r w:rsidR="00F7613C" w:rsidRPr="005018DE">
              <w:rPr>
                <w:rFonts w:hint="eastAsia"/>
                <w:color w:val="000000" w:themeColor="text1"/>
                <w:sz w:val="21"/>
                <w:szCs w:val="21"/>
              </w:rPr>
              <w:t>0.0098</w:t>
            </w:r>
          </w:p>
        </w:tc>
      </w:tr>
      <w:tr w:rsidR="00C442C6" w:rsidRPr="009B7872" w14:paraId="73AAE1B1" w14:textId="4A865645" w:rsidTr="00FA608D">
        <w:tc>
          <w:tcPr>
            <w:tcW w:w="2830" w:type="dxa"/>
            <w:tcBorders>
              <w:top w:val="nil"/>
              <w:bottom w:val="single" w:sz="12" w:space="0" w:color="auto"/>
            </w:tcBorders>
            <w:vAlign w:val="center"/>
          </w:tcPr>
          <w:p w14:paraId="4F23222F" w14:textId="7777777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GC content (mean %)</w:t>
            </w:r>
          </w:p>
        </w:tc>
        <w:tc>
          <w:tcPr>
            <w:tcW w:w="993" w:type="dxa"/>
            <w:tcBorders>
              <w:top w:val="nil"/>
              <w:bottom w:val="single" w:sz="12" w:space="0" w:color="auto"/>
            </w:tcBorders>
            <w:vAlign w:val="center"/>
          </w:tcPr>
          <w:p w14:paraId="11E33939" w14:textId="7777777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38.1</w:t>
            </w:r>
          </w:p>
        </w:tc>
        <w:tc>
          <w:tcPr>
            <w:tcW w:w="992" w:type="dxa"/>
            <w:tcBorders>
              <w:top w:val="nil"/>
              <w:bottom w:val="single" w:sz="12" w:space="0" w:color="auto"/>
            </w:tcBorders>
            <w:vAlign w:val="center"/>
          </w:tcPr>
          <w:p w14:paraId="5516F282" w14:textId="77777777"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40.6</w:t>
            </w:r>
          </w:p>
        </w:tc>
        <w:tc>
          <w:tcPr>
            <w:tcW w:w="1134" w:type="dxa"/>
            <w:tcBorders>
              <w:top w:val="nil"/>
              <w:bottom w:val="single" w:sz="12" w:space="0" w:color="auto"/>
            </w:tcBorders>
            <w:vAlign w:val="center"/>
          </w:tcPr>
          <w:p w14:paraId="6C6244E8" w14:textId="0CAABE1B" w:rsidR="00C442C6" w:rsidRPr="005018DE" w:rsidRDefault="00801525" w:rsidP="006B7D4D">
            <w:pPr>
              <w:spacing w:before="20" w:after="20"/>
              <w:jc w:val="center"/>
              <w:rPr>
                <w:color w:val="000000" w:themeColor="text1"/>
                <w:sz w:val="21"/>
                <w:szCs w:val="21"/>
              </w:rPr>
            </w:pPr>
            <w:r w:rsidRPr="005018DE">
              <w:rPr>
                <w:rFonts w:hint="eastAsia"/>
                <w:color w:val="000000" w:themeColor="text1"/>
                <w:sz w:val="21"/>
                <w:szCs w:val="21"/>
              </w:rPr>
              <w:t>35.4</w:t>
            </w:r>
          </w:p>
        </w:tc>
        <w:tc>
          <w:tcPr>
            <w:tcW w:w="1417" w:type="dxa"/>
            <w:tcBorders>
              <w:top w:val="nil"/>
              <w:bottom w:val="single" w:sz="12" w:space="0" w:color="auto"/>
            </w:tcBorders>
            <w:vAlign w:val="center"/>
          </w:tcPr>
          <w:p w14:paraId="10FA76C3" w14:textId="6DC71E0D" w:rsidR="00C442C6" w:rsidRPr="005018DE" w:rsidRDefault="00C442C6" w:rsidP="006B7D4D">
            <w:pPr>
              <w:spacing w:before="20" w:after="20"/>
              <w:jc w:val="center"/>
              <w:rPr>
                <w:color w:val="000000" w:themeColor="text1"/>
                <w:sz w:val="21"/>
                <w:szCs w:val="21"/>
              </w:rPr>
            </w:pPr>
            <w:r w:rsidRPr="005018DE">
              <w:rPr>
                <w:rFonts w:eastAsia="Times New Roman"/>
                <w:color w:val="000000" w:themeColor="text1"/>
                <w:sz w:val="21"/>
                <w:szCs w:val="21"/>
              </w:rPr>
              <w:t>38.1</w:t>
            </w:r>
          </w:p>
        </w:tc>
        <w:tc>
          <w:tcPr>
            <w:tcW w:w="1276" w:type="dxa"/>
            <w:tcBorders>
              <w:top w:val="nil"/>
              <w:bottom w:val="single" w:sz="12" w:space="0" w:color="auto"/>
            </w:tcBorders>
            <w:vAlign w:val="center"/>
          </w:tcPr>
          <w:p w14:paraId="1EA866F7" w14:textId="7033F2B3" w:rsidR="00C442C6" w:rsidRPr="005018DE" w:rsidRDefault="00801525" w:rsidP="006B7D4D">
            <w:pPr>
              <w:spacing w:before="20" w:after="20"/>
              <w:jc w:val="center"/>
              <w:rPr>
                <w:rFonts w:eastAsia="Times New Roman"/>
                <w:color w:val="000000" w:themeColor="text1"/>
                <w:sz w:val="21"/>
                <w:szCs w:val="21"/>
              </w:rPr>
            </w:pPr>
            <w:r w:rsidRPr="005018DE">
              <w:rPr>
                <w:rFonts w:eastAsia="Times New Roman"/>
                <w:color w:val="000000" w:themeColor="text1"/>
                <w:sz w:val="21"/>
                <w:szCs w:val="21"/>
              </w:rPr>
              <w:t>0.71</w:t>
            </w:r>
            <w:r w:rsidR="003611F9" w:rsidRPr="005018DE">
              <w:rPr>
                <w:rFonts w:hint="eastAsia"/>
                <w:color w:val="000000" w:themeColor="text1"/>
                <w:sz w:val="21"/>
                <w:szCs w:val="21"/>
              </w:rPr>
              <w:t xml:space="preserve"> </w:t>
            </w:r>
            <w:r w:rsidRPr="005018DE">
              <w:rPr>
                <w:rFonts w:eastAsia="Times New Roman"/>
                <w:color w:val="000000" w:themeColor="text1"/>
                <w:sz w:val="21"/>
                <w:szCs w:val="21"/>
              </w:rPr>
              <w:t>(</w:t>
            </w:r>
            <w:proofErr w:type="spellStart"/>
            <w:r w:rsidRPr="005018DE">
              <w:rPr>
                <w:rFonts w:eastAsia="Times New Roman"/>
                <w:color w:val="000000" w:themeColor="text1"/>
                <w:sz w:val="21"/>
                <w:szCs w:val="21"/>
              </w:rPr>
              <w:t>n.s</w:t>
            </w:r>
            <w:proofErr w:type="spellEnd"/>
            <w:r w:rsidRPr="005018DE">
              <w:rPr>
                <w:rFonts w:eastAsia="Times New Roman"/>
                <w:color w:val="000000" w:themeColor="text1"/>
                <w:sz w:val="21"/>
                <w:szCs w:val="21"/>
              </w:rPr>
              <w:t>.)</w:t>
            </w:r>
          </w:p>
        </w:tc>
      </w:tr>
    </w:tbl>
    <w:p w14:paraId="3C00403C" w14:textId="666621C7" w:rsidR="003D25CE" w:rsidRPr="00346B5D" w:rsidRDefault="005B0EFA" w:rsidP="00643642">
      <w:pPr>
        <w:spacing w:before="60" w:after="200"/>
        <w:rPr>
          <w:sz w:val="18"/>
          <w:szCs w:val="18"/>
        </w:rPr>
      </w:pPr>
      <w:r w:rsidRPr="00346B5D">
        <w:rPr>
          <w:sz w:val="18"/>
          <w:szCs w:val="18"/>
        </w:rPr>
        <w:t xml:space="preserve">Note: NLR-related sequences comprise Complete NLR and NB-ARC-like predictions. Shuffled NLR hit rates are reported as mean ± SD across 10 replicate sets. For functional score, the median was calculated within each replicate before the replicate-level medians were summarized as mean ± SD. For </w:t>
      </w:r>
      <w:proofErr w:type="spellStart"/>
      <w:r w:rsidRPr="00346B5D">
        <w:rPr>
          <w:sz w:val="18"/>
          <w:szCs w:val="18"/>
        </w:rPr>
        <w:t>pLDDT</w:t>
      </w:r>
      <w:proofErr w:type="spellEnd"/>
      <w:r w:rsidRPr="00346B5D">
        <w:rPr>
          <w:sz w:val="18"/>
          <w:szCs w:val="18"/>
        </w:rPr>
        <w:t xml:space="preserve">, only sequences containing ORFs that met the predefined translation criteria were included. P values for the first five endpoints compare the Generated and Shuffled NLR groups using two-sided paired permutation tests based on replicate-level summaries and were adjusted using the Holm method. The GC-content P value compares the Reference and Shuffled NLR groups using a two-sample Kolmogorov–Smirnov test and was not included in the Holm adjustment. Individual shuffled sequences were not treated as independent biological observations. </w:t>
      </w:r>
      <w:proofErr w:type="spellStart"/>
      <w:r w:rsidRPr="00346B5D">
        <w:rPr>
          <w:sz w:val="18"/>
          <w:szCs w:val="18"/>
        </w:rPr>
        <w:t>n.s</w:t>
      </w:r>
      <w:proofErr w:type="spellEnd"/>
      <w:r w:rsidRPr="00346B5D">
        <w:rPr>
          <w:sz w:val="18"/>
          <w:szCs w:val="18"/>
        </w:rPr>
        <w:t>. denotes not significant</w:t>
      </w:r>
      <w:r w:rsidR="00B452EA" w:rsidRPr="00346B5D">
        <w:rPr>
          <w:sz w:val="18"/>
          <w:szCs w:val="18"/>
        </w:rPr>
        <w:t>.</w:t>
      </w:r>
    </w:p>
    <w:p w14:paraId="71A430A8" w14:textId="5A8CF349" w:rsidR="00B452EA" w:rsidRPr="005018DE" w:rsidRDefault="005B0EFA" w:rsidP="005018DE">
      <w:pPr>
        <w:spacing w:after="200"/>
        <w:ind w:firstLineChars="200" w:firstLine="480"/>
        <w:rPr>
          <w:sz w:val="24"/>
          <w:szCs w:val="24"/>
        </w:rPr>
      </w:pPr>
      <w:r w:rsidRPr="005018DE">
        <w:rPr>
          <w:sz w:val="24"/>
          <w:szCs w:val="24"/>
        </w:rPr>
        <w:t xml:space="preserve">The generated sequences closely matched the reference set in NLR-related domain rate and median functional score, while showing higher domain, functional, and structural metrics than both negative controls. Differences between the Generated and Shuffled NLR groups remained significant after Holm correction, with adjusted P values ranging from 0.0094 to 0.0098 across the five biological endpoints. Mean </w:t>
      </w:r>
      <w:proofErr w:type="spellStart"/>
      <w:r w:rsidRPr="005018DE">
        <w:rPr>
          <w:sz w:val="24"/>
          <w:szCs w:val="24"/>
        </w:rPr>
        <w:t>pLDDT</w:t>
      </w:r>
      <w:proofErr w:type="spellEnd"/>
      <w:r w:rsidRPr="005018DE">
        <w:rPr>
          <w:sz w:val="24"/>
          <w:szCs w:val="24"/>
        </w:rPr>
        <w:t xml:space="preserve"> was higher for the generated sequences than for either negative control, although it remained below the reference value. The Shuffled NLR control had the same mean GC content as the Reference group and showed no significant difference in GC-content distribution (KS p = 0.71), yet its biological metrics remained close to those of the Random control. These findings indicate that nucleotide composition alone was insufficient to explain the higher-order biological features detected in the generated sequences.</w:t>
      </w:r>
    </w:p>
    <w:p w14:paraId="67971D20" w14:textId="4C8570DA" w:rsidR="00B452EA" w:rsidRPr="00AC0034" w:rsidRDefault="00B452EA" w:rsidP="00AC0034">
      <w:pPr>
        <w:spacing w:after="200"/>
        <w:rPr>
          <w:b/>
          <w:bCs/>
          <w:sz w:val="22"/>
          <w:szCs w:val="22"/>
        </w:rPr>
      </w:pPr>
      <w:r w:rsidRPr="00AC0034">
        <w:rPr>
          <w:b/>
          <w:bCs/>
          <w:sz w:val="22"/>
          <w:szCs w:val="22"/>
        </w:rPr>
        <w:t xml:space="preserve">Table S7.2. </w:t>
      </w:r>
      <w:r w:rsidR="005B0EFA" w:rsidRPr="00AC0034">
        <w:rPr>
          <w:b/>
          <w:bCs/>
          <w:sz w:val="22"/>
          <w:szCs w:val="22"/>
        </w:rPr>
        <w:t>Zero-shot gene-structural-element classification performance for generated and negative-control sequences</w:t>
      </w:r>
      <w:r w:rsidRPr="00AC0034">
        <w:rPr>
          <w:b/>
          <w:bCs/>
          <w:sz w:val="22"/>
          <w:szCs w:val="22"/>
        </w:rPr>
        <w:t>.</w:t>
      </w:r>
    </w:p>
    <w:tbl>
      <w:tblPr>
        <w:tblW w:w="9000" w:type="dxa"/>
        <w:tblBorders>
          <w:top w:val="single" w:sz="12" w:space="0" w:color="000000" w:themeColor="text1"/>
          <w:bottom w:val="single" w:sz="12" w:space="0" w:color="000000" w:themeColor="text1"/>
        </w:tblBorders>
        <w:tblCellMar>
          <w:left w:w="10" w:type="dxa"/>
          <w:right w:w="10" w:type="dxa"/>
        </w:tblCellMar>
        <w:tblLook w:val="04A0" w:firstRow="1" w:lastRow="0" w:firstColumn="1" w:lastColumn="0" w:noHBand="0" w:noVBand="1"/>
      </w:tblPr>
      <w:tblGrid>
        <w:gridCol w:w="2700"/>
        <w:gridCol w:w="2100"/>
        <w:gridCol w:w="2100"/>
        <w:gridCol w:w="2100"/>
      </w:tblGrid>
      <w:tr w:rsidR="00CC02E1" w14:paraId="5AA69700" w14:textId="77777777" w:rsidTr="00C45B83">
        <w:trPr>
          <w:tblHeader/>
        </w:trPr>
        <w:tc>
          <w:tcPr>
            <w:tcW w:w="2700" w:type="dxa"/>
            <w:tcBorders>
              <w:top w:val="single" w:sz="12" w:space="0" w:color="000000" w:themeColor="text1"/>
              <w:bottom w:val="single" w:sz="8" w:space="0" w:color="auto"/>
            </w:tcBorders>
            <w:vAlign w:val="center"/>
          </w:tcPr>
          <w:p w14:paraId="2BACF5B7" w14:textId="77777777" w:rsidR="00CC02E1" w:rsidRPr="00643642" w:rsidRDefault="00CC02E1" w:rsidP="00C45B83">
            <w:pPr>
              <w:spacing w:before="20" w:after="20"/>
              <w:jc w:val="center"/>
              <w:rPr>
                <w:color w:val="000000" w:themeColor="text1"/>
              </w:rPr>
            </w:pPr>
            <w:r w:rsidRPr="00643642">
              <w:rPr>
                <w:rFonts w:eastAsia="Times New Roman"/>
                <w:b/>
                <w:bCs/>
                <w:color w:val="000000" w:themeColor="text1"/>
              </w:rPr>
              <w:t>Structural element</w:t>
            </w:r>
          </w:p>
        </w:tc>
        <w:tc>
          <w:tcPr>
            <w:tcW w:w="2100" w:type="dxa"/>
            <w:tcBorders>
              <w:top w:val="single" w:sz="12" w:space="0" w:color="000000" w:themeColor="text1"/>
              <w:bottom w:val="single" w:sz="8" w:space="0" w:color="auto"/>
            </w:tcBorders>
            <w:vAlign w:val="center"/>
          </w:tcPr>
          <w:p w14:paraId="255B2C46" w14:textId="43BD2494" w:rsidR="00CC02E1" w:rsidRPr="00643642" w:rsidRDefault="00CC02E1" w:rsidP="00C45B83">
            <w:pPr>
              <w:spacing w:before="20" w:after="20"/>
              <w:jc w:val="center"/>
              <w:rPr>
                <w:color w:val="000000" w:themeColor="text1"/>
              </w:rPr>
            </w:pPr>
            <w:r w:rsidRPr="00643642">
              <w:rPr>
                <w:rFonts w:eastAsia="Times New Roman"/>
                <w:b/>
                <w:bCs/>
                <w:color w:val="000000" w:themeColor="text1"/>
              </w:rPr>
              <w:t>Generated</w:t>
            </w:r>
          </w:p>
        </w:tc>
        <w:tc>
          <w:tcPr>
            <w:tcW w:w="2100" w:type="dxa"/>
            <w:tcBorders>
              <w:top w:val="single" w:sz="12" w:space="0" w:color="000000" w:themeColor="text1"/>
              <w:bottom w:val="single" w:sz="8" w:space="0" w:color="auto"/>
            </w:tcBorders>
            <w:vAlign w:val="center"/>
          </w:tcPr>
          <w:p w14:paraId="35BE3526" w14:textId="4A312725" w:rsidR="00CC02E1" w:rsidRPr="00643642" w:rsidRDefault="00CC02E1" w:rsidP="00C45B83">
            <w:pPr>
              <w:spacing w:before="20" w:after="20"/>
              <w:jc w:val="center"/>
              <w:rPr>
                <w:color w:val="000000" w:themeColor="text1"/>
              </w:rPr>
            </w:pPr>
            <w:r w:rsidRPr="00643642">
              <w:rPr>
                <w:rFonts w:eastAsia="Times New Roman"/>
                <w:b/>
                <w:bCs/>
                <w:color w:val="000000" w:themeColor="text1"/>
              </w:rPr>
              <w:t>Random</w:t>
            </w:r>
          </w:p>
        </w:tc>
        <w:tc>
          <w:tcPr>
            <w:tcW w:w="2100" w:type="dxa"/>
            <w:tcBorders>
              <w:top w:val="single" w:sz="12" w:space="0" w:color="000000" w:themeColor="text1"/>
              <w:bottom w:val="single" w:sz="8" w:space="0" w:color="auto"/>
            </w:tcBorders>
            <w:vAlign w:val="center"/>
          </w:tcPr>
          <w:p w14:paraId="5D09C3BA" w14:textId="5AB78710" w:rsidR="00CC02E1" w:rsidRPr="00643642" w:rsidRDefault="00CC02E1" w:rsidP="00C45B83">
            <w:pPr>
              <w:spacing w:before="20" w:after="20"/>
              <w:jc w:val="center"/>
              <w:rPr>
                <w:color w:val="000000" w:themeColor="text1"/>
              </w:rPr>
            </w:pPr>
            <w:r w:rsidRPr="00643642">
              <w:rPr>
                <w:rFonts w:eastAsia="Times New Roman"/>
                <w:b/>
                <w:bCs/>
                <w:color w:val="000000" w:themeColor="text1"/>
              </w:rPr>
              <w:t>Shuffled NLR</w:t>
            </w:r>
          </w:p>
        </w:tc>
      </w:tr>
      <w:tr w:rsidR="00CC02E1" w:rsidRPr="00F833EA" w14:paraId="4F21C1FA" w14:textId="77777777" w:rsidTr="00C45B83">
        <w:tc>
          <w:tcPr>
            <w:tcW w:w="2700" w:type="dxa"/>
            <w:tcBorders>
              <w:top w:val="single" w:sz="8" w:space="0" w:color="auto"/>
              <w:bottom w:val="nil"/>
            </w:tcBorders>
            <w:vAlign w:val="center"/>
          </w:tcPr>
          <w:p w14:paraId="43FBD270" w14:textId="4B78E4AB" w:rsidR="00CC02E1" w:rsidRDefault="00CC02E1" w:rsidP="00C45B83">
            <w:pPr>
              <w:spacing w:before="20" w:after="20"/>
              <w:jc w:val="center"/>
            </w:pPr>
            <w:r>
              <w:rPr>
                <w:rFonts w:eastAsia="Times New Roman"/>
              </w:rPr>
              <w:t>CDS</w:t>
            </w:r>
          </w:p>
        </w:tc>
        <w:tc>
          <w:tcPr>
            <w:tcW w:w="2100" w:type="dxa"/>
            <w:tcBorders>
              <w:top w:val="single" w:sz="8" w:space="0" w:color="auto"/>
              <w:bottom w:val="nil"/>
            </w:tcBorders>
            <w:vAlign w:val="center"/>
          </w:tcPr>
          <w:p w14:paraId="2EC4DAB2" w14:textId="692B6F53" w:rsidR="00CC02E1" w:rsidRDefault="00CC02E1" w:rsidP="00C45B83">
            <w:pPr>
              <w:spacing w:before="20" w:after="20"/>
              <w:jc w:val="center"/>
            </w:pPr>
            <w:r>
              <w:rPr>
                <w:rFonts w:eastAsia="Times New Roman"/>
              </w:rPr>
              <w:t>0.912</w:t>
            </w:r>
          </w:p>
        </w:tc>
        <w:tc>
          <w:tcPr>
            <w:tcW w:w="2100" w:type="dxa"/>
            <w:tcBorders>
              <w:top w:val="single" w:sz="8" w:space="0" w:color="auto"/>
              <w:bottom w:val="nil"/>
            </w:tcBorders>
            <w:vAlign w:val="center"/>
          </w:tcPr>
          <w:p w14:paraId="5106A77E" w14:textId="61207FA1" w:rsidR="00CC02E1" w:rsidRPr="007C1B27" w:rsidRDefault="007C1B27" w:rsidP="00C45B83">
            <w:pPr>
              <w:spacing w:before="20" w:after="20"/>
              <w:jc w:val="center"/>
            </w:pPr>
            <w:r>
              <w:rPr>
                <w:rFonts w:hint="eastAsia"/>
              </w:rPr>
              <w:t>0.481</w:t>
            </w:r>
          </w:p>
        </w:tc>
        <w:tc>
          <w:tcPr>
            <w:tcW w:w="2100" w:type="dxa"/>
            <w:tcBorders>
              <w:top w:val="single" w:sz="8" w:space="0" w:color="auto"/>
              <w:bottom w:val="nil"/>
            </w:tcBorders>
            <w:vAlign w:val="center"/>
          </w:tcPr>
          <w:p w14:paraId="07547BE5" w14:textId="753A6D0C" w:rsidR="00CC02E1" w:rsidRPr="00A90BC6" w:rsidRDefault="00CC02E1" w:rsidP="00C45B83">
            <w:pPr>
              <w:spacing w:before="20" w:after="20"/>
              <w:jc w:val="center"/>
              <w:rPr>
                <w:color w:val="000000" w:themeColor="text1"/>
              </w:rPr>
            </w:pPr>
            <w:r w:rsidRPr="00A90BC6">
              <w:rPr>
                <w:rFonts w:hint="eastAsia"/>
                <w:color w:val="000000" w:themeColor="text1"/>
              </w:rPr>
              <w:t>0.52</w:t>
            </w:r>
            <w:r w:rsidR="001D0099" w:rsidRPr="00A90BC6">
              <w:rPr>
                <w:rFonts w:hint="eastAsia"/>
                <w:color w:val="000000" w:themeColor="text1"/>
              </w:rPr>
              <w:t>6</w:t>
            </w:r>
            <w:r w:rsidR="00C45B83">
              <w:rPr>
                <w:rFonts w:hint="eastAsia"/>
                <w:color w:val="000000" w:themeColor="text1"/>
              </w:rPr>
              <w:t xml:space="preserve"> </w:t>
            </w:r>
            <w:r w:rsidR="001D0099" w:rsidRPr="00A90BC6">
              <w:rPr>
                <w:rFonts w:eastAsia="Times New Roman"/>
                <w:color w:val="000000" w:themeColor="text1"/>
              </w:rPr>
              <w:t xml:space="preserve">± </w:t>
            </w:r>
            <w:r w:rsidR="0080384A" w:rsidRPr="00A90BC6">
              <w:rPr>
                <w:rFonts w:hint="eastAsia"/>
                <w:color w:val="000000" w:themeColor="text1"/>
              </w:rPr>
              <w:t>0.048</w:t>
            </w:r>
          </w:p>
        </w:tc>
      </w:tr>
      <w:tr w:rsidR="00CC02E1" w:rsidRPr="00F833EA" w14:paraId="6D06E072" w14:textId="77777777" w:rsidTr="00C45B83">
        <w:tc>
          <w:tcPr>
            <w:tcW w:w="2700" w:type="dxa"/>
            <w:tcBorders>
              <w:top w:val="nil"/>
            </w:tcBorders>
            <w:vAlign w:val="center"/>
          </w:tcPr>
          <w:p w14:paraId="5D1B8017" w14:textId="77777777" w:rsidR="00CC02E1" w:rsidRDefault="00CC02E1" w:rsidP="00C45B83">
            <w:pPr>
              <w:spacing w:before="20" w:after="20"/>
              <w:jc w:val="center"/>
            </w:pPr>
            <w:r>
              <w:rPr>
                <w:rFonts w:eastAsia="Times New Roman"/>
              </w:rPr>
              <w:t>Start codon</w:t>
            </w:r>
          </w:p>
        </w:tc>
        <w:tc>
          <w:tcPr>
            <w:tcW w:w="2100" w:type="dxa"/>
            <w:tcBorders>
              <w:top w:val="nil"/>
            </w:tcBorders>
            <w:vAlign w:val="center"/>
          </w:tcPr>
          <w:p w14:paraId="030DDE42" w14:textId="77777777" w:rsidR="00CC02E1" w:rsidRDefault="00CC02E1" w:rsidP="00C45B83">
            <w:pPr>
              <w:spacing w:before="20" w:after="20"/>
              <w:jc w:val="center"/>
            </w:pPr>
            <w:r>
              <w:rPr>
                <w:rFonts w:eastAsia="Times New Roman"/>
              </w:rPr>
              <w:t>0.895</w:t>
            </w:r>
          </w:p>
        </w:tc>
        <w:tc>
          <w:tcPr>
            <w:tcW w:w="2100" w:type="dxa"/>
            <w:tcBorders>
              <w:top w:val="nil"/>
            </w:tcBorders>
            <w:vAlign w:val="center"/>
          </w:tcPr>
          <w:p w14:paraId="46142CAB" w14:textId="1861F771" w:rsidR="00CC02E1" w:rsidRPr="007C1B27" w:rsidRDefault="007C1B27" w:rsidP="00C45B83">
            <w:pPr>
              <w:spacing w:before="20" w:after="20"/>
              <w:jc w:val="center"/>
            </w:pPr>
            <w:r>
              <w:rPr>
                <w:rFonts w:hint="eastAsia"/>
              </w:rPr>
              <w:t>0.496</w:t>
            </w:r>
          </w:p>
        </w:tc>
        <w:tc>
          <w:tcPr>
            <w:tcW w:w="2100" w:type="dxa"/>
            <w:tcBorders>
              <w:top w:val="nil"/>
            </w:tcBorders>
            <w:vAlign w:val="center"/>
          </w:tcPr>
          <w:p w14:paraId="0F0279CA" w14:textId="5D766E7A" w:rsidR="00CC02E1" w:rsidRPr="00A90BC6" w:rsidRDefault="00CC02E1" w:rsidP="00C45B83">
            <w:pPr>
              <w:spacing w:before="20" w:after="20"/>
              <w:jc w:val="center"/>
              <w:rPr>
                <w:color w:val="000000" w:themeColor="text1"/>
              </w:rPr>
            </w:pPr>
            <w:r w:rsidRPr="00A90BC6">
              <w:rPr>
                <w:rFonts w:hint="eastAsia"/>
                <w:color w:val="000000" w:themeColor="text1"/>
              </w:rPr>
              <w:t>0.50</w:t>
            </w:r>
            <w:r w:rsidR="001D0099" w:rsidRPr="00A90BC6">
              <w:rPr>
                <w:rFonts w:hint="eastAsia"/>
                <w:color w:val="000000" w:themeColor="text1"/>
              </w:rPr>
              <w:t>4</w:t>
            </w:r>
            <w:r w:rsidR="00C45B83">
              <w:rPr>
                <w:rFonts w:hint="eastAsia"/>
                <w:color w:val="000000" w:themeColor="text1"/>
              </w:rPr>
              <w:t xml:space="preserve"> </w:t>
            </w:r>
            <w:r w:rsidR="001D0099" w:rsidRPr="00A90BC6">
              <w:rPr>
                <w:rFonts w:eastAsia="Times New Roman"/>
                <w:color w:val="000000" w:themeColor="text1"/>
              </w:rPr>
              <w:t xml:space="preserve">± </w:t>
            </w:r>
            <w:r w:rsidR="0080384A" w:rsidRPr="00A90BC6">
              <w:rPr>
                <w:rFonts w:hint="eastAsia"/>
                <w:color w:val="000000" w:themeColor="text1"/>
              </w:rPr>
              <w:t>0.076</w:t>
            </w:r>
          </w:p>
        </w:tc>
      </w:tr>
      <w:tr w:rsidR="00CC02E1" w:rsidRPr="00F833EA" w14:paraId="4EC741B3" w14:textId="77777777" w:rsidTr="00C45B83">
        <w:tc>
          <w:tcPr>
            <w:tcW w:w="2700" w:type="dxa"/>
            <w:vAlign w:val="center"/>
          </w:tcPr>
          <w:p w14:paraId="3BDD59BE" w14:textId="77777777" w:rsidR="00CC02E1" w:rsidRDefault="00CC02E1" w:rsidP="00C45B83">
            <w:pPr>
              <w:spacing w:before="20" w:after="20"/>
              <w:jc w:val="center"/>
            </w:pPr>
            <w:r>
              <w:rPr>
                <w:rFonts w:eastAsia="Times New Roman"/>
              </w:rPr>
              <w:t>Stop codon</w:t>
            </w:r>
          </w:p>
        </w:tc>
        <w:tc>
          <w:tcPr>
            <w:tcW w:w="2100" w:type="dxa"/>
            <w:vAlign w:val="center"/>
          </w:tcPr>
          <w:p w14:paraId="35C8B041" w14:textId="77777777" w:rsidR="00CC02E1" w:rsidRDefault="00CC02E1" w:rsidP="00C45B83">
            <w:pPr>
              <w:spacing w:before="20" w:after="20"/>
              <w:jc w:val="center"/>
            </w:pPr>
            <w:r>
              <w:rPr>
                <w:rFonts w:eastAsia="Times New Roman"/>
              </w:rPr>
              <w:t>0.908</w:t>
            </w:r>
          </w:p>
        </w:tc>
        <w:tc>
          <w:tcPr>
            <w:tcW w:w="2100" w:type="dxa"/>
            <w:vAlign w:val="center"/>
          </w:tcPr>
          <w:p w14:paraId="6F1E8C78" w14:textId="144F7589" w:rsidR="00CC02E1" w:rsidRPr="007C1B27" w:rsidRDefault="007C1B27" w:rsidP="00C45B83">
            <w:pPr>
              <w:spacing w:before="20" w:after="20"/>
              <w:jc w:val="center"/>
            </w:pPr>
            <w:r>
              <w:rPr>
                <w:rFonts w:hint="eastAsia"/>
              </w:rPr>
              <w:t>0.502</w:t>
            </w:r>
          </w:p>
        </w:tc>
        <w:tc>
          <w:tcPr>
            <w:tcW w:w="2100" w:type="dxa"/>
            <w:vAlign w:val="center"/>
          </w:tcPr>
          <w:p w14:paraId="01FFD627" w14:textId="237927BF" w:rsidR="00CC02E1" w:rsidRPr="00A90BC6" w:rsidRDefault="00CC02E1" w:rsidP="00C45B83">
            <w:pPr>
              <w:spacing w:before="20" w:after="20"/>
              <w:jc w:val="center"/>
              <w:rPr>
                <w:color w:val="000000" w:themeColor="text1"/>
              </w:rPr>
            </w:pPr>
            <w:r w:rsidRPr="00A90BC6">
              <w:rPr>
                <w:rFonts w:hint="eastAsia"/>
                <w:color w:val="000000" w:themeColor="text1"/>
              </w:rPr>
              <w:t>0.55</w:t>
            </w:r>
            <w:r w:rsidR="001934CC" w:rsidRPr="00A90BC6">
              <w:rPr>
                <w:rFonts w:hint="eastAsia"/>
                <w:color w:val="000000" w:themeColor="text1"/>
              </w:rPr>
              <w:t>9</w:t>
            </w:r>
            <w:r w:rsidR="00C45B83">
              <w:rPr>
                <w:rFonts w:hint="eastAsia"/>
                <w:color w:val="000000" w:themeColor="text1"/>
              </w:rPr>
              <w:t xml:space="preserve"> </w:t>
            </w:r>
            <w:r w:rsidR="001934CC" w:rsidRPr="00A90BC6">
              <w:rPr>
                <w:rFonts w:eastAsia="Times New Roman"/>
                <w:color w:val="000000" w:themeColor="text1"/>
              </w:rPr>
              <w:t xml:space="preserve">± </w:t>
            </w:r>
            <w:r w:rsidR="0080384A" w:rsidRPr="00A90BC6">
              <w:rPr>
                <w:rFonts w:hint="eastAsia"/>
                <w:color w:val="000000" w:themeColor="text1"/>
              </w:rPr>
              <w:t>0.046</w:t>
            </w:r>
          </w:p>
        </w:tc>
      </w:tr>
      <w:tr w:rsidR="00CC02E1" w:rsidRPr="00D94022" w14:paraId="1342C8EE" w14:textId="77777777" w:rsidTr="00C45B83">
        <w:tc>
          <w:tcPr>
            <w:tcW w:w="2700" w:type="dxa"/>
            <w:vAlign w:val="center"/>
          </w:tcPr>
          <w:p w14:paraId="4D305E53" w14:textId="77777777" w:rsidR="00CC02E1" w:rsidRDefault="00CC02E1" w:rsidP="00C45B83">
            <w:pPr>
              <w:spacing w:before="20" w:after="20"/>
              <w:jc w:val="center"/>
            </w:pPr>
            <w:r>
              <w:rPr>
                <w:rFonts w:eastAsia="Times New Roman"/>
              </w:rPr>
              <w:t>Splice site</w:t>
            </w:r>
          </w:p>
        </w:tc>
        <w:tc>
          <w:tcPr>
            <w:tcW w:w="2100" w:type="dxa"/>
            <w:vAlign w:val="center"/>
          </w:tcPr>
          <w:p w14:paraId="539F6F04" w14:textId="77777777" w:rsidR="00CC02E1" w:rsidRDefault="00CC02E1" w:rsidP="00C45B83">
            <w:pPr>
              <w:spacing w:before="20" w:after="20"/>
              <w:jc w:val="center"/>
            </w:pPr>
            <w:r>
              <w:rPr>
                <w:rFonts w:eastAsia="Times New Roman"/>
              </w:rPr>
              <w:t>0.847</w:t>
            </w:r>
          </w:p>
        </w:tc>
        <w:tc>
          <w:tcPr>
            <w:tcW w:w="2100" w:type="dxa"/>
            <w:vAlign w:val="center"/>
          </w:tcPr>
          <w:p w14:paraId="2672D6A1" w14:textId="7615F895" w:rsidR="00CC02E1" w:rsidRPr="007C1B27" w:rsidRDefault="007C1B27" w:rsidP="00C45B83">
            <w:pPr>
              <w:spacing w:before="20" w:after="20"/>
              <w:jc w:val="center"/>
            </w:pPr>
            <w:r>
              <w:rPr>
                <w:rFonts w:hint="eastAsia"/>
              </w:rPr>
              <w:t>0.474</w:t>
            </w:r>
          </w:p>
        </w:tc>
        <w:tc>
          <w:tcPr>
            <w:tcW w:w="2100" w:type="dxa"/>
            <w:vAlign w:val="center"/>
          </w:tcPr>
          <w:p w14:paraId="1EA0A0BA" w14:textId="79F693AA" w:rsidR="00CC02E1" w:rsidRPr="00A90BC6" w:rsidRDefault="00CC02E1" w:rsidP="00C45B83">
            <w:pPr>
              <w:spacing w:before="20" w:after="20"/>
              <w:jc w:val="center"/>
              <w:rPr>
                <w:color w:val="000000" w:themeColor="text1"/>
              </w:rPr>
            </w:pPr>
            <w:r w:rsidRPr="00A90BC6">
              <w:rPr>
                <w:rFonts w:hint="eastAsia"/>
                <w:color w:val="000000" w:themeColor="text1"/>
              </w:rPr>
              <w:t>0.53</w:t>
            </w:r>
            <w:r w:rsidR="001934CC" w:rsidRPr="00A90BC6">
              <w:rPr>
                <w:rFonts w:hint="eastAsia"/>
                <w:color w:val="000000" w:themeColor="text1"/>
              </w:rPr>
              <w:t>1</w:t>
            </w:r>
            <w:r w:rsidR="00C45B83">
              <w:rPr>
                <w:rFonts w:hint="eastAsia"/>
                <w:color w:val="000000" w:themeColor="text1"/>
              </w:rPr>
              <w:t xml:space="preserve"> </w:t>
            </w:r>
            <w:r w:rsidR="001934CC" w:rsidRPr="00A90BC6">
              <w:rPr>
                <w:rFonts w:eastAsia="Times New Roman"/>
                <w:color w:val="000000" w:themeColor="text1"/>
              </w:rPr>
              <w:t xml:space="preserve">± </w:t>
            </w:r>
            <w:r w:rsidR="0080384A" w:rsidRPr="00A90BC6">
              <w:rPr>
                <w:rFonts w:hint="eastAsia"/>
                <w:color w:val="000000" w:themeColor="text1"/>
              </w:rPr>
              <w:t>0.052</w:t>
            </w:r>
          </w:p>
        </w:tc>
      </w:tr>
      <w:tr w:rsidR="00CC02E1" w:rsidRPr="00D94022" w14:paraId="0064D7CD" w14:textId="77777777" w:rsidTr="00C45B83">
        <w:tc>
          <w:tcPr>
            <w:tcW w:w="2700" w:type="dxa"/>
            <w:tcBorders>
              <w:bottom w:val="single" w:sz="12" w:space="0" w:color="000000" w:themeColor="text1"/>
            </w:tcBorders>
            <w:vAlign w:val="center"/>
          </w:tcPr>
          <w:p w14:paraId="0422FF46" w14:textId="77777777" w:rsidR="00CC02E1" w:rsidRDefault="00CC02E1" w:rsidP="00C45B83">
            <w:pPr>
              <w:spacing w:before="20" w:after="20"/>
              <w:jc w:val="center"/>
            </w:pPr>
            <w:r>
              <w:rPr>
                <w:rFonts w:eastAsia="Times New Roman"/>
              </w:rPr>
              <w:t>Promoter</w:t>
            </w:r>
          </w:p>
        </w:tc>
        <w:tc>
          <w:tcPr>
            <w:tcW w:w="2100" w:type="dxa"/>
            <w:tcBorders>
              <w:bottom w:val="single" w:sz="12" w:space="0" w:color="000000" w:themeColor="text1"/>
            </w:tcBorders>
            <w:vAlign w:val="center"/>
          </w:tcPr>
          <w:p w14:paraId="4DA7C55E" w14:textId="77777777" w:rsidR="00CC02E1" w:rsidRDefault="00CC02E1" w:rsidP="00C45B83">
            <w:pPr>
              <w:spacing w:before="20" w:after="20"/>
              <w:jc w:val="center"/>
            </w:pPr>
            <w:r>
              <w:rPr>
                <w:rFonts w:eastAsia="Times New Roman"/>
              </w:rPr>
              <w:t>0.831</w:t>
            </w:r>
          </w:p>
        </w:tc>
        <w:tc>
          <w:tcPr>
            <w:tcW w:w="2100" w:type="dxa"/>
            <w:tcBorders>
              <w:bottom w:val="single" w:sz="12" w:space="0" w:color="000000" w:themeColor="text1"/>
            </w:tcBorders>
            <w:vAlign w:val="center"/>
          </w:tcPr>
          <w:p w14:paraId="384B960B" w14:textId="4D9B568A" w:rsidR="00CC02E1" w:rsidRPr="007C1B27" w:rsidRDefault="007C1B27" w:rsidP="00C45B83">
            <w:pPr>
              <w:spacing w:before="20" w:after="20"/>
              <w:jc w:val="center"/>
            </w:pPr>
            <w:r>
              <w:rPr>
                <w:rFonts w:hint="eastAsia"/>
              </w:rPr>
              <w:t>0.468</w:t>
            </w:r>
          </w:p>
        </w:tc>
        <w:tc>
          <w:tcPr>
            <w:tcW w:w="2100" w:type="dxa"/>
            <w:tcBorders>
              <w:bottom w:val="single" w:sz="12" w:space="0" w:color="000000" w:themeColor="text1"/>
            </w:tcBorders>
            <w:vAlign w:val="center"/>
          </w:tcPr>
          <w:p w14:paraId="46C7F73E" w14:textId="038BD354" w:rsidR="00CC02E1" w:rsidRPr="00A90BC6" w:rsidRDefault="00CC02E1" w:rsidP="00C45B83">
            <w:pPr>
              <w:spacing w:before="20" w:after="20"/>
              <w:jc w:val="center"/>
              <w:rPr>
                <w:color w:val="000000" w:themeColor="text1"/>
              </w:rPr>
            </w:pPr>
            <w:r w:rsidRPr="00A90BC6">
              <w:rPr>
                <w:rFonts w:hint="eastAsia"/>
                <w:color w:val="000000" w:themeColor="text1"/>
              </w:rPr>
              <w:t>0.51</w:t>
            </w:r>
            <w:r w:rsidR="001934CC" w:rsidRPr="00A90BC6">
              <w:rPr>
                <w:rFonts w:hint="eastAsia"/>
                <w:color w:val="000000" w:themeColor="text1"/>
              </w:rPr>
              <w:t>8</w:t>
            </w:r>
            <w:r w:rsidR="00C45B83">
              <w:rPr>
                <w:rFonts w:hint="eastAsia"/>
                <w:color w:val="000000" w:themeColor="text1"/>
              </w:rPr>
              <w:t xml:space="preserve"> </w:t>
            </w:r>
            <w:r w:rsidR="001934CC" w:rsidRPr="00A90BC6">
              <w:rPr>
                <w:rFonts w:eastAsia="Times New Roman"/>
                <w:color w:val="000000" w:themeColor="text1"/>
              </w:rPr>
              <w:t xml:space="preserve">± </w:t>
            </w:r>
            <w:r w:rsidR="0080384A" w:rsidRPr="00A90BC6">
              <w:rPr>
                <w:rFonts w:hint="eastAsia"/>
                <w:color w:val="000000" w:themeColor="text1"/>
              </w:rPr>
              <w:t>0.047</w:t>
            </w:r>
          </w:p>
        </w:tc>
      </w:tr>
    </w:tbl>
    <w:p w14:paraId="6FCF6178" w14:textId="703AB6D3" w:rsidR="00B452EA" w:rsidRPr="00346B5D" w:rsidRDefault="00AC0034" w:rsidP="00643642">
      <w:pPr>
        <w:spacing w:before="60" w:after="200"/>
        <w:rPr>
          <w:sz w:val="18"/>
          <w:szCs w:val="18"/>
        </w:rPr>
      </w:pPr>
      <w:r w:rsidRPr="00346B5D">
        <w:rPr>
          <w:sz w:val="18"/>
          <w:szCs w:val="18"/>
        </w:rPr>
        <w:lastRenderedPageBreak/>
        <w:t>Note: Values are areas under the receiver operating characteristic curve (AUC). Generated AUCs correspond to the gene-structural-element evaluation reported in Fig. 4F. Shuffled NLR values are reported as mean ± SD across 10 replicate sets, each containing one shuffled sequence per reference locus (n = 362 per replicate). All groups were evaluated using the same classifier, scoring function, and positive and negative window definitions</w:t>
      </w:r>
      <w:r w:rsidR="0080384A" w:rsidRPr="00346B5D">
        <w:rPr>
          <w:sz w:val="18"/>
          <w:szCs w:val="18"/>
        </w:rPr>
        <w:t>.</w:t>
      </w:r>
    </w:p>
    <w:p w14:paraId="4B3BC3CE" w14:textId="2849D3F3" w:rsidR="0080384A" w:rsidRPr="005018DE" w:rsidRDefault="00AC0034" w:rsidP="005018DE">
      <w:pPr>
        <w:spacing w:after="200"/>
        <w:ind w:firstLineChars="200" w:firstLine="480"/>
        <w:rPr>
          <w:sz w:val="24"/>
          <w:szCs w:val="24"/>
        </w:rPr>
      </w:pPr>
      <w:r w:rsidRPr="005018DE">
        <w:rPr>
          <w:sz w:val="24"/>
          <w:szCs w:val="24"/>
        </w:rPr>
        <w:t>Generated sequences achieved substantially higher AUCs (0.831–0.912) than the Random control (0.468–0.502) and the dinucleotide-preserving Shuffled NLR control (0.504–0.559). The Shuffled NLR AUCs remained close to the 0.5 no-skill level despite matching the low-order nucleotide composition of the reference loci. These results indicate that dinucleotide composition alone was insufficient to retain the ordered sequence signals required for gene-structural-element recognition.</w:t>
      </w:r>
    </w:p>
    <w:sectPr w:rsidR="0080384A" w:rsidRPr="005018DE" w:rsidSect="009B787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F7"/>
    <w:rsid w:val="00011DD8"/>
    <w:rsid w:val="00084FDE"/>
    <w:rsid w:val="000D0532"/>
    <w:rsid w:val="000E7CDE"/>
    <w:rsid w:val="001606A1"/>
    <w:rsid w:val="00164DD0"/>
    <w:rsid w:val="001903B0"/>
    <w:rsid w:val="001934CC"/>
    <w:rsid w:val="001A38D5"/>
    <w:rsid w:val="001B2343"/>
    <w:rsid w:val="001D0099"/>
    <w:rsid w:val="001E47E4"/>
    <w:rsid w:val="00234A06"/>
    <w:rsid w:val="00271A98"/>
    <w:rsid w:val="002B463A"/>
    <w:rsid w:val="002B5840"/>
    <w:rsid w:val="00346B5D"/>
    <w:rsid w:val="003611F9"/>
    <w:rsid w:val="00383D93"/>
    <w:rsid w:val="003D25CE"/>
    <w:rsid w:val="00417D1D"/>
    <w:rsid w:val="00426E8E"/>
    <w:rsid w:val="00475F78"/>
    <w:rsid w:val="0047792D"/>
    <w:rsid w:val="004A17FD"/>
    <w:rsid w:val="005018DE"/>
    <w:rsid w:val="005B0EFA"/>
    <w:rsid w:val="005B474B"/>
    <w:rsid w:val="005D2C20"/>
    <w:rsid w:val="005D42C1"/>
    <w:rsid w:val="005F4BC2"/>
    <w:rsid w:val="00603D87"/>
    <w:rsid w:val="00643642"/>
    <w:rsid w:val="006B7D4D"/>
    <w:rsid w:val="006C3743"/>
    <w:rsid w:val="007138B5"/>
    <w:rsid w:val="0074370F"/>
    <w:rsid w:val="00785477"/>
    <w:rsid w:val="007976C3"/>
    <w:rsid w:val="007C1B27"/>
    <w:rsid w:val="00801525"/>
    <w:rsid w:val="0080384A"/>
    <w:rsid w:val="008B151C"/>
    <w:rsid w:val="008E1DC9"/>
    <w:rsid w:val="00933EAA"/>
    <w:rsid w:val="009566BE"/>
    <w:rsid w:val="0097652D"/>
    <w:rsid w:val="009935EE"/>
    <w:rsid w:val="009B7872"/>
    <w:rsid w:val="00A842D6"/>
    <w:rsid w:val="00A90BC6"/>
    <w:rsid w:val="00AB6717"/>
    <w:rsid w:val="00AC0034"/>
    <w:rsid w:val="00B33285"/>
    <w:rsid w:val="00B35131"/>
    <w:rsid w:val="00B452EA"/>
    <w:rsid w:val="00BB53D9"/>
    <w:rsid w:val="00BC57C1"/>
    <w:rsid w:val="00C124A1"/>
    <w:rsid w:val="00C442C6"/>
    <w:rsid w:val="00C45B83"/>
    <w:rsid w:val="00C64CDA"/>
    <w:rsid w:val="00C87A5B"/>
    <w:rsid w:val="00CC02E1"/>
    <w:rsid w:val="00CE065E"/>
    <w:rsid w:val="00D41579"/>
    <w:rsid w:val="00DD75DE"/>
    <w:rsid w:val="00E11530"/>
    <w:rsid w:val="00E86367"/>
    <w:rsid w:val="00EC4EF7"/>
    <w:rsid w:val="00EE7112"/>
    <w:rsid w:val="00F04C4A"/>
    <w:rsid w:val="00F25826"/>
    <w:rsid w:val="00F45FA8"/>
    <w:rsid w:val="00F510FA"/>
    <w:rsid w:val="00F70279"/>
    <w:rsid w:val="00F7613C"/>
    <w:rsid w:val="00F817E2"/>
    <w:rsid w:val="00FA60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EC430"/>
  <w15:chartTrackingRefBased/>
  <w15:docId w15:val="{40988549-6789-4296-9991-4C6E508A4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4EF7"/>
    <w:pPr>
      <w:widowControl w:val="0"/>
      <w:spacing w:after="0" w:line="240" w:lineRule="auto"/>
    </w:pPr>
    <w:rPr>
      <w:rFonts w:ascii="Times New Roman" w:hAnsi="Times New Roman" w:cs="Times New Roman"/>
      <w:kern w:val="0"/>
      <w:sz w:val="20"/>
      <w:szCs w:val="20"/>
      <w14:ligatures w14:val="none"/>
    </w:rPr>
  </w:style>
  <w:style w:type="paragraph" w:styleId="1">
    <w:name w:val="heading 1"/>
    <w:basedOn w:val="a"/>
    <w:next w:val="a"/>
    <w:link w:val="10"/>
    <w:uiPriority w:val="9"/>
    <w:qFormat/>
    <w:rsid w:val="00EC4EF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C4EF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C4EF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C4EF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C4EF7"/>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EC4EF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EC4EF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C4EF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C4EF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C4EF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C4EF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C4EF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C4EF7"/>
    <w:rPr>
      <w:rFonts w:cstheme="majorBidi"/>
      <w:color w:val="0F4761" w:themeColor="accent1" w:themeShade="BF"/>
      <w:sz w:val="28"/>
      <w:szCs w:val="28"/>
    </w:rPr>
  </w:style>
  <w:style w:type="character" w:customStyle="1" w:styleId="50">
    <w:name w:val="标题 5 字符"/>
    <w:basedOn w:val="a0"/>
    <w:link w:val="5"/>
    <w:uiPriority w:val="9"/>
    <w:semiHidden/>
    <w:rsid w:val="00EC4EF7"/>
    <w:rPr>
      <w:rFonts w:cstheme="majorBidi"/>
      <w:color w:val="0F4761" w:themeColor="accent1" w:themeShade="BF"/>
      <w:sz w:val="24"/>
    </w:rPr>
  </w:style>
  <w:style w:type="character" w:customStyle="1" w:styleId="60">
    <w:name w:val="标题 6 字符"/>
    <w:basedOn w:val="a0"/>
    <w:link w:val="6"/>
    <w:uiPriority w:val="9"/>
    <w:semiHidden/>
    <w:rsid w:val="00EC4EF7"/>
    <w:rPr>
      <w:rFonts w:cstheme="majorBidi"/>
      <w:b/>
      <w:bCs/>
      <w:color w:val="0F4761" w:themeColor="accent1" w:themeShade="BF"/>
    </w:rPr>
  </w:style>
  <w:style w:type="character" w:customStyle="1" w:styleId="70">
    <w:name w:val="标题 7 字符"/>
    <w:basedOn w:val="a0"/>
    <w:link w:val="7"/>
    <w:uiPriority w:val="9"/>
    <w:semiHidden/>
    <w:rsid w:val="00EC4EF7"/>
    <w:rPr>
      <w:rFonts w:cstheme="majorBidi"/>
      <w:b/>
      <w:bCs/>
      <w:color w:val="595959" w:themeColor="text1" w:themeTint="A6"/>
    </w:rPr>
  </w:style>
  <w:style w:type="character" w:customStyle="1" w:styleId="80">
    <w:name w:val="标题 8 字符"/>
    <w:basedOn w:val="a0"/>
    <w:link w:val="8"/>
    <w:uiPriority w:val="9"/>
    <w:semiHidden/>
    <w:rsid w:val="00EC4EF7"/>
    <w:rPr>
      <w:rFonts w:cstheme="majorBidi"/>
      <w:color w:val="595959" w:themeColor="text1" w:themeTint="A6"/>
    </w:rPr>
  </w:style>
  <w:style w:type="character" w:customStyle="1" w:styleId="90">
    <w:name w:val="标题 9 字符"/>
    <w:basedOn w:val="a0"/>
    <w:link w:val="9"/>
    <w:uiPriority w:val="9"/>
    <w:semiHidden/>
    <w:rsid w:val="00EC4EF7"/>
    <w:rPr>
      <w:rFonts w:eastAsiaTheme="majorEastAsia" w:cstheme="majorBidi"/>
      <w:color w:val="595959" w:themeColor="text1" w:themeTint="A6"/>
    </w:rPr>
  </w:style>
  <w:style w:type="paragraph" w:styleId="a3">
    <w:name w:val="Title"/>
    <w:basedOn w:val="a"/>
    <w:next w:val="a"/>
    <w:link w:val="a4"/>
    <w:uiPriority w:val="10"/>
    <w:qFormat/>
    <w:rsid w:val="00EC4EF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C4E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C4EF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C4EF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C4EF7"/>
    <w:pPr>
      <w:spacing w:before="160"/>
      <w:jc w:val="center"/>
    </w:pPr>
    <w:rPr>
      <w:i/>
      <w:iCs/>
      <w:color w:val="404040" w:themeColor="text1" w:themeTint="BF"/>
    </w:rPr>
  </w:style>
  <w:style w:type="character" w:customStyle="1" w:styleId="a8">
    <w:name w:val="引用 字符"/>
    <w:basedOn w:val="a0"/>
    <w:link w:val="a7"/>
    <w:uiPriority w:val="29"/>
    <w:rsid w:val="00EC4EF7"/>
    <w:rPr>
      <w:i/>
      <w:iCs/>
      <w:color w:val="404040" w:themeColor="text1" w:themeTint="BF"/>
    </w:rPr>
  </w:style>
  <w:style w:type="paragraph" w:styleId="a9">
    <w:name w:val="List Paragraph"/>
    <w:basedOn w:val="a"/>
    <w:uiPriority w:val="34"/>
    <w:qFormat/>
    <w:rsid w:val="00EC4EF7"/>
    <w:pPr>
      <w:ind w:left="720"/>
      <w:contextualSpacing/>
    </w:pPr>
  </w:style>
  <w:style w:type="character" w:styleId="aa">
    <w:name w:val="Intense Emphasis"/>
    <w:basedOn w:val="a0"/>
    <w:uiPriority w:val="21"/>
    <w:qFormat/>
    <w:rsid w:val="00EC4EF7"/>
    <w:rPr>
      <w:i/>
      <w:iCs/>
      <w:color w:val="0F4761" w:themeColor="accent1" w:themeShade="BF"/>
    </w:rPr>
  </w:style>
  <w:style w:type="paragraph" w:styleId="ab">
    <w:name w:val="Intense Quote"/>
    <w:basedOn w:val="a"/>
    <w:next w:val="a"/>
    <w:link w:val="ac"/>
    <w:uiPriority w:val="30"/>
    <w:qFormat/>
    <w:rsid w:val="00EC4E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C4EF7"/>
    <w:rPr>
      <w:i/>
      <w:iCs/>
      <w:color w:val="0F4761" w:themeColor="accent1" w:themeShade="BF"/>
    </w:rPr>
  </w:style>
  <w:style w:type="character" w:styleId="ad">
    <w:name w:val="Intense Reference"/>
    <w:basedOn w:val="a0"/>
    <w:uiPriority w:val="32"/>
    <w:qFormat/>
    <w:rsid w:val="00EC4EF7"/>
    <w:rPr>
      <w:b/>
      <w:bCs/>
      <w:smallCaps/>
      <w:color w:val="0F4761" w:themeColor="accent1" w:themeShade="BF"/>
      <w:spacing w:val="5"/>
    </w:rPr>
  </w:style>
  <w:style w:type="paragraph" w:styleId="ae">
    <w:name w:val="Normal (Web)"/>
    <w:basedOn w:val="a"/>
    <w:uiPriority w:val="99"/>
    <w:semiHidden/>
    <w:unhideWhenUsed/>
    <w:rsid w:val="005B0EF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578</TotalTime>
  <Pages>1</Pages>
  <Words>962</Words>
  <Characters>5484</Characters>
  <Application>Microsoft Office Word</Application>
  <DocSecurity>0</DocSecurity>
  <Lines>45</Lines>
  <Paragraphs>12</Paragraphs>
  <ScaleCrop>false</ScaleCrop>
  <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振光 魏</dc:creator>
  <cp:keywords/>
  <dc:description/>
  <cp:lastModifiedBy>振光 魏</cp:lastModifiedBy>
  <cp:revision>6</cp:revision>
  <dcterms:created xsi:type="dcterms:W3CDTF">2026-07-12T02:59:00Z</dcterms:created>
  <dcterms:modified xsi:type="dcterms:W3CDTF">2026-07-17T01:15:00Z</dcterms:modified>
</cp:coreProperties>
</file>