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EF2" w:rsidRPr="00430E0D" w:rsidRDefault="00250EF2" w:rsidP="00250EF2">
      <w:pPr>
        <w:rPr>
          <w:rFonts w:ascii="Tahoma" w:hAnsi="Tahoma" w:cs="Tahoma"/>
          <w:sz w:val="22"/>
        </w:rPr>
      </w:pPr>
    </w:p>
    <w:p w:rsidR="00250EF2" w:rsidRPr="005971E6" w:rsidRDefault="00430E0D" w:rsidP="005971E6">
      <w:pPr>
        <w:rPr>
          <w:rFonts w:ascii="Tahoma" w:hAnsi="Tahoma" w:cs="Tahoma"/>
          <w:smallCaps/>
          <w:sz w:val="44"/>
          <w:szCs w:val="44"/>
        </w:rPr>
      </w:pPr>
      <w:r w:rsidRPr="005971E6">
        <w:rPr>
          <w:rFonts w:ascii="Tahoma" w:hAnsi="Tahoma" w:cs="Tahoma"/>
          <w:smallCaps/>
          <w:sz w:val="44"/>
          <w:szCs w:val="44"/>
        </w:rPr>
        <w:t>TRUST</w:t>
      </w:r>
    </w:p>
    <w:p w:rsidR="00430E0D" w:rsidRPr="005971E6" w:rsidRDefault="00430E0D" w:rsidP="005971E6">
      <w:pPr>
        <w:rPr>
          <w:rFonts w:ascii="Tahoma" w:hAnsi="Tahoma" w:cs="Tahoma"/>
          <w:smallCaps/>
          <w:sz w:val="44"/>
          <w:szCs w:val="44"/>
        </w:rPr>
      </w:pPr>
    </w:p>
    <w:p w:rsidR="00841BA5" w:rsidRPr="005971E6" w:rsidRDefault="00250EF2" w:rsidP="005971E6">
      <w:pPr>
        <w:rPr>
          <w:rFonts w:ascii="Tahoma" w:hAnsi="Tahoma" w:cs="Tahoma"/>
          <w:smallCaps/>
          <w:sz w:val="44"/>
          <w:szCs w:val="44"/>
        </w:rPr>
      </w:pPr>
      <w:r w:rsidRPr="005971E6">
        <w:rPr>
          <w:rFonts w:ascii="Tahoma" w:hAnsi="Tahoma" w:cs="Tahoma"/>
          <w:smallCaps/>
          <w:sz w:val="44"/>
          <w:szCs w:val="44"/>
        </w:rPr>
        <w:t>S</w:t>
      </w:r>
      <w:r w:rsidR="005971E6" w:rsidRPr="005971E6">
        <w:rPr>
          <w:rFonts w:ascii="Tahoma" w:hAnsi="Tahoma" w:cs="Tahoma"/>
          <w:smallCaps/>
          <w:sz w:val="44"/>
          <w:szCs w:val="44"/>
        </w:rPr>
        <w:t>tatistical Analysis Plan</w:t>
      </w:r>
    </w:p>
    <w:p w:rsidR="005971E6" w:rsidRPr="005971E6" w:rsidRDefault="005971E6" w:rsidP="005971E6">
      <w:pPr>
        <w:rPr>
          <w:rFonts w:ascii="Tahoma" w:hAnsi="Tahoma" w:cs="Tahoma"/>
          <w:smallCaps/>
          <w:sz w:val="44"/>
          <w:szCs w:val="44"/>
        </w:rPr>
      </w:pPr>
    </w:p>
    <w:p w:rsidR="005971E6" w:rsidRPr="005971E6" w:rsidRDefault="005971E6" w:rsidP="005971E6">
      <w:pPr>
        <w:rPr>
          <w:rFonts w:ascii="Tahoma" w:hAnsi="Tahoma" w:cs="Tahoma"/>
          <w:smallCaps/>
          <w:sz w:val="44"/>
          <w:szCs w:val="44"/>
        </w:rPr>
      </w:pPr>
      <w:r w:rsidRPr="005971E6">
        <w:rPr>
          <w:rFonts w:ascii="Tahoma" w:hAnsi="Tahoma" w:cs="Tahoma"/>
          <w:smallCaps/>
          <w:sz w:val="44"/>
          <w:szCs w:val="44"/>
        </w:rPr>
        <w:t>Final Analysis</w:t>
      </w:r>
    </w:p>
    <w:p w:rsidR="00402168" w:rsidRDefault="00402168" w:rsidP="00402168">
      <w:pPr>
        <w:pStyle w:val="SAPText"/>
      </w:pPr>
    </w:p>
    <w:tbl>
      <w:tblPr>
        <w:tblW w:w="5000" w:type="pct"/>
        <w:tblLook w:val="0000"/>
      </w:tblPr>
      <w:tblGrid>
        <w:gridCol w:w="2318"/>
        <w:gridCol w:w="1875"/>
        <w:gridCol w:w="1162"/>
        <w:gridCol w:w="3174"/>
      </w:tblGrid>
      <w:tr w:rsidR="00402168" w:rsidRPr="00430E0D" w:rsidTr="00402168">
        <w:trPr>
          <w:trHeight w:val="340"/>
        </w:trPr>
        <w:tc>
          <w:tcPr>
            <w:tcW w:w="1359" w:type="pct"/>
            <w:vAlign w:val="center"/>
          </w:tcPr>
          <w:p w:rsidR="00402168" w:rsidRPr="004A5152" w:rsidRDefault="00402168" w:rsidP="00402168">
            <w:pPr>
              <w:rPr>
                <w:rFonts w:ascii="Tahoma" w:hAnsi="Tahoma" w:cs="Tahoma"/>
              </w:rPr>
            </w:pPr>
            <w:r w:rsidRPr="004A5152">
              <w:rPr>
                <w:rFonts w:ascii="Tahoma" w:hAnsi="Tahoma" w:cs="Tahoma"/>
              </w:rPr>
              <w:t>Study Title:</w:t>
            </w:r>
          </w:p>
        </w:tc>
        <w:tc>
          <w:tcPr>
            <w:tcW w:w="3641" w:type="pct"/>
            <w:gridSpan w:val="3"/>
            <w:vAlign w:val="center"/>
          </w:tcPr>
          <w:p w:rsidR="00402168" w:rsidRPr="004A5152" w:rsidRDefault="00402168" w:rsidP="00402168">
            <w:pPr>
              <w:rPr>
                <w:rFonts w:ascii="Tahoma" w:hAnsi="Tahoma" w:cs="Tahoma"/>
                <w:highlight w:val="cyan"/>
              </w:rPr>
            </w:pPr>
            <w:r w:rsidRPr="004A5152">
              <w:rPr>
                <w:rFonts w:ascii="Tahoma" w:hAnsi="Tahoma" w:cs="Tahoma"/>
              </w:rPr>
              <w:t xml:space="preserve">Multi-modal effects of Thyroid hormone Replacement for Untreated older adults with Subclinical hypothyroidism; a </w:t>
            </w:r>
            <w:proofErr w:type="spellStart"/>
            <w:r w:rsidRPr="004A5152">
              <w:rPr>
                <w:rFonts w:ascii="Tahoma" w:hAnsi="Tahoma" w:cs="Tahoma"/>
              </w:rPr>
              <w:t>randomised</w:t>
            </w:r>
            <w:proofErr w:type="spellEnd"/>
            <w:r w:rsidRPr="004A5152">
              <w:rPr>
                <w:rFonts w:ascii="Tahoma" w:hAnsi="Tahoma" w:cs="Tahoma"/>
              </w:rPr>
              <w:t xml:space="preserve"> placebo-controlled Trial</w:t>
            </w:r>
          </w:p>
        </w:tc>
      </w:tr>
      <w:tr w:rsidR="00402168" w:rsidRPr="00430E0D" w:rsidTr="00402168">
        <w:trPr>
          <w:trHeight w:val="340"/>
        </w:trPr>
        <w:tc>
          <w:tcPr>
            <w:tcW w:w="1359" w:type="pct"/>
            <w:vAlign w:val="center"/>
          </w:tcPr>
          <w:p w:rsidR="00402168" w:rsidRPr="004A5152" w:rsidRDefault="00402168" w:rsidP="00402168">
            <w:pPr>
              <w:rPr>
                <w:rFonts w:ascii="Tahoma" w:hAnsi="Tahoma" w:cs="Tahoma"/>
              </w:rPr>
            </w:pPr>
            <w:r w:rsidRPr="004A5152">
              <w:rPr>
                <w:rFonts w:ascii="Tahoma" w:hAnsi="Tahoma" w:cs="Tahoma"/>
              </w:rPr>
              <w:t>Short Title:</w:t>
            </w:r>
          </w:p>
        </w:tc>
        <w:tc>
          <w:tcPr>
            <w:tcW w:w="3641" w:type="pct"/>
            <w:gridSpan w:val="3"/>
            <w:vAlign w:val="center"/>
          </w:tcPr>
          <w:p w:rsidR="00402168" w:rsidRPr="004A5152" w:rsidRDefault="00402168" w:rsidP="00402168">
            <w:pPr>
              <w:rPr>
                <w:rFonts w:ascii="Tahoma" w:hAnsi="Tahoma" w:cs="Tahoma"/>
              </w:rPr>
            </w:pPr>
            <w:r w:rsidRPr="004A5152">
              <w:rPr>
                <w:rFonts w:ascii="Tahoma" w:hAnsi="Tahoma" w:cs="Tahoma"/>
              </w:rPr>
              <w:t>TRUST</w:t>
            </w:r>
          </w:p>
        </w:tc>
      </w:tr>
      <w:tr w:rsidR="00402168" w:rsidRPr="00430E0D" w:rsidTr="00402168">
        <w:trPr>
          <w:trHeight w:val="340"/>
        </w:trPr>
        <w:tc>
          <w:tcPr>
            <w:tcW w:w="1359" w:type="pct"/>
            <w:vAlign w:val="center"/>
          </w:tcPr>
          <w:p w:rsidR="00402168" w:rsidRPr="004A5152" w:rsidRDefault="00402168" w:rsidP="00402168">
            <w:pPr>
              <w:rPr>
                <w:rFonts w:ascii="Tahoma" w:hAnsi="Tahoma" w:cs="Tahoma"/>
              </w:rPr>
            </w:pPr>
            <w:proofErr w:type="spellStart"/>
            <w:r w:rsidRPr="004A5152">
              <w:rPr>
                <w:rFonts w:ascii="Tahoma" w:hAnsi="Tahoma" w:cs="Tahoma"/>
              </w:rPr>
              <w:t>EudraCT</w:t>
            </w:r>
            <w:proofErr w:type="spellEnd"/>
            <w:r w:rsidRPr="004A5152">
              <w:rPr>
                <w:rFonts w:ascii="Tahoma" w:hAnsi="Tahoma" w:cs="Tahoma"/>
              </w:rPr>
              <w:t xml:space="preserve"> Number:</w:t>
            </w:r>
          </w:p>
        </w:tc>
        <w:tc>
          <w:tcPr>
            <w:tcW w:w="3641" w:type="pct"/>
            <w:gridSpan w:val="3"/>
            <w:vAlign w:val="center"/>
          </w:tcPr>
          <w:p w:rsidR="00402168" w:rsidRPr="004A5152" w:rsidRDefault="00402168" w:rsidP="00402168">
            <w:pPr>
              <w:rPr>
                <w:rFonts w:ascii="Tahoma" w:hAnsi="Tahoma" w:cs="Tahoma"/>
                <w:highlight w:val="cyan"/>
              </w:rPr>
            </w:pPr>
            <w:r w:rsidRPr="004A5152">
              <w:rPr>
                <w:rFonts w:ascii="Tahoma" w:hAnsi="Tahoma" w:cs="Tahoma"/>
              </w:rPr>
              <w:t>2011-004554-26</w:t>
            </w:r>
          </w:p>
        </w:tc>
      </w:tr>
      <w:tr w:rsidR="00402168" w:rsidRPr="00430E0D" w:rsidTr="00402168">
        <w:trPr>
          <w:trHeight w:val="340"/>
        </w:trPr>
        <w:tc>
          <w:tcPr>
            <w:tcW w:w="1359" w:type="pct"/>
            <w:vAlign w:val="center"/>
          </w:tcPr>
          <w:p w:rsidR="00402168" w:rsidRPr="004A5152" w:rsidRDefault="00402168" w:rsidP="00402168">
            <w:pPr>
              <w:rPr>
                <w:rFonts w:ascii="Tahoma" w:hAnsi="Tahoma" w:cs="Tahoma"/>
              </w:rPr>
            </w:pPr>
            <w:r w:rsidRPr="004A5152">
              <w:rPr>
                <w:rFonts w:ascii="Tahoma" w:hAnsi="Tahoma" w:cs="Tahoma"/>
              </w:rPr>
              <w:t>Funded by:</w:t>
            </w:r>
          </w:p>
        </w:tc>
        <w:tc>
          <w:tcPr>
            <w:tcW w:w="3641" w:type="pct"/>
            <w:gridSpan w:val="3"/>
            <w:vAlign w:val="center"/>
          </w:tcPr>
          <w:p w:rsidR="00402168" w:rsidRPr="004A5152" w:rsidRDefault="00402168" w:rsidP="00402168">
            <w:pPr>
              <w:rPr>
                <w:rFonts w:ascii="Tahoma" w:hAnsi="Tahoma" w:cs="Tahoma"/>
              </w:rPr>
            </w:pPr>
            <w:r w:rsidRPr="004A5152">
              <w:rPr>
                <w:rFonts w:ascii="Tahoma" w:hAnsi="Tahoma" w:cs="Tahoma"/>
              </w:rPr>
              <w:t>European Commission</w:t>
            </w:r>
          </w:p>
          <w:p w:rsidR="00402168" w:rsidRPr="004A5152" w:rsidRDefault="00402168" w:rsidP="00402168">
            <w:pPr>
              <w:rPr>
                <w:rFonts w:ascii="Tahoma" w:hAnsi="Tahoma" w:cs="Tahoma"/>
                <w:highlight w:val="cyan"/>
              </w:rPr>
            </w:pPr>
            <w:r w:rsidRPr="004A5152">
              <w:rPr>
                <w:rFonts w:ascii="Tahoma" w:hAnsi="Tahoma" w:cs="Tahoma"/>
              </w:rPr>
              <w:t xml:space="preserve">FP7-HEALTH-2011 (Seventh EU Framework </w:t>
            </w:r>
            <w:proofErr w:type="spellStart"/>
            <w:r w:rsidRPr="004A5152">
              <w:rPr>
                <w:rFonts w:ascii="Tahoma" w:hAnsi="Tahoma" w:cs="Tahoma"/>
              </w:rPr>
              <w:t>Programme</w:t>
            </w:r>
            <w:proofErr w:type="spellEnd"/>
            <w:r w:rsidRPr="004A5152">
              <w:rPr>
                <w:rFonts w:ascii="Tahoma" w:hAnsi="Tahoma" w:cs="Tahoma"/>
              </w:rPr>
              <w:t>)/278148</w:t>
            </w:r>
          </w:p>
        </w:tc>
      </w:tr>
      <w:tr w:rsidR="00402168" w:rsidRPr="00430E0D" w:rsidTr="00402168">
        <w:trPr>
          <w:trHeight w:val="340"/>
        </w:trPr>
        <w:tc>
          <w:tcPr>
            <w:tcW w:w="1359" w:type="pct"/>
            <w:vAlign w:val="center"/>
          </w:tcPr>
          <w:p w:rsidR="00402168" w:rsidRPr="004A5152" w:rsidRDefault="00402168" w:rsidP="00402168">
            <w:pPr>
              <w:rPr>
                <w:rFonts w:ascii="Tahoma" w:hAnsi="Tahoma" w:cs="Tahoma"/>
              </w:rPr>
            </w:pPr>
            <w:r w:rsidRPr="004A5152">
              <w:rPr>
                <w:rFonts w:ascii="Tahoma" w:hAnsi="Tahoma" w:cs="Tahoma"/>
              </w:rPr>
              <w:t>Protocol Version:</w:t>
            </w:r>
          </w:p>
        </w:tc>
        <w:tc>
          <w:tcPr>
            <w:tcW w:w="1099" w:type="pct"/>
            <w:vAlign w:val="center"/>
          </w:tcPr>
          <w:p w:rsidR="00402168" w:rsidRPr="004A5152" w:rsidRDefault="005971E6" w:rsidP="00974366">
            <w:pPr>
              <w:rPr>
                <w:rFonts w:ascii="Tahoma" w:hAnsi="Tahoma" w:cs="Tahoma"/>
              </w:rPr>
            </w:pPr>
            <w:r>
              <w:rPr>
                <w:rFonts w:ascii="Tahoma" w:hAnsi="Tahoma" w:cs="Tahoma"/>
              </w:rPr>
              <w:t>6</w:t>
            </w:r>
            <w:r w:rsidR="00402168" w:rsidRPr="004A5152">
              <w:rPr>
                <w:rFonts w:ascii="Tahoma" w:hAnsi="Tahoma" w:cs="Tahoma"/>
              </w:rPr>
              <w:t>.</w:t>
            </w:r>
            <w:r w:rsidR="00974366" w:rsidRPr="004A5152">
              <w:rPr>
                <w:rFonts w:ascii="Tahoma" w:hAnsi="Tahoma" w:cs="Tahoma"/>
              </w:rPr>
              <w:t>0</w:t>
            </w:r>
          </w:p>
        </w:tc>
        <w:tc>
          <w:tcPr>
            <w:tcW w:w="681" w:type="pct"/>
            <w:vAlign w:val="center"/>
          </w:tcPr>
          <w:p w:rsidR="00402168" w:rsidRPr="004A5152" w:rsidRDefault="00402168" w:rsidP="00402168">
            <w:pPr>
              <w:rPr>
                <w:rFonts w:ascii="Tahoma" w:hAnsi="Tahoma" w:cs="Tahoma"/>
              </w:rPr>
            </w:pPr>
            <w:r w:rsidRPr="004A5152">
              <w:rPr>
                <w:rFonts w:ascii="Tahoma" w:hAnsi="Tahoma" w:cs="Tahoma"/>
              </w:rPr>
              <w:t>Date:</w:t>
            </w:r>
          </w:p>
        </w:tc>
        <w:tc>
          <w:tcPr>
            <w:tcW w:w="1861" w:type="pct"/>
            <w:vAlign w:val="center"/>
          </w:tcPr>
          <w:p w:rsidR="00402168" w:rsidRPr="004A5152" w:rsidRDefault="003161E9" w:rsidP="003161E9">
            <w:pPr>
              <w:rPr>
                <w:rFonts w:ascii="Tahoma" w:hAnsi="Tahoma" w:cs="Tahoma"/>
              </w:rPr>
            </w:pPr>
            <w:r>
              <w:rPr>
                <w:rFonts w:ascii="Tahoma" w:hAnsi="Tahoma" w:cs="Tahoma"/>
              </w:rPr>
              <w:t>19</w:t>
            </w:r>
            <w:r w:rsidR="00402168" w:rsidRPr="004A5152">
              <w:rPr>
                <w:rFonts w:ascii="Tahoma" w:hAnsi="Tahoma" w:cs="Tahoma"/>
              </w:rPr>
              <w:t>/0</w:t>
            </w:r>
            <w:r>
              <w:rPr>
                <w:rFonts w:ascii="Tahoma" w:hAnsi="Tahoma" w:cs="Tahoma"/>
              </w:rPr>
              <w:t>1</w:t>
            </w:r>
            <w:r w:rsidR="00402168" w:rsidRPr="004A5152">
              <w:rPr>
                <w:rFonts w:ascii="Tahoma" w:hAnsi="Tahoma" w:cs="Tahoma"/>
              </w:rPr>
              <w:t>/201</w:t>
            </w:r>
            <w:r>
              <w:rPr>
                <w:rFonts w:ascii="Tahoma" w:hAnsi="Tahoma" w:cs="Tahoma"/>
              </w:rPr>
              <w:t>6</w:t>
            </w:r>
          </w:p>
        </w:tc>
      </w:tr>
      <w:tr w:rsidR="00C7380B" w:rsidRPr="00430E0D" w:rsidTr="00402168">
        <w:trPr>
          <w:trHeight w:val="340"/>
        </w:trPr>
        <w:tc>
          <w:tcPr>
            <w:tcW w:w="1359" w:type="pct"/>
            <w:vAlign w:val="center"/>
          </w:tcPr>
          <w:p w:rsidR="00C7380B" w:rsidRPr="004A5152" w:rsidRDefault="00C7380B" w:rsidP="00402168">
            <w:pPr>
              <w:rPr>
                <w:rFonts w:ascii="Tahoma" w:hAnsi="Tahoma" w:cs="Tahoma"/>
                <w:b/>
              </w:rPr>
            </w:pPr>
          </w:p>
        </w:tc>
        <w:tc>
          <w:tcPr>
            <w:tcW w:w="3641" w:type="pct"/>
            <w:gridSpan w:val="3"/>
            <w:vAlign w:val="center"/>
          </w:tcPr>
          <w:p w:rsidR="00C7380B" w:rsidRPr="004A5152" w:rsidRDefault="00C7380B" w:rsidP="00402168">
            <w:pPr>
              <w:rPr>
                <w:rFonts w:ascii="Tahoma" w:hAnsi="Tahoma" w:cs="Tahoma"/>
              </w:rPr>
            </w:pPr>
          </w:p>
        </w:tc>
      </w:tr>
      <w:tr w:rsidR="00C7380B" w:rsidRPr="00430E0D" w:rsidTr="00402168">
        <w:trPr>
          <w:trHeight w:val="340"/>
        </w:trPr>
        <w:tc>
          <w:tcPr>
            <w:tcW w:w="1359" w:type="pct"/>
            <w:vAlign w:val="center"/>
          </w:tcPr>
          <w:p w:rsidR="00C7380B" w:rsidRPr="004A5152" w:rsidRDefault="00C7380B" w:rsidP="00402168">
            <w:pPr>
              <w:rPr>
                <w:rFonts w:ascii="Tahoma" w:hAnsi="Tahoma" w:cs="Tahoma"/>
              </w:rPr>
            </w:pPr>
            <w:r w:rsidRPr="004A5152">
              <w:rPr>
                <w:rFonts w:ascii="Tahoma" w:hAnsi="Tahoma" w:cs="Tahoma"/>
              </w:rPr>
              <w:t>SAP Version:</w:t>
            </w:r>
          </w:p>
        </w:tc>
        <w:tc>
          <w:tcPr>
            <w:tcW w:w="1099" w:type="pct"/>
            <w:vAlign w:val="center"/>
          </w:tcPr>
          <w:p w:rsidR="00C7380B" w:rsidRPr="004A5152" w:rsidRDefault="00C7380B" w:rsidP="007C4E10">
            <w:pPr>
              <w:rPr>
                <w:rFonts w:ascii="Tahoma" w:hAnsi="Tahoma" w:cs="Tahoma"/>
              </w:rPr>
            </w:pPr>
            <w:r w:rsidRPr="004A5152">
              <w:rPr>
                <w:rFonts w:ascii="Tahoma" w:hAnsi="Tahoma" w:cs="Tahoma"/>
              </w:rPr>
              <w:t>v1.</w:t>
            </w:r>
            <w:r w:rsidR="005971E6">
              <w:rPr>
                <w:rFonts w:ascii="Tahoma" w:hAnsi="Tahoma" w:cs="Tahoma"/>
              </w:rPr>
              <w:t>0</w:t>
            </w:r>
          </w:p>
        </w:tc>
        <w:tc>
          <w:tcPr>
            <w:tcW w:w="681" w:type="pct"/>
            <w:vAlign w:val="center"/>
          </w:tcPr>
          <w:p w:rsidR="00C7380B" w:rsidRPr="004A5152" w:rsidRDefault="00C7380B" w:rsidP="00402168">
            <w:pPr>
              <w:rPr>
                <w:rFonts w:ascii="Tahoma" w:hAnsi="Tahoma" w:cs="Tahoma"/>
              </w:rPr>
            </w:pPr>
            <w:r w:rsidRPr="004A5152">
              <w:rPr>
                <w:rFonts w:ascii="Tahoma" w:hAnsi="Tahoma" w:cs="Tahoma"/>
              </w:rPr>
              <w:t>Date:</w:t>
            </w:r>
          </w:p>
        </w:tc>
        <w:tc>
          <w:tcPr>
            <w:tcW w:w="1861" w:type="pct"/>
            <w:vAlign w:val="center"/>
          </w:tcPr>
          <w:p w:rsidR="00C7380B" w:rsidRPr="004A5152" w:rsidRDefault="007C4E10" w:rsidP="007C4E10">
            <w:pPr>
              <w:rPr>
                <w:rFonts w:ascii="Tahoma" w:hAnsi="Tahoma" w:cs="Tahoma"/>
              </w:rPr>
            </w:pPr>
            <w:r>
              <w:rPr>
                <w:rFonts w:ascii="Tahoma" w:hAnsi="Tahoma" w:cs="Tahoma"/>
              </w:rPr>
              <w:t>22</w:t>
            </w:r>
            <w:r w:rsidR="005971E6">
              <w:rPr>
                <w:rFonts w:ascii="Tahoma" w:hAnsi="Tahoma" w:cs="Tahoma"/>
              </w:rPr>
              <w:t>/0</w:t>
            </w:r>
            <w:r>
              <w:rPr>
                <w:rFonts w:ascii="Tahoma" w:hAnsi="Tahoma" w:cs="Tahoma"/>
              </w:rPr>
              <w:t>4</w:t>
            </w:r>
            <w:r w:rsidR="005971E6">
              <w:rPr>
                <w:rFonts w:ascii="Tahoma" w:hAnsi="Tahoma" w:cs="Tahoma"/>
              </w:rPr>
              <w:t>/2016</w:t>
            </w:r>
          </w:p>
        </w:tc>
      </w:tr>
      <w:tr w:rsidR="00C7380B" w:rsidRPr="00430E0D" w:rsidTr="00402168">
        <w:trPr>
          <w:trHeight w:val="340"/>
        </w:trPr>
        <w:tc>
          <w:tcPr>
            <w:tcW w:w="1359" w:type="pct"/>
            <w:vAlign w:val="center"/>
          </w:tcPr>
          <w:p w:rsidR="00C7380B" w:rsidRPr="004A5152" w:rsidRDefault="00C7380B" w:rsidP="00402168">
            <w:pPr>
              <w:rPr>
                <w:rFonts w:ascii="Tahoma" w:hAnsi="Tahoma" w:cs="Tahoma"/>
              </w:rPr>
            </w:pPr>
          </w:p>
        </w:tc>
        <w:tc>
          <w:tcPr>
            <w:tcW w:w="1099" w:type="pct"/>
            <w:vAlign w:val="center"/>
          </w:tcPr>
          <w:p w:rsidR="00C7380B" w:rsidRPr="004A5152" w:rsidRDefault="00C7380B" w:rsidP="00402168">
            <w:pPr>
              <w:rPr>
                <w:rFonts w:ascii="Tahoma" w:hAnsi="Tahoma" w:cs="Tahoma"/>
              </w:rPr>
            </w:pPr>
          </w:p>
        </w:tc>
        <w:tc>
          <w:tcPr>
            <w:tcW w:w="681" w:type="pct"/>
            <w:vAlign w:val="center"/>
          </w:tcPr>
          <w:p w:rsidR="00C7380B" w:rsidRPr="004A5152" w:rsidRDefault="00C7380B" w:rsidP="00402168">
            <w:pPr>
              <w:rPr>
                <w:rFonts w:ascii="Tahoma" w:hAnsi="Tahoma" w:cs="Tahoma"/>
              </w:rPr>
            </w:pPr>
          </w:p>
        </w:tc>
        <w:tc>
          <w:tcPr>
            <w:tcW w:w="1861" w:type="pct"/>
            <w:vAlign w:val="center"/>
          </w:tcPr>
          <w:p w:rsidR="00C7380B" w:rsidRPr="004A5152" w:rsidRDefault="00C7380B" w:rsidP="00402168">
            <w:pPr>
              <w:rPr>
                <w:rFonts w:ascii="Tahoma" w:hAnsi="Tahoma" w:cs="Tahoma"/>
              </w:rPr>
            </w:pPr>
          </w:p>
        </w:tc>
      </w:tr>
    </w:tbl>
    <w:p w:rsidR="00402168" w:rsidRDefault="00402168"/>
    <w:tbl>
      <w:tblPr>
        <w:tblW w:w="5000" w:type="pct"/>
        <w:tblCellMar>
          <w:top w:w="57" w:type="dxa"/>
          <w:left w:w="57" w:type="dxa"/>
          <w:bottom w:w="57" w:type="dxa"/>
          <w:right w:w="57" w:type="dxa"/>
        </w:tblCellMar>
        <w:tblLook w:val="0000"/>
      </w:tblPr>
      <w:tblGrid>
        <w:gridCol w:w="2290"/>
        <w:gridCol w:w="3000"/>
        <w:gridCol w:w="1711"/>
        <w:gridCol w:w="391"/>
        <w:gridCol w:w="1035"/>
      </w:tblGrid>
      <w:tr w:rsidR="00841BA5" w:rsidRPr="00430E0D" w:rsidTr="00402168">
        <w:tc>
          <w:tcPr>
            <w:tcW w:w="1359" w:type="pct"/>
            <w:vAlign w:val="center"/>
          </w:tcPr>
          <w:p w:rsidR="00841BA5" w:rsidRPr="00430E0D" w:rsidRDefault="00841BA5" w:rsidP="00841BA5">
            <w:pPr>
              <w:rPr>
                <w:rFonts w:ascii="Tahoma" w:hAnsi="Tahoma" w:cs="Tahoma"/>
                <w:sz w:val="18"/>
              </w:rPr>
            </w:pPr>
          </w:p>
        </w:tc>
        <w:tc>
          <w:tcPr>
            <w:tcW w:w="1780" w:type="pct"/>
            <w:vAlign w:val="center"/>
          </w:tcPr>
          <w:p w:rsidR="00841BA5" w:rsidRPr="00430E0D" w:rsidRDefault="00841BA5" w:rsidP="00841BA5">
            <w:pPr>
              <w:rPr>
                <w:rFonts w:ascii="Tahoma" w:hAnsi="Tahoma" w:cs="Tahoma"/>
                <w:sz w:val="18"/>
              </w:rPr>
            </w:pPr>
          </w:p>
        </w:tc>
        <w:tc>
          <w:tcPr>
            <w:tcW w:w="1015" w:type="pct"/>
            <w:vAlign w:val="center"/>
          </w:tcPr>
          <w:p w:rsidR="00841BA5" w:rsidRPr="00430E0D" w:rsidRDefault="00841BA5" w:rsidP="00841BA5">
            <w:pPr>
              <w:rPr>
                <w:rFonts w:ascii="Tahoma" w:hAnsi="Tahoma" w:cs="Tahoma"/>
                <w:sz w:val="18"/>
              </w:rPr>
            </w:pPr>
            <w:r w:rsidRPr="00430E0D">
              <w:rPr>
                <w:rFonts w:ascii="Tahoma" w:hAnsi="Tahoma" w:cs="Tahoma"/>
                <w:sz w:val="18"/>
              </w:rPr>
              <w:t>Signature</w:t>
            </w:r>
          </w:p>
        </w:tc>
        <w:tc>
          <w:tcPr>
            <w:tcW w:w="232" w:type="pct"/>
            <w:vAlign w:val="center"/>
          </w:tcPr>
          <w:p w:rsidR="00841BA5" w:rsidRPr="00430E0D" w:rsidRDefault="00841BA5" w:rsidP="00841BA5">
            <w:pPr>
              <w:rPr>
                <w:rFonts w:ascii="Tahoma" w:hAnsi="Tahoma" w:cs="Tahoma"/>
                <w:sz w:val="18"/>
              </w:rPr>
            </w:pPr>
          </w:p>
        </w:tc>
        <w:tc>
          <w:tcPr>
            <w:tcW w:w="614" w:type="pct"/>
            <w:vAlign w:val="center"/>
          </w:tcPr>
          <w:p w:rsidR="00841BA5" w:rsidRPr="00430E0D" w:rsidRDefault="00841BA5" w:rsidP="00841BA5">
            <w:pPr>
              <w:rPr>
                <w:rFonts w:ascii="Tahoma" w:hAnsi="Tahoma" w:cs="Tahoma"/>
                <w:sz w:val="18"/>
              </w:rPr>
            </w:pPr>
            <w:r w:rsidRPr="00430E0D">
              <w:rPr>
                <w:rFonts w:ascii="Tahoma" w:hAnsi="Tahoma" w:cs="Tahoma"/>
                <w:sz w:val="18"/>
              </w:rPr>
              <w:t>Date</w:t>
            </w:r>
          </w:p>
        </w:tc>
      </w:tr>
      <w:tr w:rsidR="00316B89" w:rsidRPr="00430E0D" w:rsidTr="00316B89">
        <w:tc>
          <w:tcPr>
            <w:tcW w:w="3139" w:type="pct"/>
            <w:gridSpan w:val="2"/>
            <w:vAlign w:val="bottom"/>
          </w:tcPr>
          <w:p w:rsidR="00316B89" w:rsidRPr="00430E0D" w:rsidRDefault="00316B89" w:rsidP="00841BA5">
            <w:pPr>
              <w:rPr>
                <w:rFonts w:ascii="Tahoma" w:hAnsi="Tahoma" w:cs="Tahoma"/>
                <w:sz w:val="18"/>
              </w:rPr>
            </w:pPr>
          </w:p>
        </w:tc>
        <w:tc>
          <w:tcPr>
            <w:tcW w:w="1015" w:type="pct"/>
            <w:vAlign w:val="bottom"/>
          </w:tcPr>
          <w:p w:rsidR="00316B89" w:rsidRPr="00430E0D" w:rsidRDefault="00316B89" w:rsidP="00841BA5">
            <w:pPr>
              <w:rPr>
                <w:rFonts w:ascii="Tahoma" w:hAnsi="Tahoma" w:cs="Tahoma"/>
                <w:sz w:val="18"/>
              </w:rPr>
            </w:pPr>
          </w:p>
        </w:tc>
        <w:tc>
          <w:tcPr>
            <w:tcW w:w="232" w:type="pct"/>
            <w:vAlign w:val="bottom"/>
          </w:tcPr>
          <w:p w:rsidR="00316B89" w:rsidRPr="00430E0D" w:rsidRDefault="00316B89" w:rsidP="00841BA5">
            <w:pPr>
              <w:rPr>
                <w:rFonts w:ascii="Tahoma" w:hAnsi="Tahoma" w:cs="Tahoma"/>
                <w:sz w:val="18"/>
              </w:rPr>
            </w:pPr>
          </w:p>
        </w:tc>
        <w:tc>
          <w:tcPr>
            <w:tcW w:w="614" w:type="pct"/>
            <w:vAlign w:val="bottom"/>
          </w:tcPr>
          <w:p w:rsidR="00316B89" w:rsidRPr="00430E0D" w:rsidRDefault="00316B89" w:rsidP="00841BA5">
            <w:pPr>
              <w:rPr>
                <w:rFonts w:ascii="Tahoma" w:hAnsi="Tahoma" w:cs="Tahoma"/>
                <w:sz w:val="18"/>
              </w:rPr>
            </w:pPr>
          </w:p>
        </w:tc>
      </w:tr>
      <w:tr w:rsidR="00841BA5" w:rsidRPr="00430E0D" w:rsidTr="00402168">
        <w:tc>
          <w:tcPr>
            <w:tcW w:w="1359" w:type="pct"/>
            <w:vAlign w:val="bottom"/>
          </w:tcPr>
          <w:p w:rsidR="00841BA5" w:rsidRPr="00430E0D" w:rsidRDefault="00841BA5" w:rsidP="00841BA5">
            <w:pPr>
              <w:rPr>
                <w:rFonts w:ascii="Tahoma" w:hAnsi="Tahoma" w:cs="Tahoma"/>
                <w:sz w:val="18"/>
              </w:rPr>
            </w:pPr>
            <w:r w:rsidRPr="00430E0D">
              <w:rPr>
                <w:rFonts w:ascii="Tahoma" w:hAnsi="Tahoma" w:cs="Tahoma"/>
                <w:sz w:val="18"/>
              </w:rPr>
              <w:t>Prepared by:</w:t>
            </w:r>
          </w:p>
        </w:tc>
        <w:tc>
          <w:tcPr>
            <w:tcW w:w="1780" w:type="pct"/>
            <w:vAlign w:val="bottom"/>
          </w:tcPr>
          <w:p w:rsidR="00841BA5" w:rsidRPr="00430E0D" w:rsidRDefault="00841BA5" w:rsidP="00FB3E55">
            <w:pPr>
              <w:rPr>
                <w:rFonts w:ascii="Tahoma" w:hAnsi="Tahoma" w:cs="Tahoma"/>
                <w:sz w:val="18"/>
                <w:highlight w:val="cyan"/>
              </w:rPr>
            </w:pPr>
            <w:r w:rsidRPr="00430E0D">
              <w:rPr>
                <w:rFonts w:ascii="Tahoma" w:hAnsi="Tahoma" w:cs="Tahoma"/>
                <w:sz w:val="18"/>
              </w:rPr>
              <w:t xml:space="preserve">Dr </w:t>
            </w:r>
            <w:r w:rsidR="00FB3E55">
              <w:rPr>
                <w:rFonts w:ascii="Tahoma" w:hAnsi="Tahoma" w:cs="Tahoma"/>
                <w:sz w:val="18"/>
              </w:rPr>
              <w:t xml:space="preserve">Martina </w:t>
            </w:r>
            <w:proofErr w:type="spellStart"/>
            <w:r w:rsidR="00FB3E55">
              <w:rPr>
                <w:rFonts w:ascii="Tahoma" w:hAnsi="Tahoma" w:cs="Tahoma"/>
                <w:sz w:val="18"/>
              </w:rPr>
              <w:t>Messow</w:t>
            </w:r>
            <w:proofErr w:type="spellEnd"/>
          </w:p>
        </w:tc>
        <w:tc>
          <w:tcPr>
            <w:tcW w:w="1015" w:type="pct"/>
            <w:tcBorders>
              <w:bottom w:val="single" w:sz="4" w:space="0" w:color="auto"/>
            </w:tcBorders>
            <w:vAlign w:val="bottom"/>
          </w:tcPr>
          <w:p w:rsidR="00841BA5" w:rsidRPr="00430E0D" w:rsidRDefault="00841BA5" w:rsidP="00841BA5">
            <w:pPr>
              <w:rPr>
                <w:rFonts w:ascii="Tahoma" w:hAnsi="Tahoma" w:cs="Tahoma"/>
                <w:sz w:val="18"/>
              </w:rPr>
            </w:pPr>
          </w:p>
        </w:tc>
        <w:tc>
          <w:tcPr>
            <w:tcW w:w="232" w:type="pct"/>
            <w:vAlign w:val="bottom"/>
          </w:tcPr>
          <w:p w:rsidR="00841BA5" w:rsidRPr="00430E0D" w:rsidRDefault="00841BA5" w:rsidP="00841BA5">
            <w:pPr>
              <w:rPr>
                <w:rFonts w:ascii="Tahoma" w:hAnsi="Tahoma" w:cs="Tahoma"/>
                <w:sz w:val="18"/>
              </w:rPr>
            </w:pPr>
          </w:p>
        </w:tc>
        <w:tc>
          <w:tcPr>
            <w:tcW w:w="614" w:type="pct"/>
            <w:tcBorders>
              <w:bottom w:val="single" w:sz="4" w:space="0" w:color="auto"/>
            </w:tcBorders>
            <w:vAlign w:val="bottom"/>
          </w:tcPr>
          <w:p w:rsidR="00841BA5" w:rsidRPr="00430E0D" w:rsidRDefault="00841BA5" w:rsidP="00841BA5">
            <w:pPr>
              <w:rPr>
                <w:rFonts w:ascii="Tahoma" w:hAnsi="Tahoma" w:cs="Tahoma"/>
                <w:sz w:val="18"/>
              </w:rPr>
            </w:pPr>
          </w:p>
        </w:tc>
      </w:tr>
      <w:tr w:rsidR="00841BA5" w:rsidRPr="00430E0D" w:rsidTr="00402168">
        <w:tc>
          <w:tcPr>
            <w:tcW w:w="1359" w:type="pct"/>
          </w:tcPr>
          <w:p w:rsidR="00841BA5" w:rsidRPr="00430E0D" w:rsidRDefault="00841BA5" w:rsidP="00841BA5">
            <w:pPr>
              <w:rPr>
                <w:rFonts w:ascii="Tahoma" w:hAnsi="Tahoma" w:cs="Tahoma"/>
                <w:sz w:val="18"/>
              </w:rPr>
            </w:pPr>
          </w:p>
        </w:tc>
        <w:tc>
          <w:tcPr>
            <w:tcW w:w="3641" w:type="pct"/>
            <w:gridSpan w:val="4"/>
          </w:tcPr>
          <w:p w:rsidR="00841BA5" w:rsidRDefault="00FB3E55" w:rsidP="00841BA5">
            <w:pPr>
              <w:rPr>
                <w:rFonts w:ascii="Tahoma" w:hAnsi="Tahoma" w:cs="Tahoma"/>
                <w:sz w:val="18"/>
              </w:rPr>
            </w:pPr>
            <w:r>
              <w:rPr>
                <w:rFonts w:ascii="Tahoma" w:hAnsi="Tahoma" w:cs="Tahoma"/>
                <w:sz w:val="18"/>
              </w:rPr>
              <w:t>Consultant Statistician</w:t>
            </w:r>
          </w:p>
          <w:p w:rsidR="005971E6" w:rsidRDefault="005971E6" w:rsidP="00841BA5">
            <w:pPr>
              <w:rPr>
                <w:rFonts w:ascii="Tahoma" w:hAnsi="Tahoma" w:cs="Tahoma"/>
                <w:sz w:val="18"/>
              </w:rPr>
            </w:pPr>
            <w:r>
              <w:rPr>
                <w:rFonts w:ascii="Tahoma" w:hAnsi="Tahoma" w:cs="Tahoma"/>
                <w:sz w:val="18"/>
              </w:rPr>
              <w:t>Robertson Centre for Biostatistics</w:t>
            </w:r>
          </w:p>
          <w:p w:rsidR="005971E6" w:rsidRPr="00430E0D" w:rsidRDefault="005971E6" w:rsidP="00841BA5">
            <w:pPr>
              <w:rPr>
                <w:rFonts w:ascii="Tahoma" w:hAnsi="Tahoma" w:cs="Tahoma"/>
                <w:sz w:val="18"/>
              </w:rPr>
            </w:pPr>
            <w:r>
              <w:rPr>
                <w:rFonts w:ascii="Tahoma" w:hAnsi="Tahoma" w:cs="Tahoma"/>
                <w:sz w:val="18"/>
              </w:rPr>
              <w:t>University of Glasgow</w:t>
            </w:r>
          </w:p>
        </w:tc>
      </w:tr>
      <w:tr w:rsidR="00841BA5" w:rsidRPr="00430E0D" w:rsidTr="00402168">
        <w:tc>
          <w:tcPr>
            <w:tcW w:w="1359" w:type="pct"/>
            <w:vAlign w:val="center"/>
          </w:tcPr>
          <w:p w:rsidR="00841BA5" w:rsidRPr="00430E0D" w:rsidRDefault="00841BA5" w:rsidP="00841BA5">
            <w:pPr>
              <w:rPr>
                <w:rFonts w:ascii="Tahoma" w:hAnsi="Tahoma" w:cs="Tahoma"/>
                <w:sz w:val="18"/>
              </w:rPr>
            </w:pPr>
          </w:p>
        </w:tc>
        <w:tc>
          <w:tcPr>
            <w:tcW w:w="1780" w:type="pct"/>
            <w:vAlign w:val="center"/>
          </w:tcPr>
          <w:p w:rsidR="00841BA5" w:rsidRPr="00430E0D" w:rsidRDefault="00841BA5" w:rsidP="00841BA5">
            <w:pPr>
              <w:rPr>
                <w:rFonts w:ascii="Tahoma" w:hAnsi="Tahoma" w:cs="Tahoma"/>
                <w:sz w:val="18"/>
                <w:highlight w:val="cyan"/>
              </w:rPr>
            </w:pPr>
          </w:p>
        </w:tc>
        <w:tc>
          <w:tcPr>
            <w:tcW w:w="1015" w:type="pct"/>
            <w:vAlign w:val="center"/>
          </w:tcPr>
          <w:p w:rsidR="00841BA5" w:rsidRPr="00430E0D" w:rsidRDefault="00841BA5" w:rsidP="00841BA5">
            <w:pPr>
              <w:rPr>
                <w:rFonts w:ascii="Tahoma" w:hAnsi="Tahoma" w:cs="Tahoma"/>
                <w:sz w:val="18"/>
              </w:rPr>
            </w:pPr>
          </w:p>
        </w:tc>
        <w:tc>
          <w:tcPr>
            <w:tcW w:w="232" w:type="pct"/>
            <w:vAlign w:val="center"/>
          </w:tcPr>
          <w:p w:rsidR="00841BA5" w:rsidRPr="00430E0D" w:rsidRDefault="00841BA5" w:rsidP="00841BA5">
            <w:pPr>
              <w:rPr>
                <w:rFonts w:ascii="Tahoma" w:hAnsi="Tahoma" w:cs="Tahoma"/>
                <w:sz w:val="18"/>
              </w:rPr>
            </w:pPr>
          </w:p>
        </w:tc>
        <w:tc>
          <w:tcPr>
            <w:tcW w:w="614" w:type="pct"/>
            <w:vAlign w:val="center"/>
          </w:tcPr>
          <w:p w:rsidR="00841BA5" w:rsidRPr="00430E0D" w:rsidRDefault="00841BA5" w:rsidP="00841BA5">
            <w:pPr>
              <w:rPr>
                <w:rFonts w:ascii="Tahoma" w:hAnsi="Tahoma" w:cs="Tahoma"/>
                <w:sz w:val="18"/>
              </w:rPr>
            </w:pPr>
          </w:p>
        </w:tc>
      </w:tr>
      <w:tr w:rsidR="00841BA5" w:rsidRPr="00430E0D" w:rsidTr="00402168">
        <w:tc>
          <w:tcPr>
            <w:tcW w:w="1359" w:type="pct"/>
            <w:vAlign w:val="bottom"/>
          </w:tcPr>
          <w:p w:rsidR="00841BA5" w:rsidRPr="00430E0D" w:rsidRDefault="00841BA5" w:rsidP="00841BA5">
            <w:pPr>
              <w:rPr>
                <w:rFonts w:ascii="Tahoma" w:hAnsi="Tahoma" w:cs="Tahoma"/>
                <w:sz w:val="18"/>
              </w:rPr>
            </w:pPr>
            <w:r w:rsidRPr="00430E0D">
              <w:rPr>
                <w:rFonts w:ascii="Tahoma" w:hAnsi="Tahoma" w:cs="Tahoma"/>
                <w:sz w:val="18"/>
              </w:rPr>
              <w:t>Approved by:</w:t>
            </w:r>
          </w:p>
        </w:tc>
        <w:tc>
          <w:tcPr>
            <w:tcW w:w="1780" w:type="pct"/>
            <w:vAlign w:val="bottom"/>
          </w:tcPr>
          <w:p w:rsidR="00841BA5" w:rsidRPr="00430E0D" w:rsidRDefault="00841BA5" w:rsidP="00841BA5">
            <w:pPr>
              <w:rPr>
                <w:rFonts w:ascii="Tahoma" w:hAnsi="Tahoma" w:cs="Tahoma"/>
                <w:sz w:val="18"/>
                <w:highlight w:val="cyan"/>
              </w:rPr>
            </w:pPr>
            <w:r w:rsidRPr="00430E0D">
              <w:rPr>
                <w:rFonts w:ascii="Tahoma" w:hAnsi="Tahoma" w:cs="Tahoma"/>
                <w:sz w:val="18"/>
              </w:rPr>
              <w:t>Prof Ian Ford</w:t>
            </w:r>
          </w:p>
        </w:tc>
        <w:tc>
          <w:tcPr>
            <w:tcW w:w="1015" w:type="pct"/>
            <w:tcBorders>
              <w:bottom w:val="single" w:sz="4" w:space="0" w:color="auto"/>
            </w:tcBorders>
            <w:vAlign w:val="bottom"/>
          </w:tcPr>
          <w:p w:rsidR="00841BA5" w:rsidRPr="00430E0D" w:rsidRDefault="00841BA5" w:rsidP="00841BA5">
            <w:pPr>
              <w:rPr>
                <w:rFonts w:ascii="Tahoma" w:hAnsi="Tahoma" w:cs="Tahoma"/>
                <w:sz w:val="18"/>
              </w:rPr>
            </w:pPr>
          </w:p>
        </w:tc>
        <w:tc>
          <w:tcPr>
            <w:tcW w:w="232" w:type="pct"/>
            <w:vAlign w:val="bottom"/>
          </w:tcPr>
          <w:p w:rsidR="00841BA5" w:rsidRPr="00430E0D" w:rsidRDefault="00841BA5" w:rsidP="00841BA5">
            <w:pPr>
              <w:rPr>
                <w:rFonts w:ascii="Tahoma" w:hAnsi="Tahoma" w:cs="Tahoma"/>
                <w:sz w:val="18"/>
              </w:rPr>
            </w:pPr>
          </w:p>
        </w:tc>
        <w:tc>
          <w:tcPr>
            <w:tcW w:w="614" w:type="pct"/>
            <w:tcBorders>
              <w:bottom w:val="single" w:sz="4" w:space="0" w:color="auto"/>
            </w:tcBorders>
            <w:vAlign w:val="bottom"/>
          </w:tcPr>
          <w:p w:rsidR="00841BA5" w:rsidRPr="00430E0D" w:rsidRDefault="00841BA5" w:rsidP="00841BA5">
            <w:pPr>
              <w:rPr>
                <w:rFonts w:ascii="Tahoma" w:hAnsi="Tahoma" w:cs="Tahoma"/>
                <w:sz w:val="18"/>
              </w:rPr>
            </w:pPr>
          </w:p>
        </w:tc>
      </w:tr>
      <w:tr w:rsidR="00841BA5" w:rsidRPr="00430E0D" w:rsidTr="00402168">
        <w:tc>
          <w:tcPr>
            <w:tcW w:w="1359" w:type="pct"/>
          </w:tcPr>
          <w:p w:rsidR="00841BA5" w:rsidRPr="00430E0D" w:rsidRDefault="00841BA5" w:rsidP="00841BA5">
            <w:pPr>
              <w:rPr>
                <w:rFonts w:ascii="Tahoma" w:hAnsi="Tahoma" w:cs="Tahoma"/>
                <w:sz w:val="18"/>
              </w:rPr>
            </w:pPr>
          </w:p>
        </w:tc>
        <w:tc>
          <w:tcPr>
            <w:tcW w:w="3641" w:type="pct"/>
            <w:gridSpan w:val="4"/>
          </w:tcPr>
          <w:p w:rsidR="00841BA5" w:rsidRDefault="00841BA5" w:rsidP="00316B89">
            <w:pPr>
              <w:rPr>
                <w:rFonts w:ascii="Tahoma" w:hAnsi="Tahoma" w:cs="Tahoma"/>
                <w:sz w:val="18"/>
              </w:rPr>
            </w:pPr>
            <w:r>
              <w:rPr>
                <w:rFonts w:ascii="Tahoma" w:hAnsi="Tahoma" w:cs="Tahoma"/>
                <w:sz w:val="18"/>
              </w:rPr>
              <w:t>Director</w:t>
            </w:r>
          </w:p>
          <w:p w:rsidR="005971E6" w:rsidRDefault="005971E6" w:rsidP="00316B89">
            <w:pPr>
              <w:rPr>
                <w:rFonts w:ascii="Tahoma" w:hAnsi="Tahoma" w:cs="Tahoma"/>
                <w:sz w:val="18"/>
              </w:rPr>
            </w:pPr>
            <w:r>
              <w:rPr>
                <w:rFonts w:ascii="Tahoma" w:hAnsi="Tahoma" w:cs="Tahoma"/>
                <w:sz w:val="18"/>
              </w:rPr>
              <w:t>Robertson Centre for Biostatistics</w:t>
            </w:r>
          </w:p>
          <w:p w:rsidR="005971E6" w:rsidRPr="00430E0D" w:rsidRDefault="005971E6" w:rsidP="00316B89">
            <w:pPr>
              <w:rPr>
                <w:rFonts w:ascii="Tahoma" w:hAnsi="Tahoma" w:cs="Tahoma"/>
                <w:sz w:val="18"/>
              </w:rPr>
            </w:pPr>
            <w:r>
              <w:rPr>
                <w:rFonts w:ascii="Tahoma" w:hAnsi="Tahoma" w:cs="Tahoma"/>
                <w:sz w:val="18"/>
              </w:rPr>
              <w:t>University of Glasgow</w:t>
            </w:r>
          </w:p>
        </w:tc>
      </w:tr>
      <w:tr w:rsidR="00841BA5" w:rsidRPr="00430E0D" w:rsidTr="006511A3">
        <w:tc>
          <w:tcPr>
            <w:tcW w:w="1359" w:type="pct"/>
            <w:vAlign w:val="bottom"/>
          </w:tcPr>
          <w:p w:rsidR="00841BA5" w:rsidRPr="00430E0D" w:rsidRDefault="00841BA5" w:rsidP="00841BA5">
            <w:pPr>
              <w:rPr>
                <w:rFonts w:ascii="Tahoma" w:hAnsi="Tahoma" w:cs="Tahoma"/>
                <w:sz w:val="18"/>
              </w:rPr>
            </w:pPr>
          </w:p>
        </w:tc>
        <w:tc>
          <w:tcPr>
            <w:tcW w:w="1780" w:type="pct"/>
            <w:vAlign w:val="bottom"/>
          </w:tcPr>
          <w:p w:rsidR="00841BA5" w:rsidRPr="00430E0D" w:rsidRDefault="00841BA5" w:rsidP="00841BA5">
            <w:pPr>
              <w:rPr>
                <w:rFonts w:ascii="Tahoma" w:hAnsi="Tahoma" w:cs="Tahoma"/>
                <w:sz w:val="18"/>
              </w:rPr>
            </w:pPr>
          </w:p>
        </w:tc>
        <w:tc>
          <w:tcPr>
            <w:tcW w:w="1015" w:type="pct"/>
            <w:vAlign w:val="bottom"/>
          </w:tcPr>
          <w:p w:rsidR="00841BA5" w:rsidRPr="00430E0D" w:rsidRDefault="00841BA5" w:rsidP="00841BA5">
            <w:pPr>
              <w:rPr>
                <w:rFonts w:ascii="Tahoma" w:hAnsi="Tahoma" w:cs="Tahoma"/>
                <w:sz w:val="18"/>
              </w:rPr>
            </w:pPr>
          </w:p>
        </w:tc>
        <w:tc>
          <w:tcPr>
            <w:tcW w:w="232" w:type="pct"/>
            <w:vAlign w:val="bottom"/>
          </w:tcPr>
          <w:p w:rsidR="00841BA5" w:rsidRPr="00430E0D" w:rsidRDefault="00841BA5" w:rsidP="00841BA5">
            <w:pPr>
              <w:rPr>
                <w:rFonts w:ascii="Tahoma" w:hAnsi="Tahoma" w:cs="Tahoma"/>
                <w:sz w:val="18"/>
              </w:rPr>
            </w:pPr>
          </w:p>
        </w:tc>
        <w:tc>
          <w:tcPr>
            <w:tcW w:w="614" w:type="pct"/>
            <w:vAlign w:val="bottom"/>
          </w:tcPr>
          <w:p w:rsidR="00841BA5" w:rsidRPr="00430E0D" w:rsidRDefault="00841BA5" w:rsidP="00841BA5">
            <w:pPr>
              <w:rPr>
                <w:rFonts w:ascii="Tahoma" w:hAnsi="Tahoma" w:cs="Tahoma"/>
                <w:sz w:val="18"/>
              </w:rPr>
            </w:pPr>
          </w:p>
        </w:tc>
      </w:tr>
      <w:tr w:rsidR="00841BA5" w:rsidRPr="00430E0D" w:rsidTr="006511A3">
        <w:tc>
          <w:tcPr>
            <w:tcW w:w="1359" w:type="pct"/>
            <w:vAlign w:val="bottom"/>
          </w:tcPr>
          <w:p w:rsidR="00841BA5" w:rsidRPr="00E97997" w:rsidRDefault="00841BA5" w:rsidP="00841BA5">
            <w:pPr>
              <w:rPr>
                <w:rFonts w:ascii="Tahoma" w:hAnsi="Tahoma" w:cs="Tahoma"/>
                <w:b/>
                <w:sz w:val="18"/>
              </w:rPr>
            </w:pPr>
          </w:p>
        </w:tc>
        <w:tc>
          <w:tcPr>
            <w:tcW w:w="1780" w:type="pct"/>
            <w:vAlign w:val="bottom"/>
          </w:tcPr>
          <w:p w:rsidR="00841BA5" w:rsidRPr="00430E0D" w:rsidRDefault="0056777C" w:rsidP="00841BA5">
            <w:pPr>
              <w:rPr>
                <w:rFonts w:ascii="Tahoma" w:hAnsi="Tahoma" w:cs="Tahoma"/>
                <w:sz w:val="18"/>
              </w:rPr>
            </w:pPr>
            <w:r>
              <w:rPr>
                <w:rFonts w:ascii="Tahoma" w:hAnsi="Tahoma" w:cs="Tahoma"/>
                <w:sz w:val="18"/>
              </w:rPr>
              <w:t>Prof David Stott</w:t>
            </w:r>
          </w:p>
        </w:tc>
        <w:tc>
          <w:tcPr>
            <w:tcW w:w="1015" w:type="pct"/>
            <w:tcBorders>
              <w:bottom w:val="single" w:sz="4" w:space="0" w:color="auto"/>
            </w:tcBorders>
            <w:vAlign w:val="bottom"/>
          </w:tcPr>
          <w:p w:rsidR="00841BA5" w:rsidRPr="00430E0D" w:rsidRDefault="00841BA5" w:rsidP="00841BA5">
            <w:pPr>
              <w:rPr>
                <w:rFonts w:ascii="Tahoma" w:hAnsi="Tahoma" w:cs="Tahoma"/>
                <w:sz w:val="18"/>
              </w:rPr>
            </w:pPr>
          </w:p>
        </w:tc>
        <w:tc>
          <w:tcPr>
            <w:tcW w:w="232" w:type="pct"/>
            <w:vAlign w:val="bottom"/>
          </w:tcPr>
          <w:p w:rsidR="00841BA5" w:rsidRPr="00430E0D" w:rsidRDefault="00841BA5" w:rsidP="00841BA5">
            <w:pPr>
              <w:rPr>
                <w:rFonts w:ascii="Tahoma" w:hAnsi="Tahoma" w:cs="Tahoma"/>
                <w:sz w:val="18"/>
              </w:rPr>
            </w:pPr>
          </w:p>
        </w:tc>
        <w:tc>
          <w:tcPr>
            <w:tcW w:w="614" w:type="pct"/>
            <w:tcBorders>
              <w:bottom w:val="single" w:sz="4" w:space="0" w:color="auto"/>
            </w:tcBorders>
            <w:vAlign w:val="bottom"/>
          </w:tcPr>
          <w:p w:rsidR="00841BA5" w:rsidRPr="00430E0D" w:rsidRDefault="00841BA5" w:rsidP="00841BA5">
            <w:pPr>
              <w:rPr>
                <w:rFonts w:ascii="Tahoma" w:hAnsi="Tahoma" w:cs="Tahoma"/>
                <w:sz w:val="18"/>
              </w:rPr>
            </w:pPr>
          </w:p>
        </w:tc>
      </w:tr>
      <w:tr w:rsidR="00841BA5" w:rsidRPr="00430E0D" w:rsidTr="006511A3">
        <w:tc>
          <w:tcPr>
            <w:tcW w:w="1359" w:type="pct"/>
            <w:vAlign w:val="bottom"/>
          </w:tcPr>
          <w:p w:rsidR="00841BA5" w:rsidRPr="00430E0D" w:rsidRDefault="00841BA5" w:rsidP="00841BA5">
            <w:pPr>
              <w:rPr>
                <w:rFonts w:ascii="Tahoma" w:hAnsi="Tahoma" w:cs="Tahoma"/>
                <w:sz w:val="18"/>
              </w:rPr>
            </w:pPr>
          </w:p>
        </w:tc>
        <w:tc>
          <w:tcPr>
            <w:tcW w:w="1780" w:type="pct"/>
            <w:vAlign w:val="bottom"/>
          </w:tcPr>
          <w:p w:rsidR="00841BA5" w:rsidRPr="0056777C" w:rsidRDefault="0056777C" w:rsidP="00841BA5">
            <w:pPr>
              <w:rPr>
                <w:rFonts w:ascii="Tahoma" w:hAnsi="Tahoma" w:cs="Tahoma"/>
                <w:sz w:val="18"/>
                <w:lang w:val="en-GB"/>
              </w:rPr>
            </w:pPr>
            <w:r w:rsidRPr="0056777C">
              <w:rPr>
                <w:rFonts w:ascii="Tahoma" w:hAnsi="Tahoma" w:cs="Tahoma"/>
                <w:sz w:val="18"/>
                <w:lang w:val="en-GB"/>
              </w:rPr>
              <w:t>Department of Academic Geriatric Medicine</w:t>
            </w:r>
          </w:p>
          <w:p w:rsidR="0056777C" w:rsidRPr="00430E0D" w:rsidRDefault="0056777C" w:rsidP="00841BA5">
            <w:pPr>
              <w:rPr>
                <w:rFonts w:ascii="Tahoma" w:hAnsi="Tahoma" w:cs="Tahoma"/>
                <w:sz w:val="18"/>
                <w:highlight w:val="cyan"/>
              </w:rPr>
            </w:pPr>
            <w:r w:rsidRPr="0056777C">
              <w:rPr>
                <w:rFonts w:ascii="Tahoma" w:hAnsi="Tahoma" w:cs="Tahoma"/>
                <w:sz w:val="18"/>
                <w:lang w:val="en-GB"/>
              </w:rPr>
              <w:t>University of Glasgow</w:t>
            </w:r>
          </w:p>
        </w:tc>
        <w:tc>
          <w:tcPr>
            <w:tcW w:w="1015" w:type="pct"/>
            <w:tcBorders>
              <w:top w:val="single" w:sz="4" w:space="0" w:color="auto"/>
            </w:tcBorders>
            <w:vAlign w:val="bottom"/>
          </w:tcPr>
          <w:p w:rsidR="00841BA5" w:rsidRPr="00430E0D" w:rsidRDefault="00841BA5" w:rsidP="00841BA5">
            <w:pPr>
              <w:rPr>
                <w:rFonts w:ascii="Tahoma" w:hAnsi="Tahoma" w:cs="Tahoma"/>
                <w:sz w:val="18"/>
              </w:rPr>
            </w:pPr>
          </w:p>
        </w:tc>
        <w:tc>
          <w:tcPr>
            <w:tcW w:w="232" w:type="pct"/>
            <w:vAlign w:val="bottom"/>
          </w:tcPr>
          <w:p w:rsidR="00841BA5" w:rsidRPr="00430E0D" w:rsidRDefault="00841BA5" w:rsidP="00841BA5">
            <w:pPr>
              <w:rPr>
                <w:rFonts w:ascii="Tahoma" w:hAnsi="Tahoma" w:cs="Tahoma"/>
                <w:sz w:val="18"/>
              </w:rPr>
            </w:pPr>
          </w:p>
        </w:tc>
        <w:tc>
          <w:tcPr>
            <w:tcW w:w="614" w:type="pct"/>
            <w:tcBorders>
              <w:top w:val="single" w:sz="4" w:space="0" w:color="auto"/>
            </w:tcBorders>
            <w:vAlign w:val="bottom"/>
          </w:tcPr>
          <w:p w:rsidR="00841BA5" w:rsidRPr="00430E0D" w:rsidRDefault="00841BA5" w:rsidP="00841BA5">
            <w:pPr>
              <w:rPr>
                <w:rFonts w:ascii="Tahoma" w:hAnsi="Tahoma" w:cs="Tahoma"/>
                <w:sz w:val="18"/>
              </w:rPr>
            </w:pPr>
          </w:p>
        </w:tc>
      </w:tr>
      <w:tr w:rsidR="00841BA5" w:rsidRPr="00430E0D" w:rsidTr="00402168">
        <w:tc>
          <w:tcPr>
            <w:tcW w:w="1359" w:type="pct"/>
          </w:tcPr>
          <w:p w:rsidR="00841BA5" w:rsidRPr="00430E0D" w:rsidRDefault="00841BA5" w:rsidP="00841BA5">
            <w:pPr>
              <w:rPr>
                <w:rFonts w:ascii="Tahoma" w:hAnsi="Tahoma" w:cs="Tahoma"/>
                <w:sz w:val="18"/>
              </w:rPr>
            </w:pPr>
          </w:p>
        </w:tc>
        <w:tc>
          <w:tcPr>
            <w:tcW w:w="3641" w:type="pct"/>
            <w:gridSpan w:val="4"/>
          </w:tcPr>
          <w:p w:rsidR="00841BA5" w:rsidRPr="00430E0D" w:rsidRDefault="00841BA5" w:rsidP="00841BA5">
            <w:pPr>
              <w:rPr>
                <w:rFonts w:ascii="Tahoma" w:hAnsi="Tahoma" w:cs="Tahoma"/>
                <w:sz w:val="18"/>
              </w:rPr>
            </w:pPr>
          </w:p>
        </w:tc>
      </w:tr>
      <w:tr w:rsidR="00402168" w:rsidRPr="00430E0D" w:rsidTr="00402168">
        <w:tc>
          <w:tcPr>
            <w:tcW w:w="1359" w:type="pct"/>
            <w:vAlign w:val="bottom"/>
          </w:tcPr>
          <w:p w:rsidR="00402168" w:rsidRDefault="00402168" w:rsidP="00841BA5">
            <w:pPr>
              <w:rPr>
                <w:rFonts w:ascii="Tahoma" w:hAnsi="Tahoma" w:cs="Tahoma"/>
                <w:sz w:val="18"/>
              </w:rPr>
            </w:pPr>
          </w:p>
        </w:tc>
        <w:tc>
          <w:tcPr>
            <w:tcW w:w="1780" w:type="pct"/>
            <w:vAlign w:val="bottom"/>
          </w:tcPr>
          <w:p w:rsidR="00402168" w:rsidRPr="00147566" w:rsidRDefault="00402168" w:rsidP="00841BA5">
            <w:pPr>
              <w:rPr>
                <w:rFonts w:ascii="Tahoma" w:hAnsi="Tahoma" w:cs="Tahoma"/>
                <w:sz w:val="18"/>
              </w:rPr>
            </w:pPr>
          </w:p>
        </w:tc>
        <w:tc>
          <w:tcPr>
            <w:tcW w:w="1015" w:type="pct"/>
            <w:vAlign w:val="bottom"/>
          </w:tcPr>
          <w:p w:rsidR="00402168" w:rsidRPr="00430E0D" w:rsidRDefault="00402168" w:rsidP="00841BA5">
            <w:pPr>
              <w:rPr>
                <w:rFonts w:ascii="Tahoma" w:hAnsi="Tahoma" w:cs="Tahoma"/>
                <w:sz w:val="18"/>
              </w:rPr>
            </w:pPr>
          </w:p>
        </w:tc>
        <w:tc>
          <w:tcPr>
            <w:tcW w:w="232" w:type="pct"/>
            <w:vAlign w:val="bottom"/>
          </w:tcPr>
          <w:p w:rsidR="00402168" w:rsidRPr="00430E0D" w:rsidRDefault="00402168" w:rsidP="00841BA5">
            <w:pPr>
              <w:rPr>
                <w:rFonts w:ascii="Tahoma" w:hAnsi="Tahoma" w:cs="Tahoma"/>
                <w:sz w:val="18"/>
              </w:rPr>
            </w:pPr>
          </w:p>
        </w:tc>
        <w:tc>
          <w:tcPr>
            <w:tcW w:w="614" w:type="pct"/>
            <w:vAlign w:val="bottom"/>
          </w:tcPr>
          <w:p w:rsidR="00402168" w:rsidRPr="00430E0D" w:rsidRDefault="00402168" w:rsidP="00841BA5">
            <w:pPr>
              <w:rPr>
                <w:rFonts w:ascii="Tahoma" w:hAnsi="Tahoma" w:cs="Tahoma"/>
                <w:sz w:val="18"/>
              </w:rPr>
            </w:pPr>
          </w:p>
        </w:tc>
      </w:tr>
      <w:tr w:rsidR="00841BA5" w:rsidRPr="00430E0D" w:rsidTr="00402168">
        <w:tc>
          <w:tcPr>
            <w:tcW w:w="1359" w:type="pct"/>
            <w:vAlign w:val="bottom"/>
          </w:tcPr>
          <w:p w:rsidR="00841BA5" w:rsidRPr="00E97997" w:rsidRDefault="00841BA5" w:rsidP="00841BA5">
            <w:pPr>
              <w:rPr>
                <w:rFonts w:ascii="Tahoma" w:hAnsi="Tahoma" w:cs="Tahoma"/>
                <w:b/>
                <w:sz w:val="18"/>
              </w:rPr>
            </w:pPr>
          </w:p>
        </w:tc>
        <w:tc>
          <w:tcPr>
            <w:tcW w:w="1780" w:type="pct"/>
            <w:vAlign w:val="bottom"/>
          </w:tcPr>
          <w:p w:rsidR="00841BA5" w:rsidRPr="00841BA5" w:rsidRDefault="00841BA5" w:rsidP="00841BA5">
            <w:pPr>
              <w:rPr>
                <w:rFonts w:ascii="Tahoma" w:hAnsi="Tahoma" w:cs="Tahoma"/>
                <w:sz w:val="18"/>
              </w:rPr>
            </w:pPr>
          </w:p>
        </w:tc>
        <w:tc>
          <w:tcPr>
            <w:tcW w:w="1015" w:type="pct"/>
            <w:vAlign w:val="bottom"/>
          </w:tcPr>
          <w:p w:rsidR="00841BA5" w:rsidRPr="00430E0D" w:rsidRDefault="00841BA5" w:rsidP="00841BA5">
            <w:pPr>
              <w:rPr>
                <w:rFonts w:ascii="Tahoma" w:hAnsi="Tahoma" w:cs="Tahoma"/>
                <w:sz w:val="18"/>
              </w:rPr>
            </w:pPr>
          </w:p>
        </w:tc>
        <w:tc>
          <w:tcPr>
            <w:tcW w:w="232" w:type="pct"/>
            <w:vAlign w:val="bottom"/>
          </w:tcPr>
          <w:p w:rsidR="00841BA5" w:rsidRPr="00430E0D" w:rsidRDefault="00841BA5" w:rsidP="00841BA5">
            <w:pPr>
              <w:rPr>
                <w:rFonts w:ascii="Tahoma" w:hAnsi="Tahoma" w:cs="Tahoma"/>
                <w:sz w:val="18"/>
              </w:rPr>
            </w:pPr>
          </w:p>
        </w:tc>
        <w:tc>
          <w:tcPr>
            <w:tcW w:w="614" w:type="pct"/>
            <w:vAlign w:val="bottom"/>
          </w:tcPr>
          <w:p w:rsidR="00841BA5" w:rsidRPr="00430E0D" w:rsidRDefault="00841BA5" w:rsidP="00841BA5">
            <w:pPr>
              <w:rPr>
                <w:rFonts w:ascii="Tahoma" w:hAnsi="Tahoma" w:cs="Tahoma"/>
                <w:sz w:val="18"/>
              </w:rPr>
            </w:pPr>
          </w:p>
        </w:tc>
      </w:tr>
    </w:tbl>
    <w:p w:rsidR="00250EF2" w:rsidRPr="00430E0D" w:rsidRDefault="00250EF2" w:rsidP="00147566">
      <w:pPr>
        <w:jc w:val="center"/>
        <w:rPr>
          <w:rFonts w:ascii="Tahoma" w:hAnsi="Tahoma" w:cs="Tahoma"/>
          <w:b/>
          <w:sz w:val="22"/>
        </w:rPr>
      </w:pPr>
      <w:r w:rsidRPr="00430E0D">
        <w:rPr>
          <w:rFonts w:ascii="Tahoma" w:hAnsi="Tahoma" w:cs="Tahoma"/>
          <w:sz w:val="44"/>
          <w:szCs w:val="44"/>
        </w:rPr>
        <w:br w:type="page"/>
      </w:r>
      <w:r w:rsidRPr="00430E0D">
        <w:rPr>
          <w:rFonts w:ascii="Tahoma" w:hAnsi="Tahoma" w:cs="Tahoma"/>
          <w:b/>
          <w:sz w:val="22"/>
        </w:rPr>
        <w:lastRenderedPageBreak/>
        <w:t>CONTENTS</w:t>
      </w:r>
    </w:p>
    <w:p w:rsidR="002F7A3E" w:rsidRPr="00792552" w:rsidRDefault="00392530">
      <w:pPr>
        <w:pStyle w:val="TOC1"/>
        <w:tabs>
          <w:tab w:val="right" w:leader="dot" w:pos="8303"/>
        </w:tabs>
        <w:rPr>
          <w:rFonts w:ascii="Tahoma" w:eastAsiaTheme="minorEastAsia" w:hAnsi="Tahoma" w:cs="Tahoma"/>
          <w:noProof/>
          <w:sz w:val="22"/>
          <w:szCs w:val="22"/>
          <w:lang w:eastAsia="en-GB"/>
        </w:rPr>
      </w:pPr>
      <w:r w:rsidRPr="00392530">
        <w:rPr>
          <w:rFonts w:ascii="Tahoma" w:hAnsi="Tahoma" w:cs="Tahoma"/>
          <w:b/>
          <w:smallCaps/>
        </w:rPr>
        <w:fldChar w:fldCharType="begin"/>
      </w:r>
      <w:r w:rsidR="00250EF2" w:rsidRPr="0056777C">
        <w:rPr>
          <w:rFonts w:ascii="Tahoma" w:hAnsi="Tahoma" w:cs="Tahoma"/>
          <w:b/>
          <w:smallCaps/>
        </w:rPr>
        <w:instrText xml:space="preserve"> TOC \o "2-3" \h \z \t "Heading 2,2,Heading 3,3,SAP Section 1,1,SAP Appendix,1" </w:instrText>
      </w:r>
      <w:r w:rsidRPr="00392530">
        <w:rPr>
          <w:rFonts w:ascii="Tahoma" w:hAnsi="Tahoma" w:cs="Tahoma"/>
          <w:b/>
          <w:smallCaps/>
        </w:rPr>
        <w:fldChar w:fldCharType="separate"/>
      </w:r>
      <w:hyperlink w:anchor="_Toc445828980" w:history="1">
        <w:r w:rsidR="002F7A3E" w:rsidRPr="00792552">
          <w:rPr>
            <w:rStyle w:val="Hyperlink"/>
            <w:rFonts w:ascii="Tahoma" w:hAnsi="Tahoma" w:cs="Tahoma"/>
            <w:noProof/>
          </w:rPr>
          <w:t>1. Introduction</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_Toc445828980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3</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8981" w:history="1">
        <w:r w:rsidR="002F7A3E" w:rsidRPr="00792552">
          <w:rPr>
            <w:rStyle w:val="Hyperlink"/>
            <w:rFonts w:ascii="Tahoma" w:hAnsi="Tahoma" w:cs="Tahoma"/>
            <w:noProof/>
          </w:rPr>
          <w:t>1.1. Study Background</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_Toc445828981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3</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8982" w:history="1">
        <w:r w:rsidR="002F7A3E" w:rsidRPr="00792552">
          <w:rPr>
            <w:rStyle w:val="Hyperlink"/>
            <w:rFonts w:ascii="Tahoma" w:hAnsi="Tahoma" w:cs="Tahoma"/>
            <w:noProof/>
          </w:rPr>
          <w:t>1.2. Study Objectives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_Toc445828982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3</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8983" w:history="1">
        <w:r w:rsidR="002F7A3E" w:rsidRPr="00792552">
          <w:rPr>
            <w:rStyle w:val="Hyperlink"/>
            <w:rFonts w:ascii="Tahoma" w:hAnsi="Tahoma" w:cs="Tahoma"/>
            <w:noProof/>
          </w:rPr>
          <w:t>1.3. Study Design</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_Toc445828983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3</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8984" w:history="1">
        <w:r w:rsidR="002F7A3E" w:rsidRPr="00792552">
          <w:rPr>
            <w:rStyle w:val="Hyperlink"/>
            <w:rFonts w:ascii="Tahoma" w:hAnsi="Tahoma" w:cs="Tahoma"/>
            <w:noProof/>
          </w:rPr>
          <w:t>1.4. Sample Size and Power</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_Toc445828984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3</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8985" w:history="1">
        <w:r w:rsidR="002F7A3E" w:rsidRPr="00792552">
          <w:rPr>
            <w:rStyle w:val="Hyperlink"/>
            <w:rFonts w:ascii="Tahoma" w:hAnsi="Tahoma" w:cs="Tahoma"/>
            <w:noProof/>
          </w:rPr>
          <w:t>1.4.1. Initial sample size calculation</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_Toc445828985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3</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8986" w:history="1">
        <w:r w:rsidR="002F7A3E" w:rsidRPr="00792552">
          <w:rPr>
            <w:rStyle w:val="Hyperlink"/>
            <w:rFonts w:ascii="Tahoma" w:hAnsi="Tahoma" w:cs="Tahoma"/>
            <w:noProof/>
          </w:rPr>
          <w:t>1.4.2. Revised sample size calculation</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_Toc445828986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3</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8987" w:history="1">
        <w:r w:rsidR="002F7A3E" w:rsidRPr="00792552">
          <w:rPr>
            <w:rStyle w:val="Hyperlink"/>
            <w:rFonts w:ascii="Tahoma" w:hAnsi="Tahoma" w:cs="Tahoma"/>
            <w:noProof/>
          </w:rPr>
          <w:t>1.5. Study Population</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_Toc445828987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4</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8988" w:history="1">
        <w:r w:rsidR="002F7A3E" w:rsidRPr="00792552">
          <w:rPr>
            <w:rStyle w:val="Hyperlink"/>
            <w:rFonts w:ascii="Tahoma" w:hAnsi="Tahoma" w:cs="Tahoma"/>
            <w:noProof/>
          </w:rPr>
          <w:t>1.5.1. Inclusion Criteria</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_Toc445828988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4</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8989" w:history="1">
        <w:r w:rsidR="002F7A3E" w:rsidRPr="00792552">
          <w:rPr>
            <w:rStyle w:val="Hyperlink"/>
            <w:rFonts w:ascii="Tahoma" w:hAnsi="Tahoma" w:cs="Tahoma"/>
            <w:noProof/>
          </w:rPr>
          <w:t>1.5.2. Exclusion Criteria</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_Toc445828989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4</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8990" w:history="1">
        <w:r w:rsidR="002F7A3E" w:rsidRPr="00792552">
          <w:rPr>
            <w:rStyle w:val="Hyperlink"/>
            <w:rFonts w:ascii="Tahoma" w:hAnsi="Tahoma" w:cs="Tahoma"/>
            <w:noProof/>
          </w:rPr>
          <w:t>1.6. Statistical Analysis Plan (SAP)</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_Toc445828990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4</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8991" w:history="1">
        <w:r w:rsidR="002F7A3E" w:rsidRPr="00792552">
          <w:rPr>
            <w:rStyle w:val="Hyperlink"/>
            <w:rFonts w:ascii="Tahoma" w:hAnsi="Tahoma" w:cs="Tahoma"/>
            <w:noProof/>
          </w:rPr>
          <w:t>1.6.1. SAP Objectives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_Toc445828991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4</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8992" w:history="1">
        <w:r w:rsidR="002F7A3E" w:rsidRPr="00792552">
          <w:rPr>
            <w:rStyle w:val="Hyperlink"/>
            <w:rFonts w:ascii="Tahoma" w:hAnsi="Tahoma" w:cs="Tahoma"/>
            <w:noProof/>
          </w:rPr>
          <w:t>1.6.2. General Principles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_Toc445828992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5</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8993" w:history="1">
        <w:r w:rsidR="002F7A3E" w:rsidRPr="00792552">
          <w:rPr>
            <w:rStyle w:val="Hyperlink"/>
            <w:rFonts w:ascii="Tahoma" w:hAnsi="Tahoma" w:cs="Tahoma"/>
            <w:noProof/>
          </w:rPr>
          <w:t>1.6.3. Current Protocol</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_Toc445828993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6</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8994" w:history="1">
        <w:r w:rsidR="002F7A3E" w:rsidRPr="00792552">
          <w:rPr>
            <w:rStyle w:val="Hyperlink"/>
            <w:rFonts w:ascii="Tahoma" w:hAnsi="Tahoma" w:cs="Tahoma"/>
            <w:noProof/>
          </w:rPr>
          <w:t>1.6.4. Software</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_Toc445828994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6</w:t>
        </w:r>
        <w:r w:rsidRPr="00792552">
          <w:rPr>
            <w:rFonts w:ascii="Tahoma" w:hAnsi="Tahoma" w:cs="Tahoma"/>
            <w:noProof/>
            <w:webHidden/>
          </w:rPr>
          <w:fldChar w:fldCharType="end"/>
        </w:r>
      </w:hyperlink>
    </w:p>
    <w:p w:rsidR="002F7A3E" w:rsidRPr="00792552" w:rsidRDefault="00392530">
      <w:pPr>
        <w:pStyle w:val="TOC1"/>
        <w:tabs>
          <w:tab w:val="right" w:leader="dot" w:pos="8303"/>
        </w:tabs>
        <w:rPr>
          <w:rFonts w:ascii="Tahoma" w:eastAsiaTheme="minorEastAsia" w:hAnsi="Tahoma" w:cs="Tahoma"/>
          <w:noProof/>
          <w:sz w:val="22"/>
          <w:szCs w:val="22"/>
          <w:lang w:eastAsia="en-GB"/>
        </w:rPr>
      </w:pPr>
      <w:hyperlink w:anchor="_Toc445828995" w:history="1">
        <w:r w:rsidR="002F7A3E" w:rsidRPr="00792552">
          <w:rPr>
            <w:rStyle w:val="Hyperlink"/>
            <w:rFonts w:ascii="Tahoma" w:hAnsi="Tahoma" w:cs="Tahoma"/>
            <w:noProof/>
          </w:rPr>
          <w:t>2. Analysis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_Toc445828995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6</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8996" w:history="1">
        <w:r w:rsidR="002F7A3E" w:rsidRPr="00792552">
          <w:rPr>
            <w:rStyle w:val="Hyperlink"/>
            <w:rFonts w:ascii="Tahoma" w:hAnsi="Tahoma" w:cs="Tahoma"/>
            <w:noProof/>
          </w:rPr>
          <w:t>2.1. Study Populations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_Toc445828996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6</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8997" w:history="1">
        <w:r w:rsidR="002F7A3E" w:rsidRPr="00792552">
          <w:rPr>
            <w:rStyle w:val="Hyperlink"/>
            <w:rFonts w:ascii="Tahoma" w:hAnsi="Tahoma" w:cs="Tahoma"/>
            <w:noProof/>
          </w:rPr>
          <w:t>2.2. Visit Attendance</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_Toc445828997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7</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8998" w:history="1">
        <w:r w:rsidR="002F7A3E" w:rsidRPr="00792552">
          <w:rPr>
            <w:rStyle w:val="Hyperlink"/>
            <w:rFonts w:ascii="Tahoma" w:hAnsi="Tahoma" w:cs="Tahoma"/>
            <w:noProof/>
          </w:rPr>
          <w:t>2.3. Baseline Characteristics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_Toc445828998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7</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8999" w:history="1">
        <w:r w:rsidR="002F7A3E" w:rsidRPr="00792552">
          <w:rPr>
            <w:rStyle w:val="Hyperlink"/>
            <w:rFonts w:ascii="Tahoma" w:hAnsi="Tahoma" w:cs="Tahoma"/>
            <w:noProof/>
          </w:rPr>
          <w:t>2.4. Efficacy Outcomes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_Toc445828999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8</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9000" w:history="1">
        <w:r w:rsidR="002F7A3E" w:rsidRPr="00792552">
          <w:rPr>
            <w:rStyle w:val="Hyperlink"/>
            <w:rFonts w:ascii="Tahoma" w:hAnsi="Tahoma" w:cs="Tahoma"/>
            <w:noProof/>
          </w:rPr>
          <w:t>2.4.1. Primary Outcome</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_Toc445829000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8</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9001" w:history="1">
        <w:r w:rsidR="002F7A3E" w:rsidRPr="00792552">
          <w:rPr>
            <w:rStyle w:val="Hyperlink"/>
            <w:rFonts w:ascii="Tahoma" w:hAnsi="Tahoma" w:cs="Tahoma"/>
            <w:noProof/>
          </w:rPr>
          <w:t>2.4.2. Secondary Outcomes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_Toc445829001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8</w:t>
        </w:r>
        <w:r w:rsidRPr="00792552">
          <w:rPr>
            <w:rFonts w:ascii="Tahoma" w:hAnsi="Tahoma" w:cs="Tahoma"/>
            <w:noProof/>
            <w:webHidden/>
          </w:rPr>
          <w:fldChar w:fldCharType="end"/>
        </w:r>
      </w:hyperlink>
    </w:p>
    <w:p w:rsidR="002F7A3E" w:rsidRPr="00792552" w:rsidRDefault="00392530">
      <w:pPr>
        <w:pStyle w:val="TOC2"/>
        <w:tabs>
          <w:tab w:val="right" w:leader="dot" w:pos="8303"/>
        </w:tabs>
        <w:rPr>
          <w:rFonts w:ascii="Tahoma" w:eastAsiaTheme="minorEastAsia" w:hAnsi="Tahoma" w:cs="Tahoma"/>
          <w:noProof/>
          <w:sz w:val="22"/>
          <w:szCs w:val="22"/>
          <w:lang w:eastAsia="en-GB"/>
        </w:rPr>
      </w:pPr>
      <w:hyperlink w:anchor="_Toc445829002" w:history="1">
        <w:r w:rsidR="002F7A3E" w:rsidRPr="00792552">
          <w:rPr>
            <w:rStyle w:val="Hyperlink"/>
            <w:rFonts w:ascii="Tahoma" w:hAnsi="Tahoma" w:cs="Tahoma"/>
            <w:noProof/>
          </w:rPr>
          <w:t>2.5. Safety Outcomes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_Toc445829002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10</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9003" w:history="1">
        <w:r w:rsidR="002F7A3E" w:rsidRPr="00792552">
          <w:rPr>
            <w:rStyle w:val="Hyperlink"/>
            <w:rFonts w:ascii="Tahoma" w:hAnsi="Tahoma" w:cs="Tahoma"/>
            <w:noProof/>
          </w:rPr>
          <w:t>2.5.1. Study Treatment</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_Toc445829003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10</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9004" w:history="1">
        <w:r w:rsidR="002F7A3E" w:rsidRPr="00792552">
          <w:rPr>
            <w:rStyle w:val="Hyperlink"/>
            <w:rFonts w:ascii="Tahoma" w:hAnsi="Tahoma" w:cs="Tahoma"/>
            <w:noProof/>
          </w:rPr>
          <w:t>2.5.2. Serious Adverse Events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_Toc445829004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11</w:t>
        </w:r>
        <w:r w:rsidRPr="00792552">
          <w:rPr>
            <w:rFonts w:ascii="Tahoma" w:hAnsi="Tahoma" w:cs="Tahoma"/>
            <w:noProof/>
            <w:webHidden/>
          </w:rPr>
          <w:fldChar w:fldCharType="end"/>
        </w:r>
      </w:hyperlink>
    </w:p>
    <w:p w:rsidR="002F7A3E" w:rsidRPr="00792552" w:rsidRDefault="00392530">
      <w:pPr>
        <w:pStyle w:val="TOC3"/>
        <w:tabs>
          <w:tab w:val="right" w:leader="dot" w:pos="8303"/>
        </w:tabs>
        <w:rPr>
          <w:rFonts w:ascii="Tahoma" w:eastAsiaTheme="minorEastAsia" w:hAnsi="Tahoma" w:cs="Tahoma"/>
          <w:noProof/>
          <w:sz w:val="22"/>
          <w:szCs w:val="22"/>
          <w:lang w:eastAsia="en-GB"/>
        </w:rPr>
      </w:pPr>
      <w:hyperlink w:anchor="_Toc445829005" w:history="1">
        <w:r w:rsidR="002F7A3E" w:rsidRPr="00792552">
          <w:rPr>
            <w:rStyle w:val="Hyperlink"/>
            <w:rFonts w:ascii="Tahoma" w:hAnsi="Tahoma" w:cs="Tahoma"/>
            <w:noProof/>
          </w:rPr>
          <w:t>2.5.3. Other safety data</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_Toc445829005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11</w:t>
        </w:r>
        <w:r w:rsidRPr="00792552">
          <w:rPr>
            <w:rFonts w:ascii="Tahoma" w:hAnsi="Tahoma" w:cs="Tahoma"/>
            <w:noProof/>
            <w:webHidden/>
          </w:rPr>
          <w:fldChar w:fldCharType="end"/>
        </w:r>
      </w:hyperlink>
    </w:p>
    <w:p w:rsidR="002F7A3E" w:rsidRPr="00792552" w:rsidRDefault="00392530">
      <w:pPr>
        <w:pStyle w:val="TOC1"/>
        <w:tabs>
          <w:tab w:val="right" w:leader="dot" w:pos="8303"/>
        </w:tabs>
        <w:rPr>
          <w:rFonts w:ascii="Tahoma" w:eastAsiaTheme="minorEastAsia" w:hAnsi="Tahoma" w:cs="Tahoma"/>
          <w:noProof/>
          <w:sz w:val="22"/>
          <w:szCs w:val="22"/>
          <w:lang w:eastAsia="en-GB"/>
        </w:rPr>
      </w:pPr>
      <w:hyperlink w:anchor="_Toc445829006" w:history="1">
        <w:r w:rsidR="002F7A3E" w:rsidRPr="00792552">
          <w:rPr>
            <w:rStyle w:val="Hyperlink"/>
            <w:rFonts w:ascii="Tahoma" w:hAnsi="Tahoma" w:cs="Tahoma"/>
            <w:noProof/>
          </w:rPr>
          <w:t>3. Document History</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_Toc445829006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12</w:t>
        </w:r>
        <w:r w:rsidRPr="00792552">
          <w:rPr>
            <w:rFonts w:ascii="Tahoma" w:hAnsi="Tahoma" w:cs="Tahoma"/>
            <w:noProof/>
            <w:webHidden/>
          </w:rPr>
          <w:fldChar w:fldCharType="end"/>
        </w:r>
      </w:hyperlink>
    </w:p>
    <w:p w:rsidR="002F7A3E" w:rsidRPr="00792552" w:rsidRDefault="00392530">
      <w:pPr>
        <w:pStyle w:val="TOC1"/>
        <w:tabs>
          <w:tab w:val="right" w:leader="dot" w:pos="8303"/>
        </w:tabs>
        <w:rPr>
          <w:rFonts w:ascii="Tahoma" w:eastAsiaTheme="minorEastAsia" w:hAnsi="Tahoma" w:cs="Tahoma"/>
          <w:noProof/>
          <w:sz w:val="22"/>
          <w:szCs w:val="22"/>
          <w:lang w:eastAsia="en-GB"/>
        </w:rPr>
      </w:pPr>
      <w:hyperlink w:anchor="_Toc445829007" w:history="1">
        <w:r w:rsidR="002F7A3E" w:rsidRPr="00792552">
          <w:rPr>
            <w:rStyle w:val="Hyperlink"/>
            <w:rFonts w:ascii="Tahoma" w:hAnsi="Tahoma" w:cs="Tahoma"/>
            <w:noProof/>
          </w:rPr>
          <w:t>4. Tables and Figures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_Toc445829007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12</w:t>
        </w:r>
        <w:r w:rsidRPr="00792552">
          <w:rPr>
            <w:rFonts w:ascii="Tahoma" w:hAnsi="Tahoma" w:cs="Tahoma"/>
            <w:noProof/>
            <w:webHidden/>
          </w:rPr>
          <w:fldChar w:fldCharType="end"/>
        </w:r>
      </w:hyperlink>
    </w:p>
    <w:p w:rsidR="002F7A3E" w:rsidRPr="00792552" w:rsidRDefault="00392530">
      <w:pPr>
        <w:pStyle w:val="TOC1"/>
        <w:tabs>
          <w:tab w:val="right" w:leader="dot" w:pos="8303"/>
        </w:tabs>
        <w:rPr>
          <w:rFonts w:ascii="Tahoma" w:eastAsiaTheme="minorEastAsia" w:hAnsi="Tahoma" w:cs="Tahoma"/>
          <w:noProof/>
          <w:sz w:val="22"/>
          <w:szCs w:val="22"/>
          <w:lang w:eastAsia="en-GB"/>
        </w:rPr>
      </w:pPr>
      <w:hyperlink w:anchor="_Toc445829008" w:history="1">
        <w:r w:rsidR="002F7A3E" w:rsidRPr="00792552">
          <w:rPr>
            <w:rStyle w:val="Hyperlink"/>
            <w:rFonts w:ascii="Tahoma" w:hAnsi="Tahoma" w:cs="Tahoma"/>
            <w:noProof/>
          </w:rPr>
          <w:t>5. Listings</w:t>
        </w:r>
        <w:r w:rsidR="002F7A3E" w:rsidRPr="00792552">
          <w:rPr>
            <w:rFonts w:ascii="Tahoma" w:hAnsi="Tahoma" w:cs="Tahoma"/>
            <w:noProof/>
            <w:webHidden/>
          </w:rPr>
          <w:tab/>
        </w:r>
        <w:r w:rsidRPr="00792552">
          <w:rPr>
            <w:rFonts w:ascii="Tahoma" w:hAnsi="Tahoma" w:cs="Tahoma"/>
            <w:noProof/>
            <w:webHidden/>
          </w:rPr>
          <w:fldChar w:fldCharType="begin"/>
        </w:r>
        <w:r w:rsidR="002F7A3E" w:rsidRPr="00792552">
          <w:rPr>
            <w:rFonts w:ascii="Tahoma" w:hAnsi="Tahoma" w:cs="Tahoma"/>
            <w:noProof/>
            <w:webHidden/>
          </w:rPr>
          <w:instrText xml:space="preserve"> PAGEREF _Toc445829008 \h </w:instrText>
        </w:r>
        <w:r w:rsidRPr="00792552">
          <w:rPr>
            <w:rFonts w:ascii="Tahoma" w:hAnsi="Tahoma" w:cs="Tahoma"/>
            <w:noProof/>
            <w:webHidden/>
          </w:rPr>
        </w:r>
        <w:r w:rsidRPr="00792552">
          <w:rPr>
            <w:rFonts w:ascii="Tahoma" w:hAnsi="Tahoma" w:cs="Tahoma"/>
            <w:noProof/>
            <w:webHidden/>
          </w:rPr>
          <w:fldChar w:fldCharType="separate"/>
        </w:r>
        <w:r w:rsidR="00ED3149">
          <w:rPr>
            <w:rFonts w:ascii="Tahoma" w:hAnsi="Tahoma" w:cs="Tahoma"/>
            <w:noProof/>
            <w:webHidden/>
          </w:rPr>
          <w:t>12</w:t>
        </w:r>
        <w:r w:rsidRPr="00792552">
          <w:rPr>
            <w:rFonts w:ascii="Tahoma" w:hAnsi="Tahoma" w:cs="Tahoma"/>
            <w:noProof/>
            <w:webHidden/>
          </w:rPr>
          <w:fldChar w:fldCharType="end"/>
        </w:r>
      </w:hyperlink>
    </w:p>
    <w:p w:rsidR="00250EF2" w:rsidRPr="0056777C" w:rsidRDefault="00392530" w:rsidP="00250EF2">
      <w:pPr>
        <w:rPr>
          <w:rFonts w:ascii="Tahoma" w:hAnsi="Tahoma" w:cs="Tahoma"/>
          <w:sz w:val="24"/>
          <w:szCs w:val="24"/>
        </w:rPr>
      </w:pPr>
      <w:r w:rsidRPr="0056777C">
        <w:rPr>
          <w:rFonts w:ascii="Tahoma" w:hAnsi="Tahoma" w:cs="Tahoma"/>
          <w:b/>
          <w:smallCaps/>
          <w:sz w:val="24"/>
          <w:szCs w:val="24"/>
        </w:rPr>
        <w:fldChar w:fldCharType="end"/>
      </w:r>
    </w:p>
    <w:p w:rsidR="00DA6A89" w:rsidRPr="0056777C" w:rsidRDefault="00250EF2" w:rsidP="00DA6A89">
      <w:pPr>
        <w:pStyle w:val="SAPSection1"/>
        <w:rPr>
          <w:rFonts w:cs="Tahoma"/>
        </w:rPr>
      </w:pPr>
      <w:r w:rsidRPr="0056777C">
        <w:rPr>
          <w:rFonts w:cs="Tahoma"/>
        </w:rPr>
        <w:br w:type="page"/>
      </w:r>
      <w:bookmarkStart w:id="0" w:name="_Toc168292804"/>
      <w:bookmarkStart w:id="1" w:name="_Toc310346132"/>
      <w:bookmarkStart w:id="2" w:name="_Toc445828980"/>
      <w:r w:rsidR="00DA6A89" w:rsidRPr="0056777C">
        <w:rPr>
          <w:rFonts w:cs="Tahoma"/>
        </w:rPr>
        <w:lastRenderedPageBreak/>
        <w:t>Introduction</w:t>
      </w:r>
      <w:bookmarkEnd w:id="0"/>
      <w:bookmarkEnd w:id="1"/>
      <w:bookmarkEnd w:id="2"/>
    </w:p>
    <w:p w:rsidR="00DA6A89" w:rsidRPr="0056777C" w:rsidRDefault="00DA6A89" w:rsidP="00993F71">
      <w:pPr>
        <w:pStyle w:val="SAPSection11"/>
        <w:rPr>
          <w:rFonts w:cs="Tahoma"/>
        </w:rPr>
      </w:pPr>
      <w:bookmarkStart w:id="3" w:name="_Ref75927483"/>
      <w:bookmarkStart w:id="4" w:name="_Toc168292805"/>
      <w:bookmarkStart w:id="5" w:name="_Toc310346133"/>
      <w:bookmarkStart w:id="6" w:name="_Toc445828981"/>
      <w:r w:rsidRPr="0056777C">
        <w:rPr>
          <w:rFonts w:cs="Tahoma"/>
        </w:rPr>
        <w:t>Study Background</w:t>
      </w:r>
      <w:bookmarkEnd w:id="3"/>
      <w:bookmarkEnd w:id="4"/>
      <w:bookmarkEnd w:id="5"/>
      <w:bookmarkEnd w:id="6"/>
    </w:p>
    <w:p w:rsidR="00993F71" w:rsidRPr="0056777C" w:rsidRDefault="00993F71" w:rsidP="00993F71">
      <w:pPr>
        <w:pStyle w:val="SAPText"/>
        <w:rPr>
          <w:rFonts w:cs="Tahoma"/>
        </w:rPr>
      </w:pPr>
      <w:r w:rsidRPr="0056777C">
        <w:rPr>
          <w:rFonts w:cs="Tahoma"/>
        </w:rPr>
        <w:t xml:space="preserve">Subclinical hypothyroidism (SCH) is a common finding in older people across Europe, and is a likely contributor to multiple problems in older age. There is the potential for multisystem benefits from treatment of SCH with </w:t>
      </w:r>
      <w:proofErr w:type="spellStart"/>
      <w:r w:rsidRPr="0056777C">
        <w:rPr>
          <w:rFonts w:cs="Tahoma"/>
        </w:rPr>
        <w:t>Levothyroxine</w:t>
      </w:r>
      <w:proofErr w:type="spellEnd"/>
      <w:r w:rsidRPr="0056777C">
        <w:rPr>
          <w:rFonts w:cs="Tahoma"/>
        </w:rPr>
        <w:t>.</w:t>
      </w:r>
    </w:p>
    <w:p w:rsidR="00DA6A89" w:rsidRDefault="00DA6A89" w:rsidP="00993F71">
      <w:pPr>
        <w:pStyle w:val="SAPSection11"/>
      </w:pPr>
      <w:bookmarkStart w:id="7" w:name="_Ref75927468"/>
      <w:bookmarkStart w:id="8" w:name="_Ref75927580"/>
      <w:bookmarkStart w:id="9" w:name="_Toc168292806"/>
      <w:bookmarkStart w:id="10" w:name="_Toc310346134"/>
      <w:bookmarkStart w:id="11" w:name="_Toc445828982"/>
      <w:r w:rsidRPr="00993F71">
        <w:t>Study Objectives</w:t>
      </w:r>
      <w:bookmarkEnd w:id="7"/>
      <w:bookmarkEnd w:id="8"/>
      <w:bookmarkEnd w:id="9"/>
      <w:bookmarkEnd w:id="10"/>
      <w:bookmarkEnd w:id="11"/>
    </w:p>
    <w:p w:rsidR="00253BD9" w:rsidRPr="00CA0B3D" w:rsidRDefault="00CA0B3D" w:rsidP="00931814">
      <w:pPr>
        <w:pStyle w:val="SAPText"/>
      </w:pPr>
      <w:proofErr w:type="gramStart"/>
      <w:r w:rsidRPr="00CA0B3D">
        <w:t xml:space="preserve">To test the efficacy of </w:t>
      </w:r>
      <w:proofErr w:type="spellStart"/>
      <w:r w:rsidRPr="00CA0B3D">
        <w:t>thyroxine</w:t>
      </w:r>
      <w:proofErr w:type="spellEnd"/>
      <w:r w:rsidRPr="00CA0B3D">
        <w:t xml:space="preserve"> replacement for subclinical hypothyroidism (SCH) in adults</w:t>
      </w:r>
      <w:r w:rsidR="00931814">
        <w:t xml:space="preserve"> </w:t>
      </w:r>
      <w:r w:rsidR="00253BD9">
        <w:t>aged 65 years and older.</w:t>
      </w:r>
      <w:proofErr w:type="gramEnd"/>
    </w:p>
    <w:p w:rsidR="00DA6A89" w:rsidRDefault="00DA6A89" w:rsidP="00993F71">
      <w:pPr>
        <w:pStyle w:val="SAPSection11"/>
      </w:pPr>
      <w:bookmarkStart w:id="12" w:name="_Toc168292807"/>
      <w:bookmarkStart w:id="13" w:name="_Toc310346135"/>
      <w:bookmarkStart w:id="14" w:name="_Toc445828983"/>
      <w:r w:rsidRPr="00993F71">
        <w:t>Study Design</w:t>
      </w:r>
      <w:bookmarkEnd w:id="12"/>
      <w:bookmarkEnd w:id="13"/>
      <w:bookmarkEnd w:id="14"/>
    </w:p>
    <w:p w:rsidR="00CA0B3D" w:rsidRPr="00CA0B3D" w:rsidRDefault="00CA0B3D" w:rsidP="00CA0B3D">
      <w:pPr>
        <w:pStyle w:val="SAPText"/>
      </w:pPr>
      <w:proofErr w:type="gramStart"/>
      <w:r w:rsidRPr="00CA0B3D">
        <w:t>Randomised double-blind placebo-controlled parallel group trial</w:t>
      </w:r>
      <w:r>
        <w:t>.</w:t>
      </w:r>
      <w:proofErr w:type="gramEnd"/>
    </w:p>
    <w:p w:rsidR="00DA6A89" w:rsidRDefault="00DA6A89" w:rsidP="00993F71">
      <w:pPr>
        <w:pStyle w:val="SAPSection11"/>
      </w:pPr>
      <w:bookmarkStart w:id="15" w:name="_Toc310346136"/>
      <w:bookmarkStart w:id="16" w:name="_Toc445828984"/>
      <w:r w:rsidRPr="00993F71">
        <w:t>Sample Size and Power</w:t>
      </w:r>
      <w:bookmarkEnd w:id="15"/>
      <w:bookmarkEnd w:id="16"/>
    </w:p>
    <w:p w:rsidR="00925C95" w:rsidRDefault="00925C95" w:rsidP="00925C95">
      <w:pPr>
        <w:pStyle w:val="SAPSection111"/>
      </w:pPr>
      <w:bookmarkStart w:id="17" w:name="_Toc445828985"/>
      <w:r>
        <w:t>Initial sample size calculation</w:t>
      </w:r>
      <w:bookmarkEnd w:id="17"/>
    </w:p>
    <w:p w:rsidR="0056777C" w:rsidRDefault="00CA0B3D" w:rsidP="0056777C">
      <w:pPr>
        <w:pStyle w:val="SAPText"/>
      </w:pPr>
      <w:r>
        <w:t>To detect a hazard ratio (HR) of 0.75 would need 379 events in total for 80% power at the 5% level (2-tailed). It is likely that drop-ins/drop outs will reduce the intention-to-treat effect</w:t>
      </w:r>
      <w:r w:rsidR="00EB34E3">
        <w:t>. The drop-in and drop-out rates are each estimated to be less than 5% at 1 year and less than 10% at the end of the study.</w:t>
      </w:r>
      <w:r>
        <w:t xml:space="preserve"> </w:t>
      </w:r>
      <w:r w:rsidR="00EB34E3">
        <w:t>I</w:t>
      </w:r>
      <w:r>
        <w:t xml:space="preserve">f the treatment effect is attenuated to a HR of 0.79 then 565 events in total would give 80% power. With an average follow-up of 3 years, observations from a similar age and risk population give an expected cardiovascular event rate of around 21%. 3000 subjects (1500 </w:t>
      </w:r>
      <w:proofErr w:type="spellStart"/>
      <w:r>
        <w:t>Levothyroxine</w:t>
      </w:r>
      <w:proofErr w:type="spellEnd"/>
      <w:r>
        <w:t xml:space="preserve">, 1500 placebo) </w:t>
      </w:r>
      <w:r w:rsidR="00850DAE">
        <w:t>would have to</w:t>
      </w:r>
      <w:r>
        <w:t xml:space="preserve"> be recruited.</w:t>
      </w:r>
    </w:p>
    <w:p w:rsidR="0056777C" w:rsidRDefault="00925C95" w:rsidP="0056777C">
      <w:pPr>
        <w:pStyle w:val="SAPSection111"/>
      </w:pPr>
      <w:bookmarkStart w:id="18" w:name="_Toc445828986"/>
      <w:r>
        <w:t>Revised sample size calculation</w:t>
      </w:r>
      <w:bookmarkEnd w:id="18"/>
    </w:p>
    <w:p w:rsidR="0056777C" w:rsidRDefault="00925C95" w:rsidP="0056777C">
      <w:pPr>
        <w:pStyle w:val="SAPText"/>
      </w:pPr>
      <w:r w:rsidRPr="0056777C">
        <w:t>Given the projections for recruitment during the study,</w:t>
      </w:r>
      <w:r w:rsidR="00871E60" w:rsidRPr="0056777C">
        <w:t xml:space="preserve"> it became clear that it would not be possible to accrue the required number of events to achieve the above power.</w:t>
      </w:r>
      <w:r w:rsidRPr="0056777C">
        <w:t xml:space="preserve"> </w:t>
      </w:r>
      <w:r w:rsidR="00871E60" w:rsidRPr="0056777C">
        <w:t>Event-free survival has therefore been dropped as a primary outcome and change in disease specific QOL (</w:t>
      </w:r>
      <w:proofErr w:type="spellStart"/>
      <w:r w:rsidR="00871E60" w:rsidRPr="0056777C">
        <w:t>ThyPRO</w:t>
      </w:r>
      <w:proofErr w:type="spellEnd"/>
      <w:r w:rsidR="00871E60" w:rsidRPr="0056777C">
        <w:t>) hypothyroid function and tiredness are now co-primary outcomes.</w:t>
      </w:r>
      <w:r w:rsidR="0056777C">
        <w:t xml:space="preserve"> </w:t>
      </w:r>
    </w:p>
    <w:p w:rsidR="0056777C" w:rsidRDefault="00871E60" w:rsidP="0056777C">
      <w:pPr>
        <w:pStyle w:val="SAPText"/>
      </w:pPr>
      <w:r w:rsidRPr="0056777C">
        <w:t>P</w:t>
      </w:r>
      <w:r w:rsidR="00925C95" w:rsidRPr="0056777C">
        <w:t xml:space="preserve">ower calculations </w:t>
      </w:r>
      <w:r w:rsidRPr="0056777C">
        <w:t>were</w:t>
      </w:r>
      <w:r w:rsidR="00925C95" w:rsidRPr="0056777C">
        <w:t xml:space="preserve"> revised for total recruitment numbers of 540 and 750, and with mean follow-up of 18 mon</w:t>
      </w:r>
      <w:r w:rsidRPr="0056777C">
        <w:t>t</w:t>
      </w:r>
      <w:r w:rsidR="00925C95" w:rsidRPr="0056777C">
        <w:t>hs</w:t>
      </w:r>
      <w:r w:rsidRPr="0056777C">
        <w:t>. The global significance level is split</w:t>
      </w:r>
      <w:r w:rsidRPr="00871E60">
        <w:t xml:space="preserve"> equally between the two </w:t>
      </w:r>
      <w:r w:rsidR="0056777C">
        <w:t>co-</w:t>
      </w:r>
      <w:r w:rsidRPr="00871E60">
        <w:t>primary outcomes</w:t>
      </w:r>
      <w:r w:rsidR="0056777C">
        <w:t>. A</w:t>
      </w:r>
      <w:r w:rsidR="0056777C" w:rsidRPr="0056777C">
        <w:t xml:space="preserve"> 9 unit change is a realistic and clinically meaningful effect size.</w:t>
      </w:r>
    </w:p>
    <w:p w:rsidR="00850DAE" w:rsidRDefault="00850DAE" w:rsidP="0056777C">
      <w:pPr>
        <w:pStyle w:val="SAPText"/>
      </w:pPr>
      <w:r>
        <w:t>The addendum to the protocol v6.0 (page 60) states:</w:t>
      </w:r>
    </w:p>
    <w:p w:rsidR="00871E60" w:rsidRPr="00871E60" w:rsidRDefault="00850DAE" w:rsidP="0056777C">
      <w:pPr>
        <w:pStyle w:val="SAPText"/>
        <w:rPr>
          <w:lang w:val="en-US"/>
        </w:rPr>
      </w:pPr>
      <w:r>
        <w:lastRenderedPageBreak/>
        <w:t>“</w:t>
      </w:r>
      <w:r w:rsidR="00871E60">
        <w:t>Observed</w:t>
      </w:r>
      <w:r w:rsidR="00871E60" w:rsidRPr="00871E60">
        <w:rPr>
          <w:lang w:val="en-US"/>
        </w:rPr>
        <w:t xml:space="preserve"> SDs for data at visit 5 (1-year) values adjusted for baseline are 13.3 and 18.3 (on 100-point (%) scales) for hypothyroid and tiredness scales respectively.</w:t>
      </w:r>
    </w:p>
    <w:p w:rsidR="00871E60" w:rsidRPr="00871E60" w:rsidRDefault="00871E60" w:rsidP="00871E60">
      <w:pPr>
        <w:pStyle w:val="SAPText"/>
        <w:rPr>
          <w:lang w:val="en-US"/>
        </w:rPr>
      </w:pPr>
      <w:r w:rsidRPr="00871E60">
        <w:rPr>
          <w:lang w:val="en-US"/>
        </w:rPr>
        <w:t xml:space="preserve">We will have 80% power to detect a </w:t>
      </w:r>
      <w:r w:rsidR="0056777C">
        <w:rPr>
          <w:lang w:val="en-US"/>
        </w:rPr>
        <w:t>change</w:t>
      </w:r>
      <w:r w:rsidRPr="00871E60">
        <w:rPr>
          <w:lang w:val="en-US"/>
        </w:rPr>
        <w:t xml:space="preserve"> with </w:t>
      </w:r>
      <w:proofErr w:type="spellStart"/>
      <w:r w:rsidRPr="00871E60">
        <w:rPr>
          <w:lang w:val="en-US"/>
        </w:rPr>
        <w:t>levothyroxine</w:t>
      </w:r>
      <w:proofErr w:type="spellEnd"/>
      <w:r w:rsidRPr="00871E60">
        <w:rPr>
          <w:lang w:val="en-US"/>
        </w:rPr>
        <w:t xml:space="preserve"> treatment of 3.5% (3.0%) on the hypothyroid scale with total sample sizes of 540 (750).</w:t>
      </w:r>
    </w:p>
    <w:p w:rsidR="00871E60" w:rsidRPr="00871E60" w:rsidRDefault="00871E60" w:rsidP="00871E60">
      <w:pPr>
        <w:pStyle w:val="SAPText"/>
        <w:rPr>
          <w:lang w:val="en-US"/>
        </w:rPr>
      </w:pPr>
      <w:r w:rsidRPr="00871E60">
        <w:rPr>
          <w:lang w:val="en-US"/>
        </w:rPr>
        <w:t xml:space="preserve">We will have 80% power to detect a </w:t>
      </w:r>
      <w:r w:rsidR="0056777C">
        <w:rPr>
          <w:lang w:val="en-US"/>
        </w:rPr>
        <w:t>change</w:t>
      </w:r>
      <w:r w:rsidRPr="00871E60">
        <w:rPr>
          <w:lang w:val="en-US"/>
        </w:rPr>
        <w:t xml:space="preserve"> of 4.9% (4.1%) on the tiredness scale with total sample sizes of 540 (750).</w:t>
      </w:r>
      <w:r w:rsidR="00850DAE">
        <w:rPr>
          <w:lang w:val="en-US"/>
        </w:rPr>
        <w:t>”</w:t>
      </w:r>
    </w:p>
    <w:p w:rsidR="00DA6A89" w:rsidRDefault="00DA6A89" w:rsidP="00993F71">
      <w:pPr>
        <w:pStyle w:val="SAPSection11"/>
      </w:pPr>
      <w:bookmarkStart w:id="19" w:name="_Ref75927657"/>
      <w:bookmarkStart w:id="20" w:name="_Toc168292809"/>
      <w:bookmarkStart w:id="21" w:name="_Toc310346137"/>
      <w:bookmarkStart w:id="22" w:name="_Toc445828987"/>
      <w:r w:rsidRPr="00993F71">
        <w:t>Study Population</w:t>
      </w:r>
      <w:bookmarkEnd w:id="19"/>
      <w:bookmarkEnd w:id="20"/>
      <w:bookmarkEnd w:id="21"/>
      <w:bookmarkEnd w:id="22"/>
    </w:p>
    <w:p w:rsidR="00CA0B3D" w:rsidRPr="00CA0B3D" w:rsidRDefault="009B5354" w:rsidP="00CA0B3D">
      <w:pPr>
        <w:pStyle w:val="SAPText"/>
      </w:pPr>
      <w:r w:rsidRPr="009B5354">
        <w:t>Potential subjects will be identified from clinical laboratory databases as having biochemical features consistent with SCH, (</w:t>
      </w:r>
      <w:r>
        <w:t>t</w:t>
      </w:r>
      <w:r w:rsidRPr="009B5354">
        <w:t xml:space="preserve">hyroid stimulating hormone [TSH] of </w:t>
      </w:r>
      <w:r w:rsidR="00392530" w:rsidRPr="00392530">
        <w:rPr>
          <w:u w:val="single"/>
        </w:rPr>
        <w:t>&gt;</w:t>
      </w:r>
      <w:r w:rsidRPr="009B5354">
        <w:t xml:space="preserve">4.6 and </w:t>
      </w:r>
      <w:r w:rsidR="00392530" w:rsidRPr="00392530">
        <w:rPr>
          <w:u w:val="single"/>
        </w:rPr>
        <w:t>&lt;</w:t>
      </w:r>
      <w:r w:rsidRPr="009B5354">
        <w:t xml:space="preserve">19.9 </w:t>
      </w:r>
      <w:proofErr w:type="spellStart"/>
      <w:r w:rsidRPr="009B5354">
        <w:t>mU</w:t>
      </w:r>
      <w:proofErr w:type="spellEnd"/>
      <w:r w:rsidRPr="009B5354">
        <w:t xml:space="preserve">/L plus free </w:t>
      </w:r>
      <w:proofErr w:type="spellStart"/>
      <w:r w:rsidRPr="009B5354">
        <w:t>thyroxine</w:t>
      </w:r>
      <w:proofErr w:type="spellEnd"/>
      <w:r w:rsidRPr="009B5354">
        <w:t xml:space="preserve"> levels within the laboratory reference range)</w:t>
      </w:r>
      <w:r>
        <w:t>.</w:t>
      </w:r>
    </w:p>
    <w:p w:rsidR="00DA6A89" w:rsidRDefault="00DA6A89" w:rsidP="00993F71">
      <w:pPr>
        <w:pStyle w:val="SAPSection111"/>
      </w:pPr>
      <w:bookmarkStart w:id="23" w:name="_Toc168292810"/>
      <w:bookmarkStart w:id="24" w:name="_Toc310346138"/>
      <w:bookmarkStart w:id="25" w:name="_Toc445828988"/>
      <w:r w:rsidRPr="00430E0D">
        <w:t>Inclusion Criteria</w:t>
      </w:r>
      <w:bookmarkEnd w:id="23"/>
      <w:bookmarkEnd w:id="24"/>
      <w:bookmarkEnd w:id="25"/>
    </w:p>
    <w:p w:rsidR="009B5354" w:rsidRPr="009B5354" w:rsidRDefault="009B5354" w:rsidP="009B5354">
      <w:pPr>
        <w:pStyle w:val="SAPText"/>
      </w:pPr>
      <w:r w:rsidRPr="009B5354">
        <w:t xml:space="preserve">Community-dwelling subjects aged </w:t>
      </w:r>
      <w:r w:rsidR="000B17F9">
        <w:rPr>
          <w:rFonts w:cs="Tahoma"/>
        </w:rPr>
        <w:t>≥</w:t>
      </w:r>
      <w:r w:rsidRPr="009B5354">
        <w:t>65 years with SCH, diagnosed on the basis of elevated TSH</w:t>
      </w:r>
      <w:r w:rsidR="0056777C">
        <w:t xml:space="preserve"> levels (</w:t>
      </w:r>
      <w:r w:rsidR="0056777C">
        <w:rPr>
          <w:rFonts w:cs="Tahoma"/>
        </w:rPr>
        <w:t xml:space="preserve">≥4.6 and ≤19.9 </w:t>
      </w:r>
      <w:proofErr w:type="spellStart"/>
      <w:r w:rsidR="0056777C">
        <w:rPr>
          <w:rFonts w:cs="Tahoma"/>
        </w:rPr>
        <w:t>mU</w:t>
      </w:r>
      <w:proofErr w:type="spellEnd"/>
      <w:r w:rsidR="0056777C">
        <w:rPr>
          <w:rFonts w:cs="Tahoma"/>
        </w:rPr>
        <w:t>/L)</w:t>
      </w:r>
      <w:r w:rsidRPr="009B5354">
        <w:t xml:space="preserve"> </w:t>
      </w:r>
      <w:r w:rsidR="0056777C">
        <w:t>and</w:t>
      </w:r>
      <w:r w:rsidRPr="009B5354">
        <w:t xml:space="preserve"> free </w:t>
      </w:r>
      <w:proofErr w:type="spellStart"/>
      <w:r w:rsidRPr="009B5354">
        <w:t>thyroxine</w:t>
      </w:r>
      <w:proofErr w:type="spellEnd"/>
      <w:r w:rsidR="004D1EC6">
        <w:t xml:space="preserve"> levels (fT4)</w:t>
      </w:r>
      <w:r w:rsidRPr="009B5354">
        <w:t xml:space="preserve"> within the laboratory reference range, measured on a minimum of two occasions at least 3 months apart</w:t>
      </w:r>
      <w:r w:rsidR="00DE7F0A">
        <w:t xml:space="preserve"> (in Switzerland there was a minor variation the main study protocol - </w:t>
      </w:r>
      <w:bookmarkStart w:id="26" w:name="_GoBack"/>
      <w:bookmarkEnd w:id="26"/>
      <w:r w:rsidR="00DE7F0A">
        <w:t>patients required only one measure of fT4 before recruitment)</w:t>
      </w:r>
      <w:r>
        <w:t>.</w:t>
      </w:r>
    </w:p>
    <w:p w:rsidR="00DA6A89" w:rsidRDefault="00DA6A89" w:rsidP="00993F71">
      <w:pPr>
        <w:pStyle w:val="SAPSection111"/>
      </w:pPr>
      <w:bookmarkStart w:id="27" w:name="_Toc168292811"/>
      <w:bookmarkStart w:id="28" w:name="_Ref169414058"/>
      <w:bookmarkStart w:id="29" w:name="_Toc310346139"/>
      <w:bookmarkStart w:id="30" w:name="_Toc445828989"/>
      <w:r w:rsidRPr="00430E0D">
        <w:t>Exclusion Criteria</w:t>
      </w:r>
      <w:bookmarkEnd w:id="27"/>
      <w:bookmarkEnd w:id="28"/>
      <w:bookmarkEnd w:id="29"/>
      <w:bookmarkEnd w:id="30"/>
    </w:p>
    <w:p w:rsidR="009B5354" w:rsidRDefault="009B5354" w:rsidP="009B5354">
      <w:pPr>
        <w:pStyle w:val="SAPText"/>
        <w:numPr>
          <w:ilvl w:val="0"/>
          <w:numId w:val="17"/>
        </w:numPr>
      </w:pPr>
      <w:r>
        <w:t xml:space="preserve">Subjects currently on (anti)thyroid drugs, </w:t>
      </w:r>
      <w:proofErr w:type="spellStart"/>
      <w:r>
        <w:t>amiodarone</w:t>
      </w:r>
      <w:proofErr w:type="spellEnd"/>
      <w:r>
        <w:t xml:space="preserve"> or lithium;</w:t>
      </w:r>
    </w:p>
    <w:p w:rsidR="009B5354" w:rsidRDefault="009B5354" w:rsidP="009B5354">
      <w:pPr>
        <w:pStyle w:val="SAPText"/>
        <w:numPr>
          <w:ilvl w:val="0"/>
          <w:numId w:val="17"/>
        </w:numPr>
        <w:spacing w:before="0"/>
        <w:ind w:left="714" w:hanging="357"/>
      </w:pPr>
      <w:r>
        <w:t>Recent thyroid surgery or radio-iodine;</w:t>
      </w:r>
    </w:p>
    <w:p w:rsidR="009B5354" w:rsidRDefault="009B5354" w:rsidP="009B5354">
      <w:pPr>
        <w:pStyle w:val="SAPText"/>
        <w:numPr>
          <w:ilvl w:val="0"/>
          <w:numId w:val="17"/>
        </w:numPr>
        <w:spacing w:before="0"/>
        <w:ind w:left="714" w:hanging="357"/>
      </w:pPr>
      <w:r>
        <w:t>Grade IV NYHA heart failure;</w:t>
      </w:r>
    </w:p>
    <w:p w:rsidR="009B5354" w:rsidRDefault="009B5354" w:rsidP="009B5354">
      <w:pPr>
        <w:pStyle w:val="SAPText"/>
        <w:numPr>
          <w:ilvl w:val="0"/>
          <w:numId w:val="17"/>
        </w:numPr>
        <w:spacing w:before="0"/>
        <w:ind w:left="714" w:hanging="357"/>
      </w:pPr>
      <w:r>
        <w:t>Prior clinical diagnosis of dementia;</w:t>
      </w:r>
    </w:p>
    <w:p w:rsidR="009B5354" w:rsidRDefault="009B5354" w:rsidP="009B5354">
      <w:pPr>
        <w:pStyle w:val="SAPText"/>
        <w:numPr>
          <w:ilvl w:val="0"/>
          <w:numId w:val="17"/>
        </w:numPr>
        <w:spacing w:before="0"/>
        <w:ind w:left="714" w:hanging="357"/>
      </w:pPr>
      <w:r>
        <w:t>Recent hospitalisation for major illness;</w:t>
      </w:r>
    </w:p>
    <w:p w:rsidR="009B5354" w:rsidRDefault="009B5354" w:rsidP="009B5354">
      <w:pPr>
        <w:pStyle w:val="SAPText"/>
        <w:numPr>
          <w:ilvl w:val="0"/>
          <w:numId w:val="17"/>
        </w:numPr>
        <w:spacing w:before="0"/>
        <w:ind w:left="714" w:hanging="357"/>
      </w:pPr>
      <w:r>
        <w:t>Recent acute coronary syndrome;</w:t>
      </w:r>
    </w:p>
    <w:p w:rsidR="009B5354" w:rsidRDefault="009B5354" w:rsidP="009B5354">
      <w:pPr>
        <w:pStyle w:val="SAPText"/>
        <w:numPr>
          <w:ilvl w:val="0"/>
          <w:numId w:val="17"/>
        </w:numPr>
        <w:spacing w:before="0"/>
        <w:ind w:left="714" w:hanging="357"/>
      </w:pPr>
      <w:r>
        <w:t xml:space="preserve">Acute </w:t>
      </w:r>
      <w:proofErr w:type="spellStart"/>
      <w:r>
        <w:t>myocarditis</w:t>
      </w:r>
      <w:proofErr w:type="spellEnd"/>
      <w:r>
        <w:t xml:space="preserve"> or acute </w:t>
      </w:r>
      <w:proofErr w:type="spellStart"/>
      <w:r>
        <w:t>pancarditis</w:t>
      </w:r>
      <w:proofErr w:type="spellEnd"/>
      <w:r>
        <w:t>;</w:t>
      </w:r>
    </w:p>
    <w:p w:rsidR="009B5354" w:rsidRDefault="009B5354" w:rsidP="009B5354">
      <w:pPr>
        <w:pStyle w:val="SAPText"/>
        <w:numPr>
          <w:ilvl w:val="0"/>
          <w:numId w:val="17"/>
        </w:numPr>
        <w:spacing w:before="0"/>
        <w:ind w:left="714" w:hanging="357"/>
      </w:pPr>
      <w:r>
        <w:t>Untreated adrenal insufficiency</w:t>
      </w:r>
      <w:r w:rsidR="0056777C">
        <w:t xml:space="preserve"> or adrenal disorder</w:t>
      </w:r>
      <w:r>
        <w:t>;</w:t>
      </w:r>
    </w:p>
    <w:p w:rsidR="009B5354" w:rsidRDefault="009B5354" w:rsidP="009B5354">
      <w:pPr>
        <w:pStyle w:val="SAPText"/>
        <w:numPr>
          <w:ilvl w:val="0"/>
          <w:numId w:val="17"/>
        </w:numPr>
        <w:spacing w:before="0"/>
        <w:ind w:left="714" w:hanging="357"/>
      </w:pPr>
      <w:r>
        <w:t>Terminal illness;</w:t>
      </w:r>
    </w:p>
    <w:p w:rsidR="009B5354" w:rsidRDefault="00772412" w:rsidP="009B5354">
      <w:pPr>
        <w:pStyle w:val="SAPText"/>
        <w:numPr>
          <w:ilvl w:val="0"/>
          <w:numId w:val="17"/>
        </w:numPr>
        <w:spacing w:before="0"/>
        <w:ind w:left="714" w:hanging="357"/>
      </w:pPr>
      <w:r>
        <w:t>Participant</w:t>
      </w:r>
      <w:r w:rsidR="009B5354">
        <w:t xml:space="preserve">s with rare hereditary problems of </w:t>
      </w:r>
      <w:proofErr w:type="spellStart"/>
      <w:r w:rsidR="009B5354">
        <w:t>galactose</w:t>
      </w:r>
      <w:proofErr w:type="spellEnd"/>
      <w:r w:rsidR="009B5354">
        <w:t xml:space="preserve"> intolerance, the Lapp lactase deficiency or glucose-</w:t>
      </w:r>
      <w:proofErr w:type="spellStart"/>
      <w:r w:rsidR="009B5354">
        <w:t>galactose</w:t>
      </w:r>
      <w:proofErr w:type="spellEnd"/>
      <w:r w:rsidR="009B5354">
        <w:t xml:space="preserve"> </w:t>
      </w:r>
      <w:proofErr w:type="spellStart"/>
      <w:r w:rsidR="009B5354">
        <w:t>malabsorption</w:t>
      </w:r>
      <w:proofErr w:type="spellEnd"/>
      <w:r w:rsidR="009B5354">
        <w:t>;</w:t>
      </w:r>
    </w:p>
    <w:p w:rsidR="009B5354" w:rsidRDefault="009B5354" w:rsidP="009B5354">
      <w:pPr>
        <w:pStyle w:val="SAPText"/>
        <w:numPr>
          <w:ilvl w:val="0"/>
          <w:numId w:val="17"/>
        </w:numPr>
        <w:spacing w:before="0"/>
        <w:ind w:left="714" w:hanging="357"/>
      </w:pPr>
      <w:r>
        <w:t>Subjects who are participating in ongoing RCTs of therapeutic interventions (including CTIMPs);</w:t>
      </w:r>
    </w:p>
    <w:p w:rsidR="009B5354" w:rsidRPr="009B5354" w:rsidRDefault="009B5354" w:rsidP="009B5354">
      <w:pPr>
        <w:pStyle w:val="SAPText"/>
        <w:numPr>
          <w:ilvl w:val="0"/>
          <w:numId w:val="17"/>
        </w:numPr>
        <w:spacing w:before="0"/>
        <w:ind w:left="714" w:hanging="357"/>
      </w:pPr>
      <w:r>
        <w:t>Plan to move out of the region in which the trial is being conducted within the next 2 years.</w:t>
      </w:r>
    </w:p>
    <w:p w:rsidR="00DA6A89" w:rsidRPr="00993F71" w:rsidRDefault="00DA6A89" w:rsidP="00993F71">
      <w:pPr>
        <w:pStyle w:val="SAPSection11"/>
      </w:pPr>
      <w:bookmarkStart w:id="31" w:name="_Ref75931727"/>
      <w:bookmarkStart w:id="32" w:name="_Toc168292822"/>
      <w:bookmarkStart w:id="33" w:name="_Toc310346140"/>
      <w:bookmarkStart w:id="34" w:name="_Toc445828990"/>
      <w:r w:rsidRPr="00993F71">
        <w:lastRenderedPageBreak/>
        <w:t>Statistical Analysis Plan (SAP)</w:t>
      </w:r>
      <w:bookmarkEnd w:id="31"/>
      <w:bookmarkEnd w:id="32"/>
      <w:bookmarkEnd w:id="33"/>
      <w:bookmarkEnd w:id="34"/>
    </w:p>
    <w:p w:rsidR="00DA6A89" w:rsidRPr="00430E0D" w:rsidRDefault="00DA6A89" w:rsidP="00993F71">
      <w:pPr>
        <w:pStyle w:val="SAPSection111"/>
      </w:pPr>
      <w:bookmarkStart w:id="35" w:name="_Toc168292823"/>
      <w:bookmarkStart w:id="36" w:name="_Toc310346141"/>
      <w:bookmarkStart w:id="37" w:name="_Toc445828991"/>
      <w:r w:rsidRPr="00430E0D">
        <w:t>SAP Objectives</w:t>
      </w:r>
      <w:bookmarkEnd w:id="35"/>
      <w:bookmarkEnd w:id="36"/>
      <w:bookmarkEnd w:id="37"/>
    </w:p>
    <w:p w:rsidR="00DA6A89" w:rsidRPr="00430E0D" w:rsidRDefault="00DA6A89" w:rsidP="00753A65">
      <w:pPr>
        <w:pStyle w:val="SAPText"/>
      </w:pPr>
      <w:r w:rsidRPr="00430E0D">
        <w:t xml:space="preserve">The objective of this SAP is to describe the statistical analyses to be carried out for the </w:t>
      </w:r>
      <w:r w:rsidR="00D06FDD">
        <w:t>Final Analysis</w:t>
      </w:r>
      <w:r w:rsidR="00753A65">
        <w:t xml:space="preserve"> of the TRUST </w:t>
      </w:r>
      <w:r w:rsidR="00D06FDD">
        <w:t>study</w:t>
      </w:r>
      <w:r w:rsidRPr="00430E0D">
        <w:t>.</w:t>
      </w:r>
    </w:p>
    <w:p w:rsidR="00DA6A89" w:rsidRDefault="00DA6A89" w:rsidP="00993F71">
      <w:pPr>
        <w:pStyle w:val="SAPSection111"/>
      </w:pPr>
      <w:bookmarkStart w:id="38" w:name="_Ref158615376"/>
      <w:bookmarkStart w:id="39" w:name="_Ref158696366"/>
      <w:bookmarkStart w:id="40" w:name="_Toc168292824"/>
      <w:bookmarkStart w:id="41" w:name="_Toc310346142"/>
      <w:bookmarkStart w:id="42" w:name="_Toc445828992"/>
      <w:r w:rsidRPr="00430E0D">
        <w:t>General Principles</w:t>
      </w:r>
      <w:bookmarkEnd w:id="38"/>
      <w:bookmarkEnd w:id="39"/>
      <w:bookmarkEnd w:id="40"/>
      <w:bookmarkEnd w:id="41"/>
      <w:bookmarkEnd w:id="42"/>
    </w:p>
    <w:p w:rsidR="009B70CF" w:rsidRDefault="00753A65" w:rsidP="00753A65">
      <w:pPr>
        <w:pStyle w:val="SAPText"/>
      </w:pPr>
      <w:r>
        <w:t xml:space="preserve">Data will be summarised </w:t>
      </w:r>
      <w:r w:rsidR="00A20B1D">
        <w:t>overall and by treatment group.</w:t>
      </w:r>
      <w:r w:rsidR="009B70CF">
        <w:t xml:space="preserve"> Continuous variables will be summarised as </w:t>
      </w:r>
      <w:r w:rsidR="00664C3A">
        <w:t xml:space="preserve">number of observed values, number of missing values, </w:t>
      </w:r>
      <w:r w:rsidR="009B70CF">
        <w:t xml:space="preserve">mean and standard deviation, median and </w:t>
      </w:r>
      <w:proofErr w:type="spellStart"/>
      <w:r w:rsidR="009B70CF">
        <w:t>interquartile</w:t>
      </w:r>
      <w:proofErr w:type="spellEnd"/>
      <w:r w:rsidR="009B70CF">
        <w:t xml:space="preserve"> range and minimum and maximum. Categorical data will be summarised as</w:t>
      </w:r>
      <w:r w:rsidR="00664C3A">
        <w:t xml:space="preserve"> number of observed values, number of missing values,</w:t>
      </w:r>
      <w:r w:rsidR="009B70CF">
        <w:t xml:space="preserve"> number and percentage in each category.</w:t>
      </w:r>
    </w:p>
    <w:p w:rsidR="006F28BF" w:rsidRDefault="0064335D" w:rsidP="00753A65">
      <w:pPr>
        <w:pStyle w:val="SAPText"/>
      </w:pPr>
      <w:r>
        <w:t>Recruitment</w:t>
      </w:r>
      <w:r w:rsidR="006F28BF">
        <w:t xml:space="preserve"> data will be presented by “study centre”</w:t>
      </w:r>
      <w:r w:rsidR="00D758C1">
        <w:t>,</w:t>
      </w:r>
      <w:r w:rsidR="006F28BF">
        <w:t xml:space="preserve"> </w:t>
      </w:r>
      <w:r w:rsidR="008249BD">
        <w:t xml:space="preserve">defined as </w:t>
      </w:r>
      <w:r w:rsidR="00772412">
        <w:t>participant</w:t>
      </w:r>
      <w:r w:rsidR="00C9064B">
        <w:t>s</w:t>
      </w:r>
      <w:r w:rsidR="00772412">
        <w:t xml:space="preserve"> </w:t>
      </w:r>
      <w:r w:rsidR="008249BD">
        <w:t xml:space="preserve">recruited in </w:t>
      </w:r>
      <w:r w:rsidR="006A2FF2">
        <w:t>(</w:t>
      </w:r>
      <w:proofErr w:type="spellStart"/>
      <w:r w:rsidR="006A2FF2">
        <w:t>i</w:t>
      </w:r>
      <w:proofErr w:type="spellEnd"/>
      <w:r w:rsidR="006A2FF2">
        <w:t xml:space="preserve">) </w:t>
      </w:r>
      <w:r w:rsidR="005A60F9">
        <w:t>Scotland</w:t>
      </w:r>
      <w:r w:rsidR="008249BD">
        <w:t xml:space="preserve">, </w:t>
      </w:r>
      <w:r w:rsidR="006A2FF2">
        <w:t xml:space="preserve">(ii) </w:t>
      </w:r>
      <w:r w:rsidR="005A60F9">
        <w:t>Netherlands</w:t>
      </w:r>
      <w:r w:rsidR="006A2FF2">
        <w:t>, (iii)</w:t>
      </w:r>
      <w:r w:rsidR="008249BD">
        <w:t xml:space="preserve"> </w:t>
      </w:r>
      <w:r w:rsidR="005A60F9">
        <w:t>Irel</w:t>
      </w:r>
      <w:r w:rsidR="007C4E10">
        <w:t>a</w:t>
      </w:r>
      <w:r w:rsidR="005A60F9">
        <w:t>nd</w:t>
      </w:r>
      <w:r w:rsidR="00C151B4">
        <w:t xml:space="preserve">, </w:t>
      </w:r>
      <w:proofErr w:type="gramStart"/>
      <w:r w:rsidR="00C151B4">
        <w:t xml:space="preserve">(iv) </w:t>
      </w:r>
      <w:r w:rsidR="005A60F9">
        <w:t>Switzerland</w:t>
      </w:r>
      <w:proofErr w:type="gramEnd"/>
      <w:r w:rsidR="00D06FDD">
        <w:t>.</w:t>
      </w:r>
    </w:p>
    <w:p w:rsidR="009B70CF" w:rsidRDefault="009B70CF" w:rsidP="00753A65">
      <w:pPr>
        <w:pStyle w:val="SAPText"/>
      </w:pPr>
      <w:r w:rsidRPr="009B70CF">
        <w:t>C</w:t>
      </w:r>
      <w:r w:rsidR="00B279FE">
        <w:t xml:space="preserve">ontinuous </w:t>
      </w:r>
      <w:r w:rsidR="007C4E10">
        <w:t xml:space="preserve">efficacy </w:t>
      </w:r>
      <w:r w:rsidR="00B279FE">
        <w:t>outcom</w:t>
      </w:r>
      <w:r w:rsidRPr="009B70CF">
        <w:t xml:space="preserve">es involving measurement at follow-up and baseline will be analysed </w:t>
      </w:r>
      <w:r w:rsidR="003161E9">
        <w:t xml:space="preserve">as change from baseline </w:t>
      </w:r>
      <w:r w:rsidRPr="009B70CF">
        <w:t xml:space="preserve">at each time point comparing treatment groups and adjusting for </w:t>
      </w:r>
      <w:r w:rsidR="00B279FE">
        <w:t>stratification variables</w:t>
      </w:r>
      <w:r w:rsidRPr="009B70CF">
        <w:t xml:space="preserve"> and baseline levels of the same variable using </w:t>
      </w:r>
      <w:r w:rsidR="008A3E2F">
        <w:t>linear regression</w:t>
      </w:r>
      <w:r w:rsidRPr="009B70CF">
        <w:t xml:space="preserve">. In addition, data </w:t>
      </w:r>
      <w:r w:rsidR="005A60F9">
        <w:t xml:space="preserve">items measured at more than one follow-up time </w:t>
      </w:r>
      <w:r w:rsidRPr="009B70CF">
        <w:t>will be analysed u</w:t>
      </w:r>
      <w:r w:rsidR="009F2744">
        <w:t>sing repeated measures regression analyses</w:t>
      </w:r>
      <w:r w:rsidRPr="009B70CF">
        <w:t xml:space="preserve"> and in terms of the final assessment for each participant.</w:t>
      </w:r>
    </w:p>
    <w:p w:rsidR="004D1EC6" w:rsidRDefault="00B279FE" w:rsidP="00753A65">
      <w:pPr>
        <w:pStyle w:val="SAPText"/>
      </w:pPr>
      <w:r>
        <w:t xml:space="preserve">Continuous </w:t>
      </w:r>
      <w:r w:rsidR="00C80CF7">
        <w:t xml:space="preserve">efficacy </w:t>
      </w:r>
      <w:r>
        <w:t>outcom</w:t>
      </w:r>
      <w:r w:rsidR="009F2744">
        <w:t xml:space="preserve">es measured at </w:t>
      </w:r>
      <w:r>
        <w:t xml:space="preserve">final </w:t>
      </w:r>
      <w:r w:rsidR="009F2744">
        <w:t xml:space="preserve">follow-up only </w:t>
      </w:r>
      <w:r>
        <w:t>will be compared between treatment groups using linear regression adjusti</w:t>
      </w:r>
      <w:r w:rsidR="004D1EC6">
        <w:t>ng for stratification variables.</w:t>
      </w:r>
    </w:p>
    <w:p w:rsidR="007C4E10" w:rsidRDefault="007C4E10" w:rsidP="00753A65">
      <w:pPr>
        <w:pStyle w:val="SAPText"/>
      </w:pPr>
      <w:r>
        <w:t>For all efficacy outcomes measured at baseline and final visit, additional</w:t>
      </w:r>
      <w:r w:rsidR="004F0BCE">
        <w:t xml:space="preserve"> exploratory</w:t>
      </w:r>
      <w:r>
        <w:t xml:space="preserve"> analyses that adjust for time from baseline to final visit will be carried out.</w:t>
      </w:r>
    </w:p>
    <w:p w:rsidR="004D1EC6" w:rsidRDefault="004D1EC6" w:rsidP="00753A65">
      <w:pPr>
        <w:pStyle w:val="SAPText"/>
      </w:pPr>
      <w:r>
        <w:t>Distribution</w:t>
      </w:r>
      <w:r w:rsidR="005A60F9">
        <w:t>s</w:t>
      </w:r>
      <w:r>
        <w:t xml:space="preserve"> of the residuals will be </w:t>
      </w:r>
      <w:r w:rsidR="005A60F9">
        <w:t xml:space="preserve">reviewed </w:t>
      </w:r>
      <w:r w:rsidR="00850DAE">
        <w:t xml:space="preserve">and will be </w:t>
      </w:r>
      <w:r w:rsidR="005A60F9">
        <w:t>taken into consideration in assessing whether or not additional analyses based on transformations should be carried out</w:t>
      </w:r>
      <w:r w:rsidR="00850DAE">
        <w:t>.</w:t>
      </w:r>
      <w:r w:rsidR="00850DAE" w:rsidDel="00850DAE">
        <w:t xml:space="preserve"> </w:t>
      </w:r>
    </w:p>
    <w:p w:rsidR="0064294D" w:rsidRDefault="000824F2" w:rsidP="00753A65">
      <w:pPr>
        <w:pStyle w:val="SAPText"/>
      </w:pPr>
      <w:r>
        <w:t xml:space="preserve">When calculating </w:t>
      </w:r>
      <w:proofErr w:type="spellStart"/>
      <w:r>
        <w:t>ThyPRO</w:t>
      </w:r>
      <w:proofErr w:type="spellEnd"/>
      <w:r>
        <w:t xml:space="preserve"> scores, </w:t>
      </w:r>
      <w:r w:rsidR="00EC622C">
        <w:t xml:space="preserve">valid raw total scores containing </w:t>
      </w:r>
      <w:r>
        <w:t xml:space="preserve">missing items will be </w:t>
      </w:r>
      <w:r w:rsidR="00EC622C">
        <w:t>scaled so that the maximum possible score is maintained.</w:t>
      </w:r>
    </w:p>
    <w:p w:rsidR="0064294D" w:rsidRDefault="0064294D" w:rsidP="00753A65">
      <w:pPr>
        <w:pStyle w:val="SAPText"/>
      </w:pPr>
      <w:r>
        <w:t>Analyses of haemoglobin levels will be further adjusted for the laboratory at which they were measured.</w:t>
      </w:r>
    </w:p>
    <w:p w:rsidR="009F2744" w:rsidRDefault="00B279FE" w:rsidP="00753A65">
      <w:pPr>
        <w:pStyle w:val="SAPText"/>
      </w:pPr>
      <w:r>
        <w:t>Time-to-event outcomes will be compared between groups using</w:t>
      </w:r>
      <w:r w:rsidR="005A60F9">
        <w:t xml:space="preserve"> Cox</w:t>
      </w:r>
      <w:r>
        <w:t xml:space="preserve"> proportional hazards regression</w:t>
      </w:r>
      <w:r w:rsidR="005A60F9">
        <w:t xml:space="preserve"> models</w:t>
      </w:r>
      <w:r>
        <w:t xml:space="preserve"> adjusting for stratification variables.</w:t>
      </w:r>
      <w:r w:rsidR="005A60F9">
        <w:t xml:space="preserve"> Time to event curves will be based on the Kaplan-Meier method.</w:t>
      </w:r>
    </w:p>
    <w:p w:rsidR="00B279FE" w:rsidRDefault="00B279FE" w:rsidP="00753A65">
      <w:pPr>
        <w:pStyle w:val="SAPText"/>
      </w:pPr>
      <w:r>
        <w:lastRenderedPageBreak/>
        <w:t>Stratification variables are</w:t>
      </w:r>
    </w:p>
    <w:p w:rsidR="00B279FE" w:rsidRDefault="00B279FE" w:rsidP="004A5BD4">
      <w:pPr>
        <w:pStyle w:val="SAPText"/>
        <w:numPr>
          <w:ilvl w:val="0"/>
          <w:numId w:val="32"/>
        </w:numPr>
      </w:pPr>
      <w:r>
        <w:t xml:space="preserve">Site </w:t>
      </w:r>
    </w:p>
    <w:p w:rsidR="00B279FE" w:rsidRDefault="00B279FE" w:rsidP="004A5BD4">
      <w:pPr>
        <w:pStyle w:val="SAPText"/>
        <w:numPr>
          <w:ilvl w:val="0"/>
          <w:numId w:val="32"/>
        </w:numPr>
        <w:spacing w:before="0"/>
      </w:pPr>
      <w:r>
        <w:t>Gender</w:t>
      </w:r>
    </w:p>
    <w:p w:rsidR="00B279FE" w:rsidRDefault="00B279FE" w:rsidP="004A5BD4">
      <w:pPr>
        <w:pStyle w:val="SAPText"/>
        <w:numPr>
          <w:ilvl w:val="0"/>
          <w:numId w:val="32"/>
        </w:numPr>
        <w:spacing w:before="0"/>
      </w:pPr>
      <w:r>
        <w:t xml:space="preserve">Starting dose of </w:t>
      </w:r>
      <w:proofErr w:type="spellStart"/>
      <w:r>
        <w:t>levothyroxine</w:t>
      </w:r>
      <w:proofErr w:type="spellEnd"/>
    </w:p>
    <w:p w:rsidR="005A437E" w:rsidRDefault="005A437E" w:rsidP="00753A65">
      <w:pPr>
        <w:pStyle w:val="SAPText"/>
      </w:pPr>
      <w:r w:rsidRPr="005A437E">
        <w:t xml:space="preserve">All efficacy analyses will be carried out on the intention to treat population. Safety analyses will be carried out on the </w:t>
      </w:r>
      <w:r w:rsidR="00C80CF7">
        <w:t>ITT</w:t>
      </w:r>
      <w:r w:rsidRPr="005A437E">
        <w:t xml:space="preserve"> population.</w:t>
      </w:r>
      <w:r w:rsidR="00A068D8">
        <w:t xml:space="preserve"> </w:t>
      </w:r>
      <w:r w:rsidR="00EC622C">
        <w:t xml:space="preserve">The main analyses will be modified ITT based on participants with data on the outcome of interest. These analyses will be supported with sensitivity analyses using mixed effects models and multiple </w:t>
      </w:r>
      <w:proofErr w:type="gramStart"/>
      <w:r w:rsidR="00EC622C">
        <w:t>imputation</w:t>
      </w:r>
      <w:proofErr w:type="gramEnd"/>
      <w:r w:rsidR="00EC622C">
        <w:t>.</w:t>
      </w:r>
      <w:r w:rsidRPr="005A437E">
        <w:t xml:space="preserve"> Primary analyses</w:t>
      </w:r>
      <w:r w:rsidR="00EC622C">
        <w:t xml:space="preserve"> and secondary</w:t>
      </w:r>
      <w:r w:rsidRPr="005A437E">
        <w:t xml:space="preserve"> will be repeated on the per protocol population</w:t>
      </w:r>
      <w:r w:rsidR="005A60F9">
        <w:t xml:space="preserve"> as exploratory analyses</w:t>
      </w:r>
      <w:r w:rsidRPr="005A437E">
        <w:t>.</w:t>
      </w:r>
    </w:p>
    <w:p w:rsidR="00B279FE" w:rsidRPr="00753A65" w:rsidRDefault="00B279FE" w:rsidP="00753A65">
      <w:pPr>
        <w:pStyle w:val="SAPText"/>
      </w:pPr>
      <w:r>
        <w:t>The</w:t>
      </w:r>
      <w:r w:rsidR="00850DAE">
        <w:t xml:space="preserve"> two-sided</w:t>
      </w:r>
      <w:r>
        <w:t xml:space="preserve"> significance level for</w:t>
      </w:r>
      <w:r w:rsidR="004D1EC6">
        <w:t xml:space="preserve"> each</w:t>
      </w:r>
      <w:r>
        <w:t xml:space="preserve"> primary outcome is 0.025.</w:t>
      </w:r>
      <w:r w:rsidR="005A60F9">
        <w:t xml:space="preserve"> </w:t>
      </w:r>
    </w:p>
    <w:p w:rsidR="00DA6A89" w:rsidRPr="00430E0D" w:rsidRDefault="00DA6A89" w:rsidP="00993F71">
      <w:pPr>
        <w:pStyle w:val="SAPSection111"/>
      </w:pPr>
      <w:bookmarkStart w:id="43" w:name="_Toc445828993"/>
      <w:bookmarkStart w:id="44" w:name="_Toc310346143"/>
      <w:bookmarkStart w:id="45" w:name="_Toc168292825"/>
      <w:r w:rsidRPr="00430E0D">
        <w:t>Current Protocol</w:t>
      </w:r>
      <w:bookmarkEnd w:id="43"/>
    </w:p>
    <w:p w:rsidR="00EA1C28" w:rsidRPr="00A24275" w:rsidRDefault="00EA1C28" w:rsidP="00DA6A89">
      <w:pPr>
        <w:pStyle w:val="SAPText"/>
        <w:rPr>
          <w:rFonts w:cs="Tahoma"/>
        </w:rPr>
      </w:pPr>
      <w:r w:rsidRPr="00A24275">
        <w:rPr>
          <w:rFonts w:cs="Tahoma"/>
        </w:rPr>
        <w:t>At the time of writing, t</w:t>
      </w:r>
      <w:r w:rsidR="00DA6A89" w:rsidRPr="00A24275">
        <w:rPr>
          <w:rFonts w:cs="Tahoma"/>
        </w:rPr>
        <w:t xml:space="preserve">he current protocol </w:t>
      </w:r>
      <w:r w:rsidRPr="00A24275">
        <w:rPr>
          <w:rFonts w:cs="Tahoma"/>
        </w:rPr>
        <w:t>for the TRUST study i</w:t>
      </w:r>
      <w:r w:rsidR="00753A65" w:rsidRPr="00A24275">
        <w:rPr>
          <w:rFonts w:cs="Tahoma"/>
        </w:rPr>
        <w:t xml:space="preserve">s version </w:t>
      </w:r>
      <w:r w:rsidR="00D06FDD">
        <w:rPr>
          <w:rFonts w:cs="Tahoma"/>
        </w:rPr>
        <w:t>6</w:t>
      </w:r>
      <w:r w:rsidR="00753A65" w:rsidRPr="00A24275">
        <w:rPr>
          <w:rFonts w:cs="Tahoma"/>
        </w:rPr>
        <w:t>.</w:t>
      </w:r>
      <w:r w:rsidR="00974366" w:rsidRPr="00A24275">
        <w:rPr>
          <w:rFonts w:cs="Tahoma"/>
        </w:rPr>
        <w:t>0</w:t>
      </w:r>
      <w:r w:rsidR="00DA6A89" w:rsidRPr="00A24275">
        <w:rPr>
          <w:rFonts w:cs="Tahoma"/>
        </w:rPr>
        <w:t xml:space="preserve">, dated </w:t>
      </w:r>
      <w:r w:rsidR="00D06FDD">
        <w:rPr>
          <w:rFonts w:cs="Tahoma"/>
        </w:rPr>
        <w:t>19</w:t>
      </w:r>
      <w:r w:rsidR="00753A65" w:rsidRPr="00A24275">
        <w:rPr>
          <w:rFonts w:cs="Tahoma"/>
        </w:rPr>
        <w:t>/0</w:t>
      </w:r>
      <w:r w:rsidR="00D06FDD">
        <w:rPr>
          <w:rFonts w:cs="Tahoma"/>
        </w:rPr>
        <w:t>1</w:t>
      </w:r>
      <w:r w:rsidR="00753A65" w:rsidRPr="00A24275">
        <w:rPr>
          <w:rFonts w:cs="Tahoma"/>
        </w:rPr>
        <w:t>/201</w:t>
      </w:r>
      <w:r w:rsidR="00D06FDD">
        <w:rPr>
          <w:rFonts w:cs="Tahoma"/>
        </w:rPr>
        <w:t>6</w:t>
      </w:r>
      <w:r w:rsidR="00753A65" w:rsidRPr="00A24275">
        <w:rPr>
          <w:rFonts w:cs="Tahoma"/>
        </w:rPr>
        <w:t>.</w:t>
      </w:r>
    </w:p>
    <w:p w:rsidR="00DA6A89" w:rsidRPr="00430E0D" w:rsidRDefault="00D06FDD" w:rsidP="00DA6A89">
      <w:pPr>
        <w:pStyle w:val="SAPText"/>
        <w:rPr>
          <w:rFonts w:cs="Tahoma"/>
        </w:rPr>
      </w:pPr>
      <w:r>
        <w:rPr>
          <w:rFonts w:cs="Tahoma"/>
        </w:rPr>
        <w:t>Future amendments to thi</w:t>
      </w:r>
      <w:r w:rsidR="00EA1C28">
        <w:rPr>
          <w:rFonts w:cs="Tahoma"/>
        </w:rPr>
        <w:t>s</w:t>
      </w:r>
      <w:r w:rsidR="00DA6A89" w:rsidRPr="00430E0D">
        <w:rPr>
          <w:rFonts w:cs="Tahoma"/>
        </w:rPr>
        <w:t xml:space="preserve"> protocol will be reviewed for their impact on this SAP, which will</w:t>
      </w:r>
      <w:r w:rsidR="00753A65">
        <w:rPr>
          <w:rFonts w:cs="Tahoma"/>
        </w:rPr>
        <w:t xml:space="preserve"> be updated only if necessary. </w:t>
      </w:r>
      <w:r w:rsidR="00DA6A89" w:rsidRPr="00430E0D">
        <w:rPr>
          <w:rFonts w:cs="Tahoma"/>
        </w:rPr>
        <w:t xml:space="preserve">If no changes are required to this SAP following future amendments to </w:t>
      </w:r>
      <w:r>
        <w:rPr>
          <w:rFonts w:cs="Tahoma"/>
        </w:rPr>
        <w:t>the</w:t>
      </w:r>
      <w:r w:rsidR="00EA1C28">
        <w:rPr>
          <w:rFonts w:cs="Tahoma"/>
        </w:rPr>
        <w:t xml:space="preserve"> </w:t>
      </w:r>
      <w:r w:rsidR="00DA6A89" w:rsidRPr="00430E0D">
        <w:rPr>
          <w:rFonts w:cs="Tahoma"/>
        </w:rPr>
        <w:t>study protocol, this will be documented as part of the Robertson Centre Change Impact Assessment processes.</w:t>
      </w:r>
    </w:p>
    <w:p w:rsidR="00DA6A89" w:rsidRDefault="00DA6A89" w:rsidP="00993F71">
      <w:pPr>
        <w:pStyle w:val="SAPSection111"/>
      </w:pPr>
      <w:bookmarkStart w:id="46" w:name="_Toc310346145"/>
      <w:bookmarkStart w:id="47" w:name="_Toc445828994"/>
      <w:bookmarkEnd w:id="44"/>
      <w:r w:rsidRPr="00430E0D">
        <w:t>Software</w:t>
      </w:r>
      <w:bookmarkEnd w:id="45"/>
      <w:bookmarkEnd w:id="46"/>
      <w:bookmarkEnd w:id="47"/>
    </w:p>
    <w:p w:rsidR="00753A65" w:rsidRPr="00753A65" w:rsidRDefault="00753A65" w:rsidP="00753A65">
      <w:pPr>
        <w:pStyle w:val="SAPText"/>
      </w:pPr>
      <w:r>
        <w:t>Analyses will be carried out using R for Wind</w:t>
      </w:r>
      <w:r w:rsidR="00EA1C28">
        <w:t>ows v3.0.</w:t>
      </w:r>
      <w:r w:rsidR="00D06FDD">
        <w:t>1</w:t>
      </w:r>
      <w:r w:rsidR="00EA1C28">
        <w:t>, SAS for Windows v9.3</w:t>
      </w:r>
      <w:r>
        <w:t>, or higher versions of the programs.</w:t>
      </w:r>
    </w:p>
    <w:p w:rsidR="00DA6A89" w:rsidRPr="00430E0D" w:rsidRDefault="00DA6A89" w:rsidP="00DA6A89">
      <w:pPr>
        <w:pStyle w:val="SAPSection1"/>
        <w:rPr>
          <w:rFonts w:cs="Tahoma"/>
        </w:rPr>
      </w:pPr>
      <w:bookmarkStart w:id="48" w:name="_Toc168292826"/>
      <w:bookmarkStart w:id="49" w:name="_Toc310346146"/>
      <w:bookmarkStart w:id="50" w:name="_Toc445828995"/>
      <w:r w:rsidRPr="00430E0D">
        <w:rPr>
          <w:rFonts w:cs="Tahoma"/>
        </w:rPr>
        <w:t>Analysis</w:t>
      </w:r>
      <w:bookmarkEnd w:id="48"/>
      <w:bookmarkEnd w:id="49"/>
      <w:bookmarkEnd w:id="50"/>
    </w:p>
    <w:p w:rsidR="00DA6A89" w:rsidRDefault="00DA6A89" w:rsidP="00993F71">
      <w:pPr>
        <w:pStyle w:val="SAPSection11"/>
      </w:pPr>
      <w:bookmarkStart w:id="51" w:name="_Toc102202663"/>
      <w:bookmarkStart w:id="52" w:name="_Toc102202664"/>
      <w:bookmarkStart w:id="53" w:name="_Toc168292827"/>
      <w:bookmarkStart w:id="54" w:name="_Ref169414373"/>
      <w:bookmarkStart w:id="55" w:name="_Toc310346147"/>
      <w:bookmarkStart w:id="56" w:name="_Toc445828996"/>
      <w:bookmarkStart w:id="57" w:name="_Ref113090480"/>
      <w:bookmarkEnd w:id="51"/>
      <w:bookmarkEnd w:id="52"/>
      <w:r w:rsidRPr="00993F71">
        <w:t>Study Populations</w:t>
      </w:r>
      <w:bookmarkEnd w:id="53"/>
      <w:bookmarkEnd w:id="54"/>
      <w:bookmarkEnd w:id="55"/>
      <w:bookmarkEnd w:id="56"/>
    </w:p>
    <w:p w:rsidR="00753A65" w:rsidRDefault="00D06FDD" w:rsidP="00753A65">
      <w:pPr>
        <w:pStyle w:val="SAPText"/>
      </w:pPr>
      <w:r>
        <w:t xml:space="preserve">The intention-to-treat (ITT) population consists of all </w:t>
      </w:r>
      <w:r w:rsidR="00772412">
        <w:t>participant</w:t>
      </w:r>
      <w:r>
        <w:t>s randomised</w:t>
      </w:r>
      <w:r w:rsidR="004F0BCE">
        <w:t xml:space="preserve"> excluding those randomised in error</w:t>
      </w:r>
      <w:r w:rsidR="00753A65">
        <w:t>.</w:t>
      </w:r>
    </w:p>
    <w:p w:rsidR="00EC622C" w:rsidRDefault="00EC622C" w:rsidP="00753A65">
      <w:pPr>
        <w:pStyle w:val="SAPText"/>
      </w:pPr>
      <w:r>
        <w:t xml:space="preserve">Modified ITT populations will include ITT participants who have data for the outcome of interest. For analyses at the 12 month visit to be valid, they must have been conducted at 12 months </w:t>
      </w:r>
      <w:r w:rsidRPr="00FC1704">
        <w:rPr>
          <w:rFonts w:cs="Tahoma"/>
        </w:rPr>
        <w:t>±</w:t>
      </w:r>
      <w:r>
        <w:t xml:space="preserve"> 31 days after randomisation.</w:t>
      </w:r>
    </w:p>
    <w:p w:rsidR="00FC1704" w:rsidRDefault="0000481B" w:rsidP="00753A65">
      <w:pPr>
        <w:pStyle w:val="SAPText"/>
      </w:pPr>
      <w:r>
        <w:t>P</w:t>
      </w:r>
      <w:r w:rsidR="00D06FDD">
        <w:t>er-protocol (PP) population</w:t>
      </w:r>
      <w:r>
        <w:t>s</w:t>
      </w:r>
      <w:r w:rsidR="00D06FDD">
        <w:t xml:space="preserve"> consists of all </w:t>
      </w:r>
      <w:r w:rsidR="00772412">
        <w:t>participant</w:t>
      </w:r>
      <w:r w:rsidR="00D06FDD">
        <w:t xml:space="preserve">s in the ITT population who </w:t>
      </w:r>
    </w:p>
    <w:p w:rsidR="00FC1704" w:rsidRDefault="00FC1704" w:rsidP="005A7EB1">
      <w:pPr>
        <w:pStyle w:val="SAPText"/>
        <w:numPr>
          <w:ilvl w:val="0"/>
          <w:numId w:val="37"/>
        </w:numPr>
      </w:pPr>
      <w:r>
        <w:t>have data for the outcome variable</w:t>
      </w:r>
      <w:r w:rsidR="00EC622C">
        <w:t xml:space="preserve"> of interest</w:t>
      </w:r>
      <w:r>
        <w:t>;</w:t>
      </w:r>
    </w:p>
    <w:p w:rsidR="00FC1704" w:rsidRDefault="00573447" w:rsidP="005A7EB1">
      <w:pPr>
        <w:pStyle w:val="SAPText"/>
        <w:numPr>
          <w:ilvl w:val="0"/>
          <w:numId w:val="37"/>
        </w:numPr>
      </w:pPr>
      <w:r>
        <w:lastRenderedPageBreak/>
        <w:t xml:space="preserve">are on treatment at the time of the </w:t>
      </w:r>
      <w:r w:rsidR="007E0EF6">
        <w:t>a</w:t>
      </w:r>
      <w:r w:rsidR="00EC622C">
        <w:t>nalysis being conducted</w:t>
      </w:r>
      <w:r>
        <w:t>, i.e. they have not withdrawn from treatment and, if they are in the active treatment group, they have not been down-titrated to 0</w:t>
      </w:r>
      <w:r w:rsidR="00FC1704">
        <w:t>;</w:t>
      </w:r>
    </w:p>
    <w:p w:rsidR="00FC1704" w:rsidRDefault="00FC1704" w:rsidP="005A7EB1">
      <w:pPr>
        <w:pStyle w:val="SAPText"/>
        <w:numPr>
          <w:ilvl w:val="0"/>
          <w:numId w:val="37"/>
        </w:numPr>
      </w:pPr>
      <w:r>
        <w:t xml:space="preserve">have had their 12 month visit at 12 months </w:t>
      </w:r>
      <w:r w:rsidRPr="00FC1704">
        <w:rPr>
          <w:rFonts w:cs="Tahoma"/>
        </w:rPr>
        <w:t>±</w:t>
      </w:r>
      <w:r>
        <w:t xml:space="preserve"> 31 days after randomisation;</w:t>
      </w:r>
    </w:p>
    <w:p w:rsidR="00FC1704" w:rsidRDefault="00D06FDD" w:rsidP="005A7EB1">
      <w:pPr>
        <w:pStyle w:val="SAPText"/>
        <w:numPr>
          <w:ilvl w:val="0"/>
          <w:numId w:val="37"/>
        </w:numPr>
      </w:pPr>
      <w:proofErr w:type="gramStart"/>
      <w:r>
        <w:t>do</w:t>
      </w:r>
      <w:proofErr w:type="gramEnd"/>
      <w:r>
        <w:t xml:space="preserve"> not have any </w:t>
      </w:r>
      <w:r w:rsidR="00FC1704">
        <w:t xml:space="preserve">other </w:t>
      </w:r>
      <w:r>
        <w:t>major protocol violation identified prior to database lock.</w:t>
      </w:r>
      <w:r w:rsidR="00664C3A">
        <w:t xml:space="preserve"> </w:t>
      </w:r>
    </w:p>
    <w:p w:rsidR="002C405D" w:rsidRDefault="00664C3A" w:rsidP="002C405D">
      <w:pPr>
        <w:pStyle w:val="SAPText"/>
      </w:pPr>
      <w:r>
        <w:t>Reasons for exclusion from PP population</w:t>
      </w:r>
      <w:r w:rsidR="00EC622C">
        <w:t>s</w:t>
      </w:r>
      <w:r>
        <w:t xml:space="preserve"> will be summarised</w:t>
      </w:r>
      <w:r w:rsidR="00EC622C">
        <w:t>.</w:t>
      </w:r>
      <w:bookmarkStart w:id="58" w:name="_Toc445828997"/>
      <w:bookmarkStart w:id="59" w:name="_Toc310346148"/>
      <w:bookmarkStart w:id="60" w:name="_Toc168292828"/>
    </w:p>
    <w:p w:rsidR="002C405D" w:rsidRDefault="002C405D" w:rsidP="002C405D">
      <w:pPr>
        <w:pStyle w:val="SAPText"/>
      </w:pPr>
    </w:p>
    <w:p w:rsidR="00BE41EB" w:rsidRDefault="00D93E65" w:rsidP="00772412">
      <w:pPr>
        <w:pStyle w:val="SAPSection11"/>
      </w:pPr>
      <w:r>
        <w:t xml:space="preserve">Study Status and </w:t>
      </w:r>
      <w:r w:rsidR="00BE41EB" w:rsidRPr="002C405D">
        <w:t>Consort diagram</w:t>
      </w:r>
    </w:p>
    <w:p w:rsidR="002C405D" w:rsidRDefault="002C405D" w:rsidP="002C405D">
      <w:pPr>
        <w:pStyle w:val="SAPText"/>
      </w:pPr>
      <w:r w:rsidRPr="00772412">
        <w:t>A study status table will be created describing th</w:t>
      </w:r>
      <w:r w:rsidR="00772412">
        <w:t>e</w:t>
      </w:r>
      <w:r w:rsidRPr="00772412">
        <w:t xml:space="preserve"> numbers consented and validly randomised</w:t>
      </w:r>
      <w:r>
        <w:t>, the numbers consented and not validly randomised with reasons.</w:t>
      </w:r>
    </w:p>
    <w:p w:rsidR="002C405D" w:rsidRPr="002C405D" w:rsidRDefault="002C405D" w:rsidP="002C405D">
      <w:pPr>
        <w:pStyle w:val="SAPText"/>
      </w:pPr>
      <w:r>
        <w:t>The table will contain the numbers who are dead, withdrawn from randomised treatment, who have withdrawn consent and are lost to follow-up</w:t>
      </w:r>
      <w:r w:rsidR="00772412">
        <w:t xml:space="preserve"> a</w:t>
      </w:r>
      <w:r>
        <w:t>t the 12 month visit at which the primary outcomes will be assessed</w:t>
      </w:r>
      <w:r w:rsidR="00772412">
        <w:t>, and at the end of the study.</w:t>
      </w:r>
    </w:p>
    <w:p w:rsidR="00772412" w:rsidRDefault="00772412" w:rsidP="00772412">
      <w:pPr>
        <w:pStyle w:val="SAPText"/>
      </w:pPr>
      <w:r>
        <w:t>The table will contain the numbers included in the main analysis of the primary outcome for both the ITT and PP populations.</w:t>
      </w:r>
    </w:p>
    <w:p w:rsidR="00772412" w:rsidRDefault="00772412" w:rsidP="00772412">
      <w:pPr>
        <w:pStyle w:val="SAPText"/>
      </w:pPr>
      <w:r>
        <w:t>This table will be used to create a CONSORT diagram for the trial.</w:t>
      </w:r>
    </w:p>
    <w:p w:rsidR="00753A65" w:rsidRDefault="00772412" w:rsidP="00993F71">
      <w:pPr>
        <w:pStyle w:val="SAPSection11"/>
      </w:pPr>
      <w:r>
        <w:t xml:space="preserve"> </w:t>
      </w:r>
      <w:r w:rsidR="00753A65">
        <w:t>Visit Attendance</w:t>
      </w:r>
      <w:bookmarkEnd w:id="58"/>
    </w:p>
    <w:p w:rsidR="00753A65" w:rsidRDefault="00DC70C7" w:rsidP="00753A65">
      <w:pPr>
        <w:pStyle w:val="SAPText"/>
      </w:pPr>
      <w:r>
        <w:t>For each visit,</w:t>
      </w:r>
      <w:r w:rsidR="00753A65">
        <w:t xml:space="preserve"> the number and percentage </w:t>
      </w:r>
      <w:proofErr w:type="gramStart"/>
      <w:r w:rsidR="00753A65">
        <w:t>who</w:t>
      </w:r>
      <w:proofErr w:type="gramEnd"/>
      <w:r w:rsidR="00753A65">
        <w:t xml:space="preserve"> attended the visit, missed the visit,</w:t>
      </w:r>
      <w:r w:rsidR="00000DE9">
        <w:t xml:space="preserve"> had completed the study before the visit,</w:t>
      </w:r>
      <w:r w:rsidR="00753A65">
        <w:t xml:space="preserve"> had withdrawn from follow-up or had died </w:t>
      </w:r>
      <w:r>
        <w:t xml:space="preserve">before the visit </w:t>
      </w:r>
      <w:r w:rsidR="00753A65">
        <w:t>will be reported</w:t>
      </w:r>
      <w:r w:rsidR="00752DB7">
        <w:t>.</w:t>
      </w:r>
      <w:r>
        <w:t xml:space="preserve"> A visit will be considered as attended if any </w:t>
      </w:r>
      <w:r w:rsidR="00FC1704">
        <w:t xml:space="preserve">measurement or </w:t>
      </w:r>
      <w:r w:rsidR="00772412">
        <w:t>participant</w:t>
      </w:r>
      <w:r w:rsidR="00FC1704">
        <w:t xml:space="preserve"> reported </w:t>
      </w:r>
      <w:r>
        <w:t xml:space="preserve">data for this visit </w:t>
      </w:r>
      <w:r w:rsidR="00FC1704">
        <w:t>are</w:t>
      </w:r>
      <w:r>
        <w:t xml:space="preserve"> available. A visit will be considered as missed if there </w:t>
      </w:r>
      <w:r w:rsidR="00000DE9">
        <w:t xml:space="preserve">are </w:t>
      </w:r>
      <w:r>
        <w:t xml:space="preserve">no data for this visit and the </w:t>
      </w:r>
      <w:r w:rsidR="00772412">
        <w:t>participant</w:t>
      </w:r>
      <w:r>
        <w:t xml:space="preserve"> has not died</w:t>
      </w:r>
      <w:r w:rsidR="00000DE9">
        <w:t>, not completed the study</w:t>
      </w:r>
      <w:r>
        <w:t xml:space="preserve"> and not withdrawn from follow-up. </w:t>
      </w:r>
    </w:p>
    <w:p w:rsidR="00DA6A89" w:rsidRDefault="00DA6A89" w:rsidP="00993F71">
      <w:pPr>
        <w:pStyle w:val="SAPSection11"/>
      </w:pPr>
      <w:bookmarkStart w:id="61" w:name="_Toc445828998"/>
      <w:r w:rsidRPr="00993F71">
        <w:t>Baseline Char</w:t>
      </w:r>
      <w:r w:rsidR="00753A65">
        <w:t>a</w:t>
      </w:r>
      <w:r w:rsidRPr="00993F71">
        <w:t>cteristics</w:t>
      </w:r>
      <w:bookmarkEnd w:id="59"/>
      <w:bookmarkEnd w:id="61"/>
    </w:p>
    <w:p w:rsidR="00753A65" w:rsidRDefault="000824F2" w:rsidP="00753A65">
      <w:pPr>
        <w:pStyle w:val="SAPText"/>
      </w:pPr>
      <w:r>
        <w:t>T</w:t>
      </w:r>
      <w:r w:rsidR="00CC28D5">
        <w:t>he following baseline characteristics</w:t>
      </w:r>
      <w:r w:rsidR="00A068D8">
        <w:t xml:space="preserve"> will be summarised overall and</w:t>
      </w:r>
      <w:r>
        <w:t xml:space="preserve"> by treatment group</w:t>
      </w:r>
      <w:r w:rsidR="00222DB1">
        <w:t xml:space="preserve"> (an additional tabulation will be created for ITT participants by inclusion/exclusion from the modified ITT an</w:t>
      </w:r>
      <w:r w:rsidR="00A068D8">
        <w:t>alysis for the primary outcome)</w:t>
      </w:r>
      <w:r w:rsidR="00CC28D5">
        <w:t>:</w:t>
      </w:r>
    </w:p>
    <w:p w:rsidR="00CC28D5" w:rsidRDefault="00A068D8" w:rsidP="00CC28D5">
      <w:pPr>
        <w:pStyle w:val="SAPText"/>
        <w:numPr>
          <w:ilvl w:val="0"/>
          <w:numId w:val="18"/>
        </w:numPr>
      </w:pPr>
      <w:r>
        <w:lastRenderedPageBreak/>
        <w:t>a</w:t>
      </w:r>
      <w:r w:rsidR="00CC28D5">
        <w:t>ge</w:t>
      </w:r>
      <w:r w:rsidR="00160AD6">
        <w:t xml:space="preserve"> (continuous and categorical as &lt;80 and </w:t>
      </w:r>
      <w:r w:rsidR="00160AD6">
        <w:rPr>
          <w:rFonts w:cs="Tahoma"/>
        </w:rPr>
        <w:t>≥</w:t>
      </w:r>
      <w:r w:rsidR="00160AD6">
        <w:t>80)</w:t>
      </w:r>
      <w:r w:rsidR="00DC70C7">
        <w:t xml:space="preserve">, </w:t>
      </w:r>
      <w:r w:rsidR="00CC28D5">
        <w:t>gender</w:t>
      </w:r>
      <w:r w:rsidR="00DC70C7">
        <w:t>, ethnicity</w:t>
      </w:r>
      <w:r w:rsidR="00C3264B">
        <w:t>, smoking history, alcohol consumption, living arrang</w:t>
      </w:r>
      <w:r w:rsidR="003161E9">
        <w:t>e</w:t>
      </w:r>
      <w:r w:rsidR="00C3264B">
        <w:t>ments, height</w:t>
      </w:r>
      <w:r w:rsidR="00CC28D5">
        <w:t>;</w:t>
      </w:r>
    </w:p>
    <w:p w:rsidR="00CC28D5" w:rsidRDefault="00CC28D5" w:rsidP="004A5BD4">
      <w:pPr>
        <w:pStyle w:val="SAPText"/>
        <w:numPr>
          <w:ilvl w:val="0"/>
          <w:numId w:val="18"/>
        </w:numPr>
        <w:spacing w:before="120"/>
        <w:ind w:left="714" w:hanging="357"/>
      </w:pPr>
      <w:r>
        <w:t>cardiovascular risk factors</w:t>
      </w:r>
      <w:r w:rsidR="00305408">
        <w:t xml:space="preserve"> (MI, angina, stroke,</w:t>
      </w:r>
      <w:r w:rsidR="00507454">
        <w:t xml:space="preserve"> TIA, heart failure, PVD, revascularisation, AF, hypertension, diabetes</w:t>
      </w:r>
      <w:r w:rsidR="00305408">
        <w:t>)</w:t>
      </w:r>
      <w:r>
        <w:t>;</w:t>
      </w:r>
    </w:p>
    <w:p w:rsidR="00CC28D5" w:rsidRDefault="00CC28D5" w:rsidP="004A5BD4">
      <w:pPr>
        <w:pStyle w:val="SAPText"/>
        <w:numPr>
          <w:ilvl w:val="0"/>
          <w:numId w:val="18"/>
        </w:numPr>
        <w:spacing w:before="120"/>
        <w:ind w:left="714" w:hanging="357"/>
      </w:pPr>
      <w:r>
        <w:t>medical history</w:t>
      </w:r>
      <w:r w:rsidR="00507454">
        <w:t xml:space="preserve"> (epilepsy, dementia, osteoporosis, hereditary </w:t>
      </w:r>
      <w:proofErr w:type="spellStart"/>
      <w:r w:rsidR="00507454">
        <w:t>galactose</w:t>
      </w:r>
      <w:proofErr w:type="spellEnd"/>
      <w:r w:rsidR="00507454">
        <w:t xml:space="preserve"> intolerance, other major illness)</w:t>
      </w:r>
      <w:r>
        <w:t>;</w:t>
      </w:r>
    </w:p>
    <w:p w:rsidR="00CC28D5" w:rsidRDefault="00CC28D5" w:rsidP="001E76CB">
      <w:pPr>
        <w:pStyle w:val="SAPText"/>
        <w:numPr>
          <w:ilvl w:val="0"/>
          <w:numId w:val="18"/>
        </w:numPr>
        <w:spacing w:before="120"/>
      </w:pPr>
      <w:r>
        <w:t>laboratory measures</w:t>
      </w:r>
      <w:r w:rsidR="001E76CB">
        <w:t>;</w:t>
      </w:r>
      <w:r w:rsidR="00507454">
        <w:t xml:space="preserve"> </w:t>
      </w:r>
      <w:r w:rsidR="001E76CB" w:rsidRPr="001E76CB">
        <w:t xml:space="preserve">TSH, fT4, </w:t>
      </w:r>
      <w:r w:rsidR="001E76CB">
        <w:t xml:space="preserve">and </w:t>
      </w:r>
      <w:r w:rsidR="001E76CB" w:rsidRPr="001E76CB">
        <w:t xml:space="preserve">haemoglobin </w:t>
      </w:r>
      <w:r w:rsidR="00160AD6">
        <w:t>at baseline</w:t>
      </w:r>
      <w:r>
        <w:t>;</w:t>
      </w:r>
    </w:p>
    <w:p w:rsidR="00C3264B" w:rsidRDefault="00A068D8" w:rsidP="004A5BD4">
      <w:pPr>
        <w:pStyle w:val="SAPText"/>
        <w:numPr>
          <w:ilvl w:val="0"/>
          <w:numId w:val="18"/>
        </w:numPr>
        <w:spacing w:before="120"/>
        <w:ind w:left="714" w:hanging="357"/>
      </w:pPr>
      <w:r>
        <w:t>s</w:t>
      </w:r>
      <w:r w:rsidR="00222DB1">
        <w:t xml:space="preserve">ingle lead </w:t>
      </w:r>
      <w:r w:rsidR="00C3264B">
        <w:t>ECG results</w:t>
      </w:r>
      <w:r w:rsidR="00CC0561">
        <w:t xml:space="preserve"> (heart rate, </w:t>
      </w:r>
      <w:r w:rsidR="00222DB1">
        <w:t>cardiac r</w:t>
      </w:r>
      <w:r>
        <w:t>h</w:t>
      </w:r>
      <w:r w:rsidR="00222DB1">
        <w:t>ythm</w:t>
      </w:r>
      <w:r w:rsidR="00CC0561">
        <w:t>)</w:t>
      </w:r>
      <w:r w:rsidR="00C3264B">
        <w:t>;</w:t>
      </w:r>
    </w:p>
    <w:p w:rsidR="00CC28D5" w:rsidRDefault="00CC28D5" w:rsidP="004A5BD4">
      <w:pPr>
        <w:pStyle w:val="SAPText"/>
        <w:numPr>
          <w:ilvl w:val="0"/>
          <w:numId w:val="18"/>
        </w:numPr>
        <w:spacing w:before="120"/>
        <w:ind w:left="714" w:hanging="357"/>
      </w:pPr>
      <w:proofErr w:type="gramStart"/>
      <w:r>
        <w:t>baseline</w:t>
      </w:r>
      <w:proofErr w:type="gramEnd"/>
      <w:r>
        <w:t xml:space="preserve"> values of outcome measures</w:t>
      </w:r>
      <w:r w:rsidR="00316B89">
        <w:t xml:space="preserve"> (see Section </w:t>
      </w:r>
      <w:r w:rsidR="00392530">
        <w:fldChar w:fldCharType="begin"/>
      </w:r>
      <w:r w:rsidR="00316B89">
        <w:instrText xml:space="preserve"> REF _Ref368469521 \r \h </w:instrText>
      </w:r>
      <w:r w:rsidR="00392530">
        <w:fldChar w:fldCharType="separate"/>
      </w:r>
      <w:r w:rsidR="00ED3149">
        <w:t>2.5.2</w:t>
      </w:r>
      <w:r w:rsidR="00392530">
        <w:fldChar w:fldCharType="end"/>
      </w:r>
      <w:r w:rsidR="003161E9">
        <w:t>.</w:t>
      </w:r>
      <w:r w:rsidR="00316B89">
        <w:t>)</w:t>
      </w:r>
      <w:r>
        <w:t>;</w:t>
      </w:r>
    </w:p>
    <w:p w:rsidR="00CC28D5" w:rsidRPr="00753A65" w:rsidRDefault="00CC28D5" w:rsidP="004A5BD4">
      <w:pPr>
        <w:pStyle w:val="SAPText"/>
        <w:numPr>
          <w:ilvl w:val="0"/>
          <w:numId w:val="18"/>
        </w:numPr>
        <w:spacing w:before="120"/>
        <w:ind w:left="714" w:hanging="357"/>
      </w:pPr>
      <w:r>
        <w:t>use of concomitant medications, using the WHO ATC classification system</w:t>
      </w:r>
      <w:r w:rsidR="00344CE7">
        <w:t xml:space="preserve"> level 1 and 2, ordered</w:t>
      </w:r>
      <w:r w:rsidR="00A068D8">
        <w:t xml:space="preserve"> by</w:t>
      </w:r>
      <w:r w:rsidR="00344CE7">
        <w:t xml:space="preserve"> </w:t>
      </w:r>
      <w:r w:rsidR="00222DB1">
        <w:t>ATC code</w:t>
      </w:r>
      <w:r>
        <w:t>.</w:t>
      </w:r>
    </w:p>
    <w:p w:rsidR="00DA6A89" w:rsidRDefault="00DA6A89" w:rsidP="00993F71">
      <w:pPr>
        <w:pStyle w:val="SAPSection11"/>
      </w:pPr>
      <w:bookmarkStart w:id="62" w:name="_Toc102202690"/>
      <w:bookmarkStart w:id="63" w:name="_Toc102202701"/>
      <w:bookmarkStart w:id="64" w:name="_Toc168292812"/>
      <w:bookmarkStart w:id="65" w:name="_Toc310346149"/>
      <w:bookmarkStart w:id="66" w:name="_Toc445828999"/>
      <w:bookmarkStart w:id="67" w:name="_Ref56330374"/>
      <w:bookmarkStart w:id="68" w:name="_Toc168292842"/>
      <w:bookmarkEnd w:id="57"/>
      <w:bookmarkEnd w:id="60"/>
      <w:bookmarkEnd w:id="62"/>
      <w:bookmarkEnd w:id="63"/>
      <w:r w:rsidRPr="00993F71">
        <w:t>Efficacy Outcomes</w:t>
      </w:r>
      <w:bookmarkEnd w:id="64"/>
      <w:bookmarkEnd w:id="65"/>
      <w:bookmarkEnd w:id="66"/>
      <w:r w:rsidR="00222DB1">
        <w:t xml:space="preserve"> at 12 months</w:t>
      </w:r>
    </w:p>
    <w:p w:rsidR="00DA6A89" w:rsidRDefault="00DA6A89" w:rsidP="00993F71">
      <w:pPr>
        <w:pStyle w:val="SAPSection111"/>
      </w:pPr>
      <w:bookmarkStart w:id="69" w:name="_Toc310346150"/>
      <w:bookmarkStart w:id="70" w:name="_Toc445829000"/>
      <w:bookmarkStart w:id="71" w:name="_Ref56330220"/>
      <w:bookmarkStart w:id="72" w:name="_Toc168292816"/>
      <w:r w:rsidRPr="00430E0D">
        <w:t>Primary Outcome</w:t>
      </w:r>
      <w:bookmarkEnd w:id="69"/>
      <w:bookmarkEnd w:id="70"/>
    </w:p>
    <w:p w:rsidR="00C3264B" w:rsidRDefault="006961BA" w:rsidP="008E1581">
      <w:pPr>
        <w:pStyle w:val="SAPText"/>
      </w:pPr>
      <w:bookmarkStart w:id="73" w:name="_Toc310346151"/>
      <w:bookmarkStart w:id="74" w:name="_Ref167852672"/>
      <w:bookmarkStart w:id="75" w:name="_Toc168292830"/>
      <w:r>
        <w:t>Disease-specific quality of life and symptom burden</w:t>
      </w:r>
      <w:r w:rsidR="0000481B">
        <w:t xml:space="preserve"> will be analysed as follows in the modified ITT</w:t>
      </w:r>
      <w:r w:rsidR="00A068D8">
        <w:t xml:space="preserve"> </w:t>
      </w:r>
      <w:r w:rsidR="0000481B">
        <w:t>(primary) and PP populations</w:t>
      </w:r>
      <w:r w:rsidR="00C3264B">
        <w:t>:</w:t>
      </w:r>
    </w:p>
    <w:p w:rsidR="00C3264B" w:rsidRDefault="008A3E2F" w:rsidP="00B279FE">
      <w:pPr>
        <w:pStyle w:val="SAPText"/>
        <w:numPr>
          <w:ilvl w:val="0"/>
          <w:numId w:val="29"/>
        </w:numPr>
      </w:pPr>
      <w:r>
        <w:t xml:space="preserve">Change from baseline in </w:t>
      </w:r>
      <w:proofErr w:type="spellStart"/>
      <w:r w:rsidR="006961BA">
        <w:t>ThyPRO</w:t>
      </w:r>
      <w:proofErr w:type="spellEnd"/>
      <w:r w:rsidR="006961BA">
        <w:t xml:space="preserve"> hypothyroid symptoms </w:t>
      </w:r>
      <w:r>
        <w:t>score</w:t>
      </w:r>
      <w:r w:rsidR="0043012D">
        <w:t>.</w:t>
      </w:r>
      <w:r w:rsidR="003F50B1">
        <w:br/>
        <w:t>This outcome will be analysed</w:t>
      </w:r>
      <w:r w:rsidR="00222DB1">
        <w:t xml:space="preserve"> in the modified ITT population</w:t>
      </w:r>
      <w:r w:rsidR="003F50B1">
        <w:t xml:space="preserve"> as</w:t>
      </w:r>
    </w:p>
    <w:p w:rsidR="003F50B1" w:rsidRDefault="00222DB1" w:rsidP="00A068D8">
      <w:pPr>
        <w:pStyle w:val="SAPText"/>
        <w:ind w:left="1440"/>
      </w:pPr>
      <w:r>
        <w:t>The estimated treatment effect (p-value and 95%CI) in a l</w:t>
      </w:r>
      <w:r w:rsidR="003F50B1">
        <w:t xml:space="preserve">inear regression model predicting change from baseline to 12 month visit in </w:t>
      </w:r>
      <w:proofErr w:type="spellStart"/>
      <w:r w:rsidR="003F50B1">
        <w:t>ThyPRO</w:t>
      </w:r>
      <w:proofErr w:type="spellEnd"/>
      <w:r w:rsidR="003F50B1">
        <w:t xml:space="preserve"> hypothyroid symptoms score</w:t>
      </w:r>
      <w:r>
        <w:t xml:space="preserve"> with the following covariates:</w:t>
      </w:r>
      <w:r w:rsidR="003F50B1">
        <w:t xml:space="preserve"> </w:t>
      </w:r>
      <w:r>
        <w:t>randomised</w:t>
      </w:r>
      <w:r w:rsidR="003F50B1">
        <w:t xml:space="preserve"> treatment, </w:t>
      </w:r>
      <w:proofErr w:type="spellStart"/>
      <w:r w:rsidR="003F50B1">
        <w:t>ThyPRO</w:t>
      </w:r>
      <w:proofErr w:type="spellEnd"/>
      <w:r w:rsidR="003F50B1">
        <w:t xml:space="preserve"> hypothyroid symptoms score at baseline and stratification variables.</w:t>
      </w:r>
    </w:p>
    <w:p w:rsidR="00DF064E" w:rsidRDefault="00DF064E" w:rsidP="00554740">
      <w:pPr>
        <w:pStyle w:val="SAPText"/>
        <w:ind w:left="1080"/>
      </w:pPr>
    </w:p>
    <w:p w:rsidR="003F50B1" w:rsidRDefault="008A3E2F" w:rsidP="000824F2">
      <w:pPr>
        <w:pStyle w:val="SAPText"/>
        <w:numPr>
          <w:ilvl w:val="0"/>
          <w:numId w:val="29"/>
        </w:numPr>
      </w:pPr>
      <w:r>
        <w:t xml:space="preserve">Change from baseline in </w:t>
      </w:r>
      <w:proofErr w:type="spellStart"/>
      <w:r w:rsidR="006961BA">
        <w:t>ThyPRO</w:t>
      </w:r>
      <w:proofErr w:type="spellEnd"/>
      <w:r w:rsidR="006961BA">
        <w:t xml:space="preserve"> fatigue </w:t>
      </w:r>
      <w:r>
        <w:t>score</w:t>
      </w:r>
      <w:r w:rsidR="0043012D">
        <w:t>. This outcome wil</w:t>
      </w:r>
      <w:r w:rsidR="000824F2">
        <w:t>l be analysed analogously.</w:t>
      </w:r>
    </w:p>
    <w:p w:rsidR="00207602" w:rsidRDefault="00207602" w:rsidP="000824F2">
      <w:pPr>
        <w:pStyle w:val="SAPText"/>
        <w:numPr>
          <w:ilvl w:val="0"/>
          <w:numId w:val="29"/>
        </w:numPr>
      </w:pPr>
      <w:r>
        <w:t xml:space="preserve">Statistical significance for each primary outcome requires P </w:t>
      </w:r>
      <w:r>
        <w:rPr>
          <w:rFonts w:cs="Tahoma"/>
        </w:rPr>
        <w:t>≤</w:t>
      </w:r>
      <w:r>
        <w:t xml:space="preserve"> 0.025.</w:t>
      </w:r>
    </w:p>
    <w:p w:rsidR="00FC2937" w:rsidRDefault="00FC2937" w:rsidP="00FC2937">
      <w:pPr>
        <w:pStyle w:val="SAPText"/>
      </w:pPr>
    </w:p>
    <w:p w:rsidR="0000481B" w:rsidRDefault="00DA6A89" w:rsidP="0000481B">
      <w:pPr>
        <w:pStyle w:val="SAPSection111"/>
      </w:pPr>
      <w:bookmarkStart w:id="76" w:name="_Ref368469521"/>
      <w:bookmarkStart w:id="77" w:name="_Ref368469522"/>
      <w:bookmarkStart w:id="78" w:name="_Toc445829001"/>
      <w:r w:rsidRPr="00430E0D">
        <w:t>Secondary Outcomes</w:t>
      </w:r>
      <w:bookmarkEnd w:id="73"/>
      <w:bookmarkEnd w:id="76"/>
      <w:bookmarkEnd w:id="77"/>
      <w:bookmarkEnd w:id="78"/>
    </w:p>
    <w:p w:rsidR="0000481B" w:rsidRPr="0000481B" w:rsidRDefault="0000481B" w:rsidP="00207602">
      <w:pPr>
        <w:pStyle w:val="SAPText"/>
      </w:pPr>
      <w:r>
        <w:t>The following secondary outcomes will be analysed at 12 months in the modified ITT</w:t>
      </w:r>
      <w:r w:rsidR="0017478B">
        <w:t xml:space="preserve"> </w:t>
      </w:r>
      <w:r>
        <w:t>(primary) and PP populations</w:t>
      </w:r>
    </w:p>
    <w:p w:rsidR="008A3E2F" w:rsidRDefault="009F2744" w:rsidP="00F01E91">
      <w:pPr>
        <w:pStyle w:val="SAPText"/>
        <w:numPr>
          <w:ilvl w:val="0"/>
          <w:numId w:val="30"/>
        </w:numPr>
        <w:spacing w:before="120"/>
        <w:ind w:left="709"/>
      </w:pPr>
      <w:r>
        <w:t xml:space="preserve">General </w:t>
      </w:r>
      <w:proofErr w:type="spellStart"/>
      <w:r>
        <w:t>QoL</w:t>
      </w:r>
      <w:proofErr w:type="spellEnd"/>
      <w:r>
        <w:t xml:space="preserve"> (EQ-5D)</w:t>
      </w:r>
    </w:p>
    <w:p w:rsidR="009F2744" w:rsidRDefault="009F2744" w:rsidP="00F01E91">
      <w:pPr>
        <w:pStyle w:val="SAPText"/>
        <w:numPr>
          <w:ilvl w:val="0"/>
          <w:numId w:val="30"/>
        </w:numPr>
        <w:spacing w:before="120"/>
        <w:ind w:left="709"/>
      </w:pPr>
      <w:r>
        <w:t>Handgrip strength</w:t>
      </w:r>
    </w:p>
    <w:p w:rsidR="009F2744" w:rsidRDefault="009F2744" w:rsidP="00F01E91">
      <w:pPr>
        <w:pStyle w:val="SAPText"/>
        <w:numPr>
          <w:ilvl w:val="0"/>
          <w:numId w:val="30"/>
        </w:numPr>
        <w:spacing w:before="120"/>
        <w:ind w:left="709"/>
      </w:pPr>
      <w:r>
        <w:t>Haemoglobin</w:t>
      </w:r>
    </w:p>
    <w:p w:rsidR="00162156" w:rsidRDefault="00162156" w:rsidP="00F01E91">
      <w:pPr>
        <w:pStyle w:val="SAPText"/>
        <w:numPr>
          <w:ilvl w:val="0"/>
          <w:numId w:val="30"/>
        </w:numPr>
        <w:spacing w:before="120"/>
        <w:ind w:left="709"/>
      </w:pPr>
      <w:r>
        <w:lastRenderedPageBreak/>
        <w:t>Blood pressure</w:t>
      </w:r>
    </w:p>
    <w:p w:rsidR="009F2744" w:rsidRDefault="009F2744" w:rsidP="00F01E91">
      <w:pPr>
        <w:pStyle w:val="SAPText"/>
        <w:numPr>
          <w:ilvl w:val="0"/>
          <w:numId w:val="30"/>
        </w:numPr>
        <w:spacing w:before="120"/>
        <w:ind w:left="709"/>
      </w:pPr>
      <w:r>
        <w:t>Weight</w:t>
      </w:r>
      <w:r w:rsidR="00A068D8">
        <w:t>, w</w:t>
      </w:r>
      <w:r>
        <w:t>aist circumference</w:t>
      </w:r>
      <w:r w:rsidR="00A068D8">
        <w:t xml:space="preserve"> and</w:t>
      </w:r>
      <w:r w:rsidR="0000481B">
        <w:t xml:space="preserve"> </w:t>
      </w:r>
      <w:r w:rsidR="00000DE9">
        <w:t>BMI</w:t>
      </w:r>
      <w:r w:rsidR="0000481B">
        <w:t>.</w:t>
      </w:r>
    </w:p>
    <w:p w:rsidR="00DF064E" w:rsidRDefault="00DF064E" w:rsidP="00207602">
      <w:pPr>
        <w:pStyle w:val="SAPText"/>
        <w:spacing w:before="120"/>
      </w:pPr>
    </w:p>
    <w:p w:rsidR="0000481B" w:rsidRDefault="0000481B" w:rsidP="00207602">
      <w:pPr>
        <w:pStyle w:val="SAPText"/>
        <w:spacing w:before="120"/>
      </w:pPr>
      <w:r>
        <w:t>These variables will be analysed as for the primary outcomes.</w:t>
      </w:r>
    </w:p>
    <w:p w:rsidR="00207602" w:rsidRDefault="00207602" w:rsidP="00207602">
      <w:pPr>
        <w:pStyle w:val="SAPText"/>
        <w:spacing w:before="120"/>
      </w:pPr>
    </w:p>
    <w:p w:rsidR="00207602" w:rsidRDefault="00207602" w:rsidP="00207602">
      <w:pPr>
        <w:pStyle w:val="SAPSection111"/>
      </w:pPr>
      <w:r>
        <w:t>Sensitivity analyses</w:t>
      </w:r>
    </w:p>
    <w:p w:rsidR="00207602" w:rsidRPr="00207602" w:rsidRDefault="00207602" w:rsidP="00207602">
      <w:pPr>
        <w:pStyle w:val="SAPText"/>
      </w:pPr>
      <w:r>
        <w:t>Sensitivity analysis for the modified ITT analyses for the primary and secondary outcomes at 12 months will be carried out using a) multiple imputation of missing values using a model containing age, sex, baseline TSH and any available outcome measurements recorded prior to 12 months and b) using mixed model repeated measures analysis.</w:t>
      </w:r>
    </w:p>
    <w:p w:rsidR="00DF064E" w:rsidRDefault="00685CCF" w:rsidP="00685CCF">
      <w:pPr>
        <w:pStyle w:val="SAPSection111"/>
      </w:pPr>
      <w:r>
        <w:t>Subgroup analyses</w:t>
      </w:r>
    </w:p>
    <w:p w:rsidR="00685CCF" w:rsidRDefault="00207602" w:rsidP="00685CCF">
      <w:pPr>
        <w:pStyle w:val="SAPText"/>
      </w:pPr>
      <w:r>
        <w:t>The p</w:t>
      </w:r>
      <w:r w:rsidR="00685CCF">
        <w:t>rimary and secondary outcomes</w:t>
      </w:r>
      <w:r>
        <w:t xml:space="preserve"> at 12 months</w:t>
      </w:r>
      <w:r w:rsidR="00685CCF">
        <w:t xml:space="preserve"> will also be analysed in the following subgroups by adding the subgroup variable and its interaction with treatment group:</w:t>
      </w:r>
    </w:p>
    <w:p w:rsidR="00685CCF" w:rsidRDefault="00685CCF" w:rsidP="005A7EB1">
      <w:pPr>
        <w:pStyle w:val="SAPText"/>
        <w:numPr>
          <w:ilvl w:val="0"/>
          <w:numId w:val="38"/>
        </w:numPr>
      </w:pPr>
      <w:r>
        <w:t>Gender (Male/Female)</w:t>
      </w:r>
    </w:p>
    <w:p w:rsidR="00685CCF" w:rsidRDefault="00685CCF" w:rsidP="005A7EB1">
      <w:pPr>
        <w:pStyle w:val="SAPText"/>
        <w:numPr>
          <w:ilvl w:val="0"/>
          <w:numId w:val="38"/>
        </w:numPr>
      </w:pPr>
      <w:r>
        <w:t xml:space="preserve">Baseline TSH </w:t>
      </w:r>
    </w:p>
    <w:p w:rsidR="00685CCF" w:rsidRDefault="00685CCF" w:rsidP="00685CCF">
      <w:pPr>
        <w:pStyle w:val="SAPText"/>
        <w:numPr>
          <w:ilvl w:val="1"/>
          <w:numId w:val="34"/>
        </w:numPr>
      </w:pPr>
      <w:r>
        <w:t xml:space="preserve">&lt;10 / </w:t>
      </w:r>
      <w:r>
        <w:rPr>
          <w:rFonts w:cs="Tahoma"/>
        </w:rPr>
        <w:t>≥</w:t>
      </w:r>
      <w:r>
        <w:t>10</w:t>
      </w:r>
    </w:p>
    <w:p w:rsidR="00685CCF" w:rsidRDefault="00685CCF" w:rsidP="00685CCF">
      <w:pPr>
        <w:pStyle w:val="SAPText"/>
        <w:numPr>
          <w:ilvl w:val="1"/>
          <w:numId w:val="34"/>
        </w:numPr>
      </w:pPr>
      <w:r>
        <w:t xml:space="preserve">&lt;7 / 7-9.99 / </w:t>
      </w:r>
      <w:r>
        <w:rPr>
          <w:rFonts w:cs="Tahoma"/>
        </w:rPr>
        <w:t>≥</w:t>
      </w:r>
      <w:r>
        <w:t>10</w:t>
      </w:r>
    </w:p>
    <w:p w:rsidR="00685CCF" w:rsidRDefault="00685CCF" w:rsidP="00685CCF">
      <w:pPr>
        <w:pStyle w:val="SAPText"/>
      </w:pPr>
      <w:r>
        <w:t>In addition, continuous interactions with age at randomisation and baseline TSH will be analysed analogously.</w:t>
      </w:r>
    </w:p>
    <w:p w:rsidR="00207602" w:rsidRDefault="00D93E65" w:rsidP="0050797B">
      <w:pPr>
        <w:pStyle w:val="SAPSection11"/>
      </w:pPr>
      <w:r>
        <w:t>Efficacy outcomes at end of study</w:t>
      </w:r>
    </w:p>
    <w:p w:rsidR="008E487D" w:rsidRDefault="008E487D" w:rsidP="008E487D">
      <w:pPr>
        <w:pStyle w:val="SAPText"/>
      </w:pPr>
      <w:r>
        <w:t>The following measurements w</w:t>
      </w:r>
      <w:r w:rsidR="00C86C28">
        <w:t>ill be</w:t>
      </w:r>
      <w:r>
        <w:t xml:space="preserve"> assessed at baseline and the end of study visit:</w:t>
      </w:r>
    </w:p>
    <w:p w:rsidR="008E487D" w:rsidRPr="008E487D" w:rsidRDefault="008E487D" w:rsidP="008E487D">
      <w:pPr>
        <w:pStyle w:val="SAPText"/>
      </w:pPr>
    </w:p>
    <w:p w:rsidR="008E487D" w:rsidRDefault="008E487D" w:rsidP="008E487D">
      <w:pPr>
        <w:pStyle w:val="SAPText"/>
        <w:numPr>
          <w:ilvl w:val="0"/>
          <w:numId w:val="30"/>
        </w:numPr>
        <w:spacing w:before="120"/>
        <w:ind w:left="709"/>
      </w:pPr>
      <w:proofErr w:type="spellStart"/>
      <w:r>
        <w:t>ThyPRO</w:t>
      </w:r>
      <w:proofErr w:type="spellEnd"/>
      <w:r>
        <w:t xml:space="preserve"> hypothyroid symptoms and fatigue scores</w:t>
      </w:r>
    </w:p>
    <w:p w:rsidR="008E487D" w:rsidRDefault="008E487D" w:rsidP="008E487D">
      <w:pPr>
        <w:pStyle w:val="SAPText"/>
        <w:numPr>
          <w:ilvl w:val="0"/>
          <w:numId w:val="30"/>
        </w:numPr>
        <w:spacing w:before="120"/>
        <w:ind w:left="709"/>
      </w:pPr>
      <w:r>
        <w:t xml:space="preserve">General </w:t>
      </w:r>
      <w:proofErr w:type="spellStart"/>
      <w:r>
        <w:t>QoL</w:t>
      </w:r>
      <w:proofErr w:type="spellEnd"/>
      <w:r>
        <w:t xml:space="preserve"> (EQ-5D)</w:t>
      </w:r>
    </w:p>
    <w:p w:rsidR="008E487D" w:rsidRDefault="008E487D" w:rsidP="008E487D">
      <w:pPr>
        <w:pStyle w:val="SAPText"/>
        <w:numPr>
          <w:ilvl w:val="0"/>
          <w:numId w:val="30"/>
        </w:numPr>
        <w:spacing w:before="120"/>
        <w:ind w:left="709"/>
      </w:pPr>
      <w:r>
        <w:t>Handgrip strength</w:t>
      </w:r>
    </w:p>
    <w:p w:rsidR="008E487D" w:rsidRDefault="008E487D" w:rsidP="008E487D">
      <w:pPr>
        <w:pStyle w:val="SAPText"/>
        <w:numPr>
          <w:ilvl w:val="0"/>
          <w:numId w:val="30"/>
        </w:numPr>
        <w:spacing w:before="120"/>
        <w:ind w:left="709"/>
      </w:pPr>
      <w:r>
        <w:t xml:space="preserve">Cognitive function (letter digit coding test (LDCT), </w:t>
      </w:r>
    </w:p>
    <w:p w:rsidR="008E487D" w:rsidRDefault="008E487D" w:rsidP="008E487D">
      <w:pPr>
        <w:pStyle w:val="SAPText"/>
        <w:numPr>
          <w:ilvl w:val="0"/>
          <w:numId w:val="30"/>
        </w:numPr>
        <w:spacing w:before="120"/>
        <w:ind w:left="709"/>
      </w:pPr>
      <w:r>
        <w:t>Functional ability (</w:t>
      </w:r>
      <w:proofErr w:type="spellStart"/>
      <w:r>
        <w:t>Barthel</w:t>
      </w:r>
      <w:proofErr w:type="spellEnd"/>
      <w:r>
        <w:t xml:space="preserve"> index, IADL)</w:t>
      </w:r>
    </w:p>
    <w:p w:rsidR="008E487D" w:rsidRDefault="008E487D" w:rsidP="008E487D">
      <w:pPr>
        <w:pStyle w:val="SAPText"/>
        <w:numPr>
          <w:ilvl w:val="0"/>
          <w:numId w:val="30"/>
        </w:numPr>
        <w:spacing w:before="120"/>
        <w:ind w:left="709"/>
      </w:pPr>
      <w:r>
        <w:t>Haemoglobin</w:t>
      </w:r>
    </w:p>
    <w:p w:rsidR="008E487D" w:rsidRDefault="008E487D" w:rsidP="008E487D">
      <w:pPr>
        <w:pStyle w:val="SAPText"/>
        <w:numPr>
          <w:ilvl w:val="0"/>
          <w:numId w:val="30"/>
        </w:numPr>
        <w:spacing w:before="120"/>
        <w:ind w:left="709"/>
      </w:pPr>
      <w:r>
        <w:lastRenderedPageBreak/>
        <w:t>Blood pressure</w:t>
      </w:r>
    </w:p>
    <w:p w:rsidR="0017478B" w:rsidRDefault="008E487D" w:rsidP="005A7EB1">
      <w:pPr>
        <w:pStyle w:val="SAPText"/>
        <w:numPr>
          <w:ilvl w:val="0"/>
          <w:numId w:val="30"/>
        </w:numPr>
        <w:spacing w:before="120"/>
        <w:ind w:left="709"/>
      </w:pPr>
      <w:r>
        <w:t>Weight</w:t>
      </w:r>
      <w:r w:rsidR="005A7EB1">
        <w:t>,</w:t>
      </w:r>
      <w:r>
        <w:t xml:space="preserve"> waist circumference</w:t>
      </w:r>
      <w:r w:rsidR="005A7EB1">
        <w:t xml:space="preserve"> and</w:t>
      </w:r>
      <w:r w:rsidR="0017478B">
        <w:t xml:space="preserve"> BMI</w:t>
      </w:r>
    </w:p>
    <w:p w:rsidR="0017478B" w:rsidRDefault="0017478B" w:rsidP="0017478B">
      <w:pPr>
        <w:pStyle w:val="SAPText"/>
        <w:spacing w:before="120"/>
        <w:ind w:left="709"/>
      </w:pPr>
    </w:p>
    <w:p w:rsidR="0017478B" w:rsidRDefault="0017478B" w:rsidP="0017478B">
      <w:pPr>
        <w:pStyle w:val="SAPText"/>
        <w:spacing w:before="120"/>
      </w:pPr>
      <w:r>
        <w:t>These outcomes will be analyses as for the primary outcome. An additional sensitivity analysis will be carried out adjusting for the time from baseline to the measurement assessment.</w:t>
      </w:r>
    </w:p>
    <w:p w:rsidR="008E487D" w:rsidRDefault="008E487D" w:rsidP="00C86C28">
      <w:pPr>
        <w:pStyle w:val="SAPText"/>
        <w:spacing w:before="120"/>
      </w:pPr>
    </w:p>
    <w:p w:rsidR="008E487D" w:rsidRDefault="00C86C28" w:rsidP="0050797B">
      <w:pPr>
        <w:pStyle w:val="SAPText"/>
      </w:pPr>
      <w:r>
        <w:t>The following outcomes will be assessed at the end of study as described below:</w:t>
      </w:r>
    </w:p>
    <w:p w:rsidR="008E487D" w:rsidRDefault="008E487D" w:rsidP="0017478B">
      <w:pPr>
        <w:pStyle w:val="SAPText"/>
        <w:numPr>
          <w:ilvl w:val="0"/>
          <w:numId w:val="30"/>
        </w:numPr>
        <w:spacing w:before="120"/>
        <w:ind w:left="709"/>
      </w:pPr>
      <w:r>
        <w:t>Comprehensive thyroid quality of life assessment ThyPRO39</w:t>
      </w:r>
      <w:r w:rsidR="00C86C28">
        <w:t xml:space="preserve"> at the end of study visit</w:t>
      </w:r>
    </w:p>
    <w:p w:rsidR="00C86C28" w:rsidRDefault="00C86C28" w:rsidP="005A7EB1">
      <w:pPr>
        <w:pStyle w:val="SAPText"/>
        <w:ind w:left="1440"/>
      </w:pPr>
      <w:r>
        <w:t>The estimated treatment effect (p-value and 95%CI) in a linear regression model predicting end of study ThyPRO39 score with the following covariates: randomised treatment and stratification variables.</w:t>
      </w:r>
    </w:p>
    <w:p w:rsidR="00C86C28" w:rsidRDefault="00C86C28" w:rsidP="00C86C28">
      <w:pPr>
        <w:pStyle w:val="SAPText"/>
        <w:spacing w:before="120"/>
      </w:pPr>
    </w:p>
    <w:p w:rsidR="008E487D" w:rsidRDefault="008E487D" w:rsidP="008E487D">
      <w:pPr>
        <w:pStyle w:val="SAPText"/>
        <w:numPr>
          <w:ilvl w:val="0"/>
          <w:numId w:val="30"/>
        </w:numPr>
        <w:spacing w:before="120"/>
        <w:ind w:left="709"/>
      </w:pPr>
      <w:r>
        <w:t xml:space="preserve">Fatal and non-fatal </w:t>
      </w:r>
      <w:r w:rsidRPr="008A3E2F">
        <w:t>cardiovascular events</w:t>
      </w:r>
      <w:r>
        <w:t xml:space="preserve"> (confirmed by Endpoint Adjudication Committee)</w:t>
      </w:r>
    </w:p>
    <w:p w:rsidR="005A7EB1" w:rsidRDefault="005A7EB1" w:rsidP="00267AB1">
      <w:pPr>
        <w:pStyle w:val="SAPText"/>
        <w:spacing w:before="120"/>
        <w:ind w:left="1418"/>
      </w:pPr>
      <w:r>
        <w:t>The estimated treatment effect (p-value and 95%CI) in a Cox proportional hazards models containing randomised treatment group and stratification variables.</w:t>
      </w:r>
    </w:p>
    <w:p w:rsidR="00C86C28" w:rsidRDefault="008E487D" w:rsidP="0050797B">
      <w:pPr>
        <w:pStyle w:val="SAPText"/>
        <w:numPr>
          <w:ilvl w:val="0"/>
          <w:numId w:val="30"/>
        </w:numPr>
        <w:spacing w:before="120"/>
        <w:ind w:left="709"/>
      </w:pPr>
      <w:r>
        <w:t xml:space="preserve">Fatal </w:t>
      </w:r>
      <w:r w:rsidRPr="008A3E2F">
        <w:t>cardiovascular events</w:t>
      </w:r>
      <w:r>
        <w:t xml:space="preserve"> (confirmed by Endpoint Adjudication Committee)</w:t>
      </w:r>
      <w:r w:rsidR="005A7EB1">
        <w:t>. This outcome will be analysed analogously.</w:t>
      </w:r>
    </w:p>
    <w:p w:rsidR="0050797B" w:rsidRDefault="008E487D" w:rsidP="0050797B">
      <w:pPr>
        <w:pStyle w:val="SAPText"/>
        <w:numPr>
          <w:ilvl w:val="0"/>
          <w:numId w:val="30"/>
        </w:numPr>
        <w:spacing w:before="120"/>
        <w:ind w:left="709"/>
      </w:pPr>
      <w:r>
        <w:t>All-cause mortality</w:t>
      </w:r>
      <w:r w:rsidR="005A7EB1">
        <w:t>. This outcome will be analysed analogously.</w:t>
      </w:r>
    </w:p>
    <w:p w:rsidR="00D93E65" w:rsidRPr="00D93E65" w:rsidRDefault="00D93E65" w:rsidP="008E487D">
      <w:pPr>
        <w:pStyle w:val="SAPText"/>
      </w:pPr>
    </w:p>
    <w:p w:rsidR="0050797B" w:rsidRDefault="0050797B" w:rsidP="00993F71">
      <w:pPr>
        <w:pStyle w:val="SAPSection11"/>
      </w:pPr>
      <w:bookmarkStart w:id="79" w:name="_Toc310346153"/>
      <w:bookmarkStart w:id="80" w:name="_Toc445829002"/>
      <w:bookmarkEnd w:id="74"/>
      <w:bookmarkEnd w:id="75"/>
      <w:r>
        <w:t xml:space="preserve"> Efficacy Outcomes</w:t>
      </w:r>
      <w:r w:rsidR="00267AB1">
        <w:t xml:space="preserve"> at Other </w:t>
      </w:r>
      <w:proofErr w:type="spellStart"/>
      <w:r w:rsidR="00267AB1">
        <w:t>Timepoints</w:t>
      </w:r>
      <w:proofErr w:type="spellEnd"/>
    </w:p>
    <w:p w:rsidR="0050797B" w:rsidRDefault="0050797B" w:rsidP="0050797B">
      <w:pPr>
        <w:pStyle w:val="SAPText"/>
      </w:pPr>
      <w:r>
        <w:t xml:space="preserve">All outcomes assessed </w:t>
      </w:r>
      <w:r w:rsidR="00235344">
        <w:t>post randomisati</w:t>
      </w:r>
      <w:r>
        <w:t xml:space="preserve">on </w:t>
      </w:r>
      <w:r w:rsidR="00BD7538">
        <w:t xml:space="preserve">at </w:t>
      </w:r>
      <w:proofErr w:type="spellStart"/>
      <w:r>
        <w:t>timepoints</w:t>
      </w:r>
      <w:proofErr w:type="spellEnd"/>
      <w:r>
        <w:t xml:space="preserve"> other than baseline</w:t>
      </w:r>
      <w:r w:rsidR="00267AB1">
        <w:t>, 12 months</w:t>
      </w:r>
      <w:r>
        <w:t xml:space="preserve"> and end of study</w:t>
      </w:r>
      <w:r w:rsidR="00235344">
        <w:t xml:space="preserve"> will be investigated as change from baseline at these </w:t>
      </w:r>
      <w:proofErr w:type="spellStart"/>
      <w:r w:rsidR="00235344">
        <w:t>timepoints</w:t>
      </w:r>
      <w:proofErr w:type="spellEnd"/>
      <w:r w:rsidR="00235344">
        <w:t>, analysed as for the primary outcome.</w:t>
      </w:r>
    </w:p>
    <w:p w:rsidR="00235344" w:rsidRDefault="00235344" w:rsidP="0050797B">
      <w:pPr>
        <w:pStyle w:val="SAPText"/>
      </w:pPr>
      <w:r>
        <w:t>In addition, change from baseline for outcomes analysed at two or more post randomisation visits will be analysed using repeated measures ANOVA models with general covariance structures, first containing only treatment group, study visit, the baseline value of the outcome being assessed and stratification variables and then including a treatment by study visit interaction.</w:t>
      </w:r>
      <w:r w:rsidR="0064294D">
        <w:t xml:space="preserve"> </w:t>
      </w:r>
    </w:p>
    <w:p w:rsidR="0064294D" w:rsidRDefault="0064294D" w:rsidP="0050797B">
      <w:pPr>
        <w:pStyle w:val="SAPText"/>
      </w:pPr>
      <w:r>
        <w:lastRenderedPageBreak/>
        <w:t xml:space="preserve">Results at each time point and changes from baseline will also be presented graphically as </w:t>
      </w:r>
      <w:r w:rsidR="0064335D">
        <w:t xml:space="preserve">means and </w:t>
      </w:r>
      <w:r>
        <w:t>95% C</w:t>
      </w:r>
      <w:r w:rsidR="0064335D">
        <w:t>I</w:t>
      </w:r>
      <w:r>
        <w:t>s at each time point.</w:t>
      </w:r>
    </w:p>
    <w:p w:rsidR="00235344" w:rsidRDefault="00235344" w:rsidP="0050797B">
      <w:pPr>
        <w:pStyle w:val="SAPText"/>
      </w:pPr>
    </w:p>
    <w:p w:rsidR="0050797B" w:rsidRPr="0050797B" w:rsidRDefault="0050797B" w:rsidP="0050797B">
      <w:pPr>
        <w:pStyle w:val="SAPText"/>
      </w:pPr>
    </w:p>
    <w:p w:rsidR="00DA6A89" w:rsidRPr="00993F71" w:rsidRDefault="00DA6A89" w:rsidP="00993F71">
      <w:pPr>
        <w:pStyle w:val="SAPSection11"/>
      </w:pPr>
      <w:r w:rsidRPr="00993F71">
        <w:t>Safety Outcomes</w:t>
      </w:r>
      <w:bookmarkEnd w:id="71"/>
      <w:bookmarkEnd w:id="72"/>
      <w:bookmarkEnd w:id="79"/>
      <w:bookmarkEnd w:id="80"/>
    </w:p>
    <w:p w:rsidR="00DA6A89" w:rsidRDefault="001E083F" w:rsidP="00993F71">
      <w:pPr>
        <w:pStyle w:val="SAPSection111"/>
      </w:pPr>
      <w:bookmarkStart w:id="81" w:name="_Toc310346154"/>
      <w:bookmarkStart w:id="82" w:name="_Toc445829003"/>
      <w:r>
        <w:t xml:space="preserve">Study </w:t>
      </w:r>
      <w:r w:rsidR="00DA6A89" w:rsidRPr="00430E0D">
        <w:t>Treatment</w:t>
      </w:r>
      <w:bookmarkEnd w:id="81"/>
      <w:bookmarkEnd w:id="82"/>
    </w:p>
    <w:p w:rsidR="001E083F" w:rsidRDefault="003D4F99" w:rsidP="001E083F">
      <w:pPr>
        <w:pStyle w:val="SAPText"/>
      </w:pPr>
      <w:r>
        <w:t xml:space="preserve">Starting dose and dose </w:t>
      </w:r>
      <w:r w:rsidR="004B3589">
        <w:t>just before</w:t>
      </w:r>
      <w:r>
        <w:t xml:space="preserve"> 2, 12, 24, 36 month visits</w:t>
      </w:r>
      <w:r w:rsidR="00395655">
        <w:t>, current dose at final</w:t>
      </w:r>
      <w:r>
        <w:t xml:space="preserve"> visit</w:t>
      </w:r>
      <w:r w:rsidR="00395655">
        <w:t xml:space="preserve"> and dose at the end of the titration phase in year 1</w:t>
      </w:r>
      <w:r>
        <w:t xml:space="preserve"> will be summarised overall and by treatment group.</w:t>
      </w:r>
      <w:r w:rsidDel="003D4F99">
        <w:t xml:space="preserve"> </w:t>
      </w:r>
    </w:p>
    <w:p w:rsidR="007C706C" w:rsidRDefault="00235344" w:rsidP="001E083F">
      <w:pPr>
        <w:pStyle w:val="SAPText"/>
      </w:pPr>
      <w:r>
        <w:t>Time to permanent withdrawal from study treatment (excluding deaths) will presented using Kaplan-Meier time-to-event curves</w:t>
      </w:r>
      <w:r w:rsidR="00554740">
        <w:t xml:space="preserve"> and compared using log-rank statistics. Reasons for permanent withdrawal from study treatment will be tabulated overall and split by treatment group.</w:t>
      </w:r>
    </w:p>
    <w:p w:rsidR="00DA6A89" w:rsidRPr="00A71A74" w:rsidRDefault="00664C3A" w:rsidP="00A71A74">
      <w:pPr>
        <w:pStyle w:val="SAPSection111"/>
      </w:pPr>
      <w:r>
        <w:t>Withdrawals</w:t>
      </w:r>
      <w:r w:rsidR="00554740">
        <w:t xml:space="preserve"> from the study</w:t>
      </w:r>
    </w:p>
    <w:p w:rsidR="00A71A74" w:rsidRDefault="00A71A74" w:rsidP="00D87192">
      <w:pPr>
        <w:pStyle w:val="SAPText"/>
      </w:pPr>
      <w:r>
        <w:t>Numbers withdrawn from the study and the main reasons for withdrawal will be summarised overall and by treatment group. Kaplan-Meier plots for time to withdrawal will be produced.</w:t>
      </w:r>
    </w:p>
    <w:p w:rsidR="00A71A74" w:rsidRPr="00A71A74" w:rsidRDefault="00A71A74" w:rsidP="00A71A74">
      <w:pPr>
        <w:pStyle w:val="SAPSection111"/>
      </w:pPr>
      <w:r>
        <w:t>Serious adverse events</w:t>
      </w:r>
    </w:p>
    <w:p w:rsidR="001E083F" w:rsidRDefault="001E083F" w:rsidP="00D87192">
      <w:pPr>
        <w:pStyle w:val="SAPText"/>
      </w:pPr>
      <w:r>
        <w:t xml:space="preserve">The number and characteristics of SAEs will be summarised. The number and percentage of </w:t>
      </w:r>
      <w:r w:rsidR="00772412">
        <w:t>participant</w:t>
      </w:r>
      <w:r>
        <w:t xml:space="preserve">s experiencing at least one SAE will be summarised overall and by </w:t>
      </w:r>
      <w:proofErr w:type="spellStart"/>
      <w:r>
        <w:t>MedDRA</w:t>
      </w:r>
      <w:proofErr w:type="spellEnd"/>
      <w:r>
        <w:t xml:space="preserve"> System Organ </w:t>
      </w:r>
      <w:r w:rsidR="00554740">
        <w:t xml:space="preserve">Class and preferred term. </w:t>
      </w:r>
      <w:r>
        <w:t>These summaries will be repeated for SAEs at least possibly related to study medication, and for fatal events.</w:t>
      </w:r>
      <w:r w:rsidR="00BD702F">
        <w:t xml:space="preserve"> Tabulations will be sorted by the </w:t>
      </w:r>
      <w:proofErr w:type="spellStart"/>
      <w:r w:rsidR="00BD702F">
        <w:t>MedDRA</w:t>
      </w:r>
      <w:proofErr w:type="spellEnd"/>
      <w:r w:rsidR="00BD702F">
        <w:t xml:space="preserve"> SOC term order and by preferred term order with in SOCs.</w:t>
      </w:r>
    </w:p>
    <w:p w:rsidR="00D87192" w:rsidRDefault="00D87192" w:rsidP="00D87192">
      <w:pPr>
        <w:pStyle w:val="SAPText"/>
      </w:pPr>
      <w:r w:rsidRPr="00D87192">
        <w:t xml:space="preserve">The incidence </w:t>
      </w:r>
      <w:r w:rsidR="00554740">
        <w:t xml:space="preserve">of </w:t>
      </w:r>
      <w:r w:rsidRPr="00D87192">
        <w:t xml:space="preserve">other safety outcomes of particular interest (hypothyroidism, </w:t>
      </w:r>
      <w:proofErr w:type="spellStart"/>
      <w:r w:rsidRPr="00D87192">
        <w:t>atrial</w:t>
      </w:r>
      <w:proofErr w:type="spellEnd"/>
      <w:r w:rsidRPr="00D87192">
        <w:t xml:space="preserve"> fibrillation, heart failure, fractures), will be summarised</w:t>
      </w:r>
      <w:r w:rsidR="001E083F">
        <w:t xml:space="preserve"> separately</w:t>
      </w:r>
      <w:r w:rsidRPr="00D87192">
        <w:t>.</w:t>
      </w:r>
    </w:p>
    <w:p w:rsidR="008E1581" w:rsidRDefault="008E1581" w:rsidP="008E1581">
      <w:pPr>
        <w:pStyle w:val="SAPText"/>
      </w:pPr>
      <w:r>
        <w:t>Kaplan-Meier plots by treatment for the time to the first occurrence of each safety outcome of particular interest will be produced.</w:t>
      </w:r>
      <w:r w:rsidR="00DB3133">
        <w:t xml:space="preserve"> Time to event will be compared between groups using log-rank tests. If there are sufficient events, Cox proportional hazards regression adjusting for stratification variables will be used.</w:t>
      </w:r>
    </w:p>
    <w:p w:rsidR="008A4374" w:rsidRDefault="008A4374" w:rsidP="008A4374">
      <w:pPr>
        <w:pStyle w:val="SAPSection111"/>
      </w:pPr>
      <w:bookmarkStart w:id="83" w:name="_Toc445829005"/>
      <w:r>
        <w:t>Concomitant medications</w:t>
      </w:r>
    </w:p>
    <w:p w:rsidR="008A4374" w:rsidRPr="008A4374" w:rsidRDefault="006A3D09" w:rsidP="008A4374">
      <w:pPr>
        <w:pStyle w:val="SAPText"/>
      </w:pPr>
      <w:r>
        <w:t xml:space="preserve">The number and percentage of </w:t>
      </w:r>
      <w:r w:rsidR="00772412">
        <w:t>participant</w:t>
      </w:r>
      <w:r>
        <w:t>s receiving at least one concomitant medication will be summarised by ATC codes level 1 and 2</w:t>
      </w:r>
      <w:r w:rsidR="008A4374">
        <w:t>.</w:t>
      </w:r>
    </w:p>
    <w:p w:rsidR="00C3264B" w:rsidRDefault="00C3264B" w:rsidP="00C3264B">
      <w:pPr>
        <w:pStyle w:val="SAPSection111"/>
      </w:pPr>
      <w:r>
        <w:lastRenderedPageBreak/>
        <w:t>Other safety data</w:t>
      </w:r>
      <w:bookmarkEnd w:id="83"/>
    </w:p>
    <w:p w:rsidR="0000481B" w:rsidRDefault="00C3264B" w:rsidP="0000481B">
      <w:pPr>
        <w:pStyle w:val="SAPText"/>
        <w:numPr>
          <w:ilvl w:val="0"/>
          <w:numId w:val="31"/>
        </w:numPr>
        <w:spacing w:before="120"/>
      </w:pPr>
      <w:proofErr w:type="spellStart"/>
      <w:r>
        <w:t>ThyPRO</w:t>
      </w:r>
      <w:proofErr w:type="spellEnd"/>
      <w:r>
        <w:t xml:space="preserve"> hyperthyroid symptoms</w:t>
      </w:r>
      <w:r w:rsidR="008A4374">
        <w:t xml:space="preserve"> will be summarised at each time point, overall and by treatment group.</w:t>
      </w:r>
      <w:r w:rsidR="00A855CB">
        <w:t xml:space="preserve"> Change in </w:t>
      </w:r>
      <w:proofErr w:type="spellStart"/>
      <w:r w:rsidR="00A855CB">
        <w:t>ThyPRO</w:t>
      </w:r>
      <w:proofErr w:type="spellEnd"/>
      <w:r w:rsidR="00A855CB">
        <w:t xml:space="preserve"> hyperthyroid symptoms will be compared between treatment groups in the same way as the primary analysis.</w:t>
      </w:r>
    </w:p>
    <w:p w:rsidR="0000481B" w:rsidRPr="00D87192" w:rsidRDefault="0000481B" w:rsidP="0000481B">
      <w:pPr>
        <w:pStyle w:val="SAPText"/>
        <w:numPr>
          <w:ilvl w:val="0"/>
          <w:numId w:val="31"/>
        </w:numPr>
        <w:spacing w:before="120"/>
      </w:pPr>
      <w:r>
        <w:t>A listing of deaths will be provided.</w:t>
      </w:r>
    </w:p>
    <w:p w:rsidR="00DA6A89" w:rsidRDefault="00DA6A89" w:rsidP="00DA6A89">
      <w:pPr>
        <w:pStyle w:val="SAPSection1"/>
        <w:rPr>
          <w:rFonts w:cs="Tahoma"/>
        </w:rPr>
      </w:pPr>
      <w:bookmarkStart w:id="84" w:name="_Toc310346159"/>
      <w:bookmarkStart w:id="85" w:name="_Toc445829006"/>
      <w:r w:rsidRPr="00430E0D">
        <w:rPr>
          <w:rFonts w:cs="Tahoma"/>
        </w:rPr>
        <w:t>Document History</w:t>
      </w:r>
      <w:bookmarkEnd w:id="67"/>
      <w:bookmarkEnd w:id="68"/>
      <w:bookmarkEnd w:id="84"/>
      <w:bookmarkEnd w:id="85"/>
    </w:p>
    <w:p w:rsidR="00A106B4" w:rsidRDefault="003B4BA4" w:rsidP="00173612">
      <w:pPr>
        <w:pStyle w:val="SAPText"/>
      </w:pPr>
      <w:r>
        <w:t xml:space="preserve">This is version </w:t>
      </w:r>
      <w:r w:rsidR="00E75251">
        <w:t>1.</w:t>
      </w:r>
      <w:r w:rsidR="00173612">
        <w:t>0</w:t>
      </w:r>
      <w:r w:rsidR="001E083F">
        <w:t xml:space="preserve"> </w:t>
      </w:r>
      <w:r w:rsidR="00173612">
        <w:t xml:space="preserve">(initial creation) </w:t>
      </w:r>
      <w:r w:rsidR="001E083F">
        <w:t>of the SAP for the</w:t>
      </w:r>
      <w:r w:rsidR="00173612">
        <w:t xml:space="preserve"> final analysis for</w:t>
      </w:r>
      <w:r w:rsidR="001E083F">
        <w:t xml:space="preserve"> TRUST</w:t>
      </w:r>
      <w:r w:rsidR="00736A14">
        <w:t xml:space="preserve">, dated </w:t>
      </w:r>
      <w:r w:rsidR="006A3D09">
        <w:t>20</w:t>
      </w:r>
      <w:r w:rsidR="00173612">
        <w:t>/0</w:t>
      </w:r>
      <w:r w:rsidR="006A3D09">
        <w:t>5</w:t>
      </w:r>
      <w:r w:rsidR="00173612">
        <w:t>/2016.</w:t>
      </w:r>
    </w:p>
    <w:p w:rsidR="00DA6A89" w:rsidRDefault="00DA6A89" w:rsidP="00DA6A89">
      <w:pPr>
        <w:pStyle w:val="SAPSection1"/>
        <w:rPr>
          <w:rFonts w:cs="Tahoma"/>
        </w:rPr>
      </w:pPr>
      <w:bookmarkStart w:id="86" w:name="_Toc168292845"/>
      <w:bookmarkStart w:id="87" w:name="_Toc310346160"/>
      <w:bookmarkStart w:id="88" w:name="_Toc445829007"/>
      <w:r w:rsidRPr="00430E0D">
        <w:rPr>
          <w:rFonts w:cs="Tahoma"/>
        </w:rPr>
        <w:t>Tables</w:t>
      </w:r>
      <w:bookmarkEnd w:id="86"/>
      <w:bookmarkEnd w:id="87"/>
      <w:r w:rsidR="00736A14">
        <w:rPr>
          <w:rFonts w:cs="Tahoma"/>
        </w:rPr>
        <w:t xml:space="preserve"> and Figures</w:t>
      </w:r>
      <w:bookmarkEnd w:id="88"/>
    </w:p>
    <w:p w:rsidR="0002109B" w:rsidRPr="006D390E" w:rsidRDefault="006D390E" w:rsidP="006D390E">
      <w:pPr>
        <w:pStyle w:val="SAPText"/>
      </w:pPr>
      <w:r>
        <w:t>The layout of the tables</w:t>
      </w:r>
      <w:r w:rsidR="00736A14">
        <w:t xml:space="preserve"> and figures</w:t>
      </w:r>
      <w:r w:rsidR="00A71A74">
        <w:t xml:space="preserve"> will be finalised</w:t>
      </w:r>
      <w:r>
        <w:t xml:space="preserve"> based on tables created using dummy treatment codes prior to database lock.</w:t>
      </w:r>
      <w:bookmarkStart w:id="89" w:name="_Toc310346161"/>
    </w:p>
    <w:p w:rsidR="00DA6A89" w:rsidRPr="00430E0D" w:rsidRDefault="00DA6A89" w:rsidP="00DA6A89">
      <w:pPr>
        <w:pStyle w:val="SAPSection1"/>
        <w:rPr>
          <w:rFonts w:cs="Tahoma"/>
        </w:rPr>
      </w:pPr>
      <w:bookmarkStart w:id="90" w:name="_Toc310346162"/>
      <w:bookmarkStart w:id="91" w:name="_Toc445829008"/>
      <w:bookmarkEnd w:id="89"/>
      <w:r w:rsidRPr="00430E0D">
        <w:rPr>
          <w:rFonts w:cs="Tahoma"/>
        </w:rPr>
        <w:t>Listings</w:t>
      </w:r>
      <w:bookmarkEnd w:id="90"/>
      <w:bookmarkEnd w:id="91"/>
    </w:p>
    <w:p w:rsidR="008E487D" w:rsidRPr="008E487D" w:rsidRDefault="006D390E" w:rsidP="00222DB1">
      <w:pPr>
        <w:pStyle w:val="SAPText"/>
        <w:numPr>
          <w:ilvl w:val="0"/>
          <w:numId w:val="30"/>
        </w:numPr>
        <w:spacing w:before="120"/>
        <w:ind w:left="709"/>
      </w:pPr>
      <w:r w:rsidRPr="006D390E">
        <w:rPr>
          <w:rFonts w:cs="Tahoma"/>
        </w:rPr>
        <w:t>All SAEs will be listed.</w:t>
      </w:r>
      <w:r w:rsidR="000824F2">
        <w:rPr>
          <w:rFonts w:cs="Tahoma"/>
        </w:rPr>
        <w:t xml:space="preserve"> </w:t>
      </w:r>
    </w:p>
    <w:p w:rsidR="0000481B" w:rsidRPr="006D390E" w:rsidRDefault="0000481B" w:rsidP="00A71A74">
      <w:pPr>
        <w:pStyle w:val="SAPText"/>
        <w:spacing w:before="120"/>
        <w:ind w:left="709"/>
        <w:rPr>
          <w:rFonts w:cs="Tahoma"/>
        </w:rPr>
      </w:pPr>
    </w:p>
    <w:sectPr w:rsidR="0000481B" w:rsidRPr="006D390E" w:rsidSect="00E61A11">
      <w:headerReference w:type="default" r:id="rId8"/>
      <w:footerReference w:type="default" r:id="rId9"/>
      <w:pgSz w:w="11907" w:h="16840" w:code="9"/>
      <w:pgMar w:top="1440" w:right="1797" w:bottom="1440" w:left="1797"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397" w:rsidRDefault="00606397">
      <w:r>
        <w:separator/>
      </w:r>
    </w:p>
  </w:endnote>
  <w:endnote w:type="continuationSeparator" w:id="0">
    <w:p w:rsidR="00606397" w:rsidRDefault="006063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rPr>
      <w:id w:val="62710766"/>
      <w:docPartObj>
        <w:docPartGallery w:val="Page Numbers (Bottom of Page)"/>
        <w:docPartUnique/>
      </w:docPartObj>
    </w:sdtPr>
    <w:sdtContent>
      <w:sdt>
        <w:sdtPr>
          <w:rPr>
            <w:rFonts w:ascii="Tahoma" w:hAnsi="Tahoma" w:cs="Tahoma"/>
          </w:rPr>
          <w:id w:val="565050477"/>
          <w:docPartObj>
            <w:docPartGallery w:val="Page Numbers (Top of Page)"/>
            <w:docPartUnique/>
          </w:docPartObj>
        </w:sdtPr>
        <w:sdtContent>
          <w:p w:rsidR="00EC622C" w:rsidRDefault="00EC622C">
            <w:pPr>
              <w:pStyle w:val="Footer"/>
              <w:jc w:val="center"/>
              <w:rPr>
                <w:rFonts w:ascii="Tahoma" w:hAnsi="Tahoma" w:cs="Tahoma"/>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6062"/>
              <w:gridCol w:w="2467"/>
            </w:tblGrid>
            <w:tr w:rsidR="00EC622C" w:rsidTr="005971E6">
              <w:tc>
                <w:tcPr>
                  <w:tcW w:w="6062" w:type="dxa"/>
                </w:tcPr>
                <w:p w:rsidR="00EC622C" w:rsidRDefault="00EC622C" w:rsidP="00C80CF7">
                  <w:pPr>
                    <w:pStyle w:val="Footer"/>
                    <w:rPr>
                      <w:rFonts w:ascii="Tahoma" w:hAnsi="Tahoma" w:cs="Tahoma"/>
                    </w:rPr>
                  </w:pPr>
                  <w:r w:rsidRPr="00316B89">
                    <w:rPr>
                      <w:rFonts w:ascii="Tahoma" w:hAnsi="Tahoma" w:cs="Tahoma"/>
                    </w:rPr>
                    <w:t>TRUST</w:t>
                  </w:r>
                  <w:r>
                    <w:rPr>
                      <w:rFonts w:ascii="Tahoma" w:hAnsi="Tahoma" w:cs="Tahoma"/>
                    </w:rPr>
                    <w:t xml:space="preserve"> Statistical Analysis Plan v1.0 (20/05/2016)</w:t>
                  </w:r>
                </w:p>
              </w:tc>
              <w:tc>
                <w:tcPr>
                  <w:tcW w:w="2467" w:type="dxa"/>
                </w:tcPr>
                <w:p w:rsidR="00EC622C" w:rsidRDefault="00EC622C" w:rsidP="005971E6">
                  <w:pPr>
                    <w:pStyle w:val="Footer"/>
                    <w:jc w:val="right"/>
                    <w:rPr>
                      <w:rFonts w:ascii="Tahoma" w:hAnsi="Tahoma" w:cs="Tahoma"/>
                    </w:rPr>
                  </w:pPr>
                  <w:r w:rsidRPr="00316B89">
                    <w:rPr>
                      <w:rFonts w:ascii="Tahoma" w:hAnsi="Tahoma" w:cs="Tahoma"/>
                    </w:rPr>
                    <w:t xml:space="preserve">Page </w:t>
                  </w:r>
                  <w:r w:rsidR="00392530" w:rsidRPr="00316B89">
                    <w:rPr>
                      <w:rFonts w:ascii="Tahoma" w:hAnsi="Tahoma" w:cs="Tahoma"/>
                      <w:b/>
                      <w:sz w:val="24"/>
                      <w:szCs w:val="24"/>
                    </w:rPr>
                    <w:fldChar w:fldCharType="begin"/>
                  </w:r>
                  <w:r w:rsidRPr="00316B89">
                    <w:rPr>
                      <w:rFonts w:ascii="Tahoma" w:hAnsi="Tahoma" w:cs="Tahoma"/>
                      <w:b/>
                    </w:rPr>
                    <w:instrText xml:space="preserve"> PAGE </w:instrText>
                  </w:r>
                  <w:r w:rsidR="00392530" w:rsidRPr="00316B89">
                    <w:rPr>
                      <w:rFonts w:ascii="Tahoma" w:hAnsi="Tahoma" w:cs="Tahoma"/>
                      <w:b/>
                      <w:sz w:val="24"/>
                      <w:szCs w:val="24"/>
                    </w:rPr>
                    <w:fldChar w:fldCharType="separate"/>
                  </w:r>
                  <w:r w:rsidR="000C3B08">
                    <w:rPr>
                      <w:rFonts w:ascii="Tahoma" w:hAnsi="Tahoma" w:cs="Tahoma"/>
                      <w:b/>
                      <w:noProof/>
                    </w:rPr>
                    <w:t>5</w:t>
                  </w:r>
                  <w:r w:rsidR="00392530" w:rsidRPr="00316B89">
                    <w:rPr>
                      <w:rFonts w:ascii="Tahoma" w:hAnsi="Tahoma" w:cs="Tahoma"/>
                      <w:b/>
                      <w:sz w:val="24"/>
                      <w:szCs w:val="24"/>
                    </w:rPr>
                    <w:fldChar w:fldCharType="end"/>
                  </w:r>
                  <w:r w:rsidRPr="00316B89">
                    <w:rPr>
                      <w:rFonts w:ascii="Tahoma" w:hAnsi="Tahoma" w:cs="Tahoma"/>
                    </w:rPr>
                    <w:t xml:space="preserve"> of </w:t>
                  </w:r>
                  <w:r w:rsidR="00392530" w:rsidRPr="00316B89">
                    <w:rPr>
                      <w:rFonts w:ascii="Tahoma" w:hAnsi="Tahoma" w:cs="Tahoma"/>
                      <w:b/>
                      <w:sz w:val="24"/>
                      <w:szCs w:val="24"/>
                    </w:rPr>
                    <w:fldChar w:fldCharType="begin"/>
                  </w:r>
                  <w:r w:rsidRPr="00316B89">
                    <w:rPr>
                      <w:rFonts w:ascii="Tahoma" w:hAnsi="Tahoma" w:cs="Tahoma"/>
                      <w:b/>
                    </w:rPr>
                    <w:instrText xml:space="preserve"> NUMPAGES  </w:instrText>
                  </w:r>
                  <w:r w:rsidR="00392530" w:rsidRPr="00316B89">
                    <w:rPr>
                      <w:rFonts w:ascii="Tahoma" w:hAnsi="Tahoma" w:cs="Tahoma"/>
                      <w:b/>
                      <w:sz w:val="24"/>
                      <w:szCs w:val="24"/>
                    </w:rPr>
                    <w:fldChar w:fldCharType="separate"/>
                  </w:r>
                  <w:r w:rsidR="000C3B08">
                    <w:rPr>
                      <w:rFonts w:ascii="Tahoma" w:hAnsi="Tahoma" w:cs="Tahoma"/>
                      <w:b/>
                      <w:noProof/>
                    </w:rPr>
                    <w:t>12</w:t>
                  </w:r>
                  <w:r w:rsidR="00392530" w:rsidRPr="00316B89">
                    <w:rPr>
                      <w:rFonts w:ascii="Tahoma" w:hAnsi="Tahoma" w:cs="Tahoma"/>
                      <w:b/>
                      <w:sz w:val="24"/>
                      <w:szCs w:val="24"/>
                    </w:rPr>
                    <w:fldChar w:fldCharType="end"/>
                  </w:r>
                </w:p>
              </w:tc>
            </w:tr>
          </w:tbl>
          <w:p w:rsidR="00EC622C" w:rsidRDefault="00EC622C">
            <w:pPr>
              <w:pStyle w:val="Footer"/>
              <w:jc w:val="center"/>
              <w:rPr>
                <w:rFonts w:ascii="Tahoma" w:hAnsi="Tahoma" w:cs="Tahoma"/>
              </w:rPr>
            </w:pPr>
          </w:p>
          <w:p w:rsidR="00EC622C" w:rsidRPr="00316B89" w:rsidRDefault="00392530">
            <w:pPr>
              <w:pStyle w:val="Footer"/>
              <w:jc w:val="center"/>
              <w:rPr>
                <w:rFonts w:ascii="Tahoma" w:hAnsi="Tahoma" w:cs="Tahoma"/>
              </w:rPr>
            </w:pPr>
          </w:p>
        </w:sdtContent>
      </w:sdt>
    </w:sdtContent>
  </w:sdt>
  <w:p w:rsidR="00EC622C" w:rsidRDefault="00EC62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397" w:rsidRDefault="00606397">
      <w:r>
        <w:separator/>
      </w:r>
    </w:p>
  </w:footnote>
  <w:footnote w:type="continuationSeparator" w:id="0">
    <w:p w:rsidR="00606397" w:rsidRDefault="006063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417592"/>
      <w:docPartObj>
        <w:docPartGallery w:val="Watermarks"/>
        <w:docPartUnique/>
      </w:docPartObj>
    </w:sdtPr>
    <w:sdtContent>
      <w:p w:rsidR="00EC622C" w:rsidRDefault="00392530">
        <w:pPr>
          <w:pStyle w:val="Header"/>
        </w:pPr>
        <w:r w:rsidRPr="00392530">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638086" o:spid="_x0000_s2049" type="#_x0000_t136" style="position:absolute;margin-left:0;margin-top:0;width:410.2pt;height:175.8pt;rotation:315;z-index:-251658752;mso-position-horizontal:center;mso-position-horizontal-relative:margin;mso-position-vertical:center;mso-position-vertical-relative:margin" o:allowincell="f" fillcolor="silver" stroked="f">
              <v:fill opacity=".5"/>
              <v:textpath style="font-family:&quot;Calibri&quot;;font-size:1pt" string="DRAFT04"/>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32BF"/>
    <w:multiLevelType w:val="hybridMultilevel"/>
    <w:tmpl w:val="F18AD5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BC174B"/>
    <w:multiLevelType w:val="hybridMultilevel"/>
    <w:tmpl w:val="85F48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A2884"/>
    <w:multiLevelType w:val="hybridMultilevel"/>
    <w:tmpl w:val="F0E8B366"/>
    <w:lvl w:ilvl="0" w:tplc="BC9A0256">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343EC2"/>
    <w:multiLevelType w:val="hybridMultilevel"/>
    <w:tmpl w:val="B1E4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556B85"/>
    <w:multiLevelType w:val="hybridMultilevel"/>
    <w:tmpl w:val="1C347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174041"/>
    <w:multiLevelType w:val="hybridMultilevel"/>
    <w:tmpl w:val="622A5A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7D0793"/>
    <w:multiLevelType w:val="hybridMultilevel"/>
    <w:tmpl w:val="7522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C227C5D"/>
    <w:multiLevelType w:val="multilevel"/>
    <w:tmpl w:val="A2CAC4A2"/>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2E67903"/>
    <w:multiLevelType w:val="hybridMultilevel"/>
    <w:tmpl w:val="8A74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9001D1"/>
    <w:multiLevelType w:val="hybridMultilevel"/>
    <w:tmpl w:val="D95E81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24395D"/>
    <w:multiLevelType w:val="multilevel"/>
    <w:tmpl w:val="CDB40F4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6054834"/>
    <w:multiLevelType w:val="multilevel"/>
    <w:tmpl w:val="6DA8461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2F592660"/>
    <w:multiLevelType w:val="hybridMultilevel"/>
    <w:tmpl w:val="CE6CBFE8"/>
    <w:lvl w:ilvl="0" w:tplc="76541A64">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747681"/>
    <w:multiLevelType w:val="hybridMultilevel"/>
    <w:tmpl w:val="1258FA9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3811709"/>
    <w:multiLevelType w:val="hybridMultilevel"/>
    <w:tmpl w:val="B18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D0367DA"/>
    <w:multiLevelType w:val="hybridMultilevel"/>
    <w:tmpl w:val="E8327E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C13B08"/>
    <w:multiLevelType w:val="hybridMultilevel"/>
    <w:tmpl w:val="B9AEED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6172730"/>
    <w:multiLevelType w:val="multilevel"/>
    <w:tmpl w:val="D86897A2"/>
    <w:lvl w:ilvl="0">
      <w:start w:val="1"/>
      <w:numFmt w:val="decimal"/>
      <w:pStyle w:val="SAPSection1"/>
      <w:suff w:val="space"/>
      <w:lvlText w:val="%1."/>
      <w:lvlJc w:val="left"/>
      <w:pPr>
        <w:ind w:left="284" w:hanging="284"/>
      </w:pPr>
      <w:rPr>
        <w:rFonts w:ascii="Tahoma" w:hAnsi="Tahoma" w:hint="default"/>
        <w:b/>
        <w:i w:val="0"/>
        <w:sz w:val="32"/>
      </w:rPr>
    </w:lvl>
    <w:lvl w:ilvl="1">
      <w:start w:val="1"/>
      <w:numFmt w:val="decimal"/>
      <w:pStyle w:val="SAPSection11"/>
      <w:suff w:val="space"/>
      <w:lvlText w:val="%1.%2."/>
      <w:lvlJc w:val="left"/>
      <w:pPr>
        <w:ind w:left="284" w:hanging="284"/>
      </w:pPr>
      <w:rPr>
        <w:rFonts w:ascii="Tahoma" w:hAnsi="Tahoma" w:hint="default"/>
        <w:b/>
        <w:i w:val="0"/>
        <w:sz w:val="28"/>
      </w:rPr>
    </w:lvl>
    <w:lvl w:ilvl="2">
      <w:start w:val="1"/>
      <w:numFmt w:val="decimal"/>
      <w:pStyle w:val="SAPSection111"/>
      <w:suff w:val="space"/>
      <w:lvlText w:val="%1.%2.%3."/>
      <w:lvlJc w:val="left"/>
      <w:pPr>
        <w:ind w:left="284" w:hanging="284"/>
      </w:pPr>
      <w:rPr>
        <w:rFonts w:ascii="Tahoma" w:hAnsi="Tahoma" w:hint="default"/>
        <w:b/>
        <w:i w:val="0"/>
        <w:sz w:val="24"/>
      </w:rPr>
    </w:lvl>
    <w:lvl w:ilvl="3">
      <w:start w:val="1"/>
      <w:numFmt w:val="upperLetter"/>
      <w:lvlRestart w:val="1"/>
      <w:pStyle w:val="SAPAppendix"/>
      <w:suff w:val="space"/>
      <w:lvlText w:val="Appendix %4."/>
      <w:lvlJc w:val="left"/>
      <w:pPr>
        <w:ind w:left="284" w:hanging="284"/>
      </w:pPr>
      <w:rPr>
        <w:rFonts w:ascii="Times New Roman" w:hAnsi="Times New Roman" w:hint="default"/>
        <w:b/>
        <w:i w:val="0"/>
        <w:caps/>
        <w:sz w:val="28"/>
        <w:szCs w:val="28"/>
      </w:rPr>
    </w:lvl>
    <w:lvl w:ilvl="4">
      <w:start w:val="1"/>
      <w:numFmt w:val="decimal"/>
      <w:suff w:val="space"/>
      <w:lvlText w:val="Table %5."/>
      <w:lvlJc w:val="left"/>
      <w:pPr>
        <w:ind w:left="284" w:hanging="284"/>
      </w:pPr>
      <w:rPr>
        <w:rFonts w:ascii="Times New Roman" w:hAnsi="Times New Roman" w:hint="default"/>
        <w:b/>
        <w:i w:val="0"/>
        <w:caps w:val="0"/>
        <w:sz w:val="24"/>
        <w:szCs w:val="24"/>
      </w:rPr>
    </w:lvl>
    <w:lvl w:ilvl="5">
      <w:start w:val="1"/>
      <w:numFmt w:val="decimal"/>
      <w:lvlRestart w:val="4"/>
      <w:pStyle w:val="SAPFigure"/>
      <w:suff w:val="space"/>
      <w:lvlText w:val="Figure %6."/>
      <w:lvlJc w:val="left"/>
      <w:pPr>
        <w:ind w:left="284" w:hanging="284"/>
      </w:pPr>
      <w:rPr>
        <w:rFonts w:ascii="Times New Roman" w:hAnsi="Times New Roman" w:hint="default"/>
        <w:b/>
        <w:i w:val="0"/>
        <w:sz w:val="24"/>
        <w:szCs w:val="24"/>
      </w:rPr>
    </w:lvl>
    <w:lvl w:ilvl="6">
      <w:start w:val="1"/>
      <w:numFmt w:val="decimal"/>
      <w:lvlRestart w:val="4"/>
      <w:pStyle w:val="SAPListing"/>
      <w:suff w:val="space"/>
      <w:lvlText w:val="Listing %7."/>
      <w:lvlJc w:val="left"/>
      <w:pPr>
        <w:ind w:left="567" w:hanging="567"/>
      </w:pPr>
      <w:rPr>
        <w:rFonts w:ascii="Times New Roman" w:hAnsi="Times New Roman" w:hint="default"/>
        <w:b/>
        <w:i w:val="0"/>
        <w:sz w:val="24"/>
        <w:szCs w:val="24"/>
      </w:rPr>
    </w:lvl>
    <w:lvl w:ilvl="7">
      <w:start w:val="1"/>
      <w:numFmt w:val="none"/>
      <w:lvlRestart w:val="5"/>
      <w:suff w:val="space"/>
      <w:lvlText w:val="%8"/>
      <w:lvlJc w:val="left"/>
      <w:pPr>
        <w:ind w:left="567" w:hanging="567"/>
      </w:pPr>
      <w:rPr>
        <w:rFonts w:ascii="Times New Roman" w:hAnsi="Times New Roman" w:hint="default"/>
        <w:b w:val="0"/>
        <w:i w:val="0"/>
        <w:sz w:val="24"/>
        <w:szCs w:val="24"/>
      </w:rPr>
    </w:lvl>
    <w:lvl w:ilvl="8">
      <w:start w:val="1"/>
      <w:numFmt w:val="none"/>
      <w:lvlText w:val=""/>
      <w:lvlJc w:val="left"/>
      <w:pPr>
        <w:tabs>
          <w:tab w:val="num" w:pos="6120"/>
        </w:tabs>
        <w:ind w:left="4320" w:hanging="1440"/>
      </w:pPr>
      <w:rPr>
        <w:rFonts w:hint="default"/>
      </w:rPr>
    </w:lvl>
  </w:abstractNum>
  <w:abstractNum w:abstractNumId="18">
    <w:nsid w:val="46696912"/>
    <w:multiLevelType w:val="hybridMultilevel"/>
    <w:tmpl w:val="58842442"/>
    <w:lvl w:ilvl="0" w:tplc="3548563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B88759F"/>
    <w:multiLevelType w:val="multilevel"/>
    <w:tmpl w:val="2BC230D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53C60DBA"/>
    <w:multiLevelType w:val="hybridMultilevel"/>
    <w:tmpl w:val="8F5EA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4272E4A"/>
    <w:multiLevelType w:val="hybridMultilevel"/>
    <w:tmpl w:val="991C33B2"/>
    <w:lvl w:ilvl="0" w:tplc="0409000F">
      <w:start w:val="1"/>
      <w:numFmt w:val="decimal"/>
      <w:lvlText w:val="%1."/>
      <w:lvlJc w:val="left"/>
      <w:pPr>
        <w:tabs>
          <w:tab w:val="num" w:pos="360"/>
        </w:tabs>
        <w:ind w:left="360" w:hanging="360"/>
      </w:pPr>
      <w:rPr>
        <w:rFonts w:hint="default"/>
      </w:rPr>
    </w:lvl>
    <w:lvl w:ilvl="1" w:tplc="3548563A">
      <w:start w:val="1"/>
      <w:numFmt w:val="bullet"/>
      <w:lvlText w:val=""/>
      <w:lvlJc w:val="left"/>
      <w:pPr>
        <w:tabs>
          <w:tab w:val="num" w:pos="1080"/>
        </w:tabs>
        <w:ind w:left="1080" w:hanging="360"/>
      </w:pPr>
      <w:rPr>
        <w:rFonts w:ascii="Symbol" w:hAnsi="Symbol" w:hint="default"/>
        <w:sz w:val="16"/>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CB13952"/>
    <w:multiLevelType w:val="hybridMultilevel"/>
    <w:tmpl w:val="616601AA"/>
    <w:lvl w:ilvl="0" w:tplc="3548563A">
      <w:start w:val="1"/>
      <w:numFmt w:val="bullet"/>
      <w:lvlText w:val=""/>
      <w:lvlJc w:val="left"/>
      <w:pPr>
        <w:tabs>
          <w:tab w:val="num" w:pos="1560"/>
        </w:tabs>
        <w:ind w:left="1560" w:hanging="360"/>
      </w:pPr>
      <w:rPr>
        <w:rFonts w:ascii="Symbol" w:hAnsi="Symbol" w:hint="default"/>
        <w:sz w:val="16"/>
      </w:rPr>
    </w:lvl>
    <w:lvl w:ilvl="1" w:tplc="04090003" w:tentative="1">
      <w:start w:val="1"/>
      <w:numFmt w:val="bullet"/>
      <w:lvlText w:val="o"/>
      <w:lvlJc w:val="left"/>
      <w:pPr>
        <w:tabs>
          <w:tab w:val="num" w:pos="2280"/>
        </w:tabs>
        <w:ind w:left="2280" w:hanging="360"/>
      </w:pPr>
      <w:rPr>
        <w:rFonts w:ascii="Courier New" w:hAnsi="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3">
    <w:nsid w:val="61A006A7"/>
    <w:multiLevelType w:val="hybridMultilevel"/>
    <w:tmpl w:val="B928B75A"/>
    <w:lvl w:ilvl="0" w:tplc="A6E08C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A2B499B"/>
    <w:multiLevelType w:val="hybridMultilevel"/>
    <w:tmpl w:val="094601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6AE92F38"/>
    <w:multiLevelType w:val="hybridMultilevel"/>
    <w:tmpl w:val="502E526E"/>
    <w:lvl w:ilvl="0" w:tplc="3548563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5213535"/>
    <w:multiLevelType w:val="hybridMultilevel"/>
    <w:tmpl w:val="BC0A52C0"/>
    <w:lvl w:ilvl="0" w:tplc="CD20C6A0">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7C34E64"/>
    <w:multiLevelType w:val="hybridMultilevel"/>
    <w:tmpl w:val="5008B7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B02EDF"/>
    <w:multiLevelType w:val="hybridMultilevel"/>
    <w:tmpl w:val="3E047108"/>
    <w:lvl w:ilvl="0" w:tplc="4F781ADE">
      <w:start w:val="100"/>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D503B6F"/>
    <w:multiLevelType w:val="hybridMultilevel"/>
    <w:tmpl w:val="EF74CA1C"/>
    <w:lvl w:ilvl="0" w:tplc="B4243B64">
      <w:start w:val="1"/>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FE42DFB"/>
    <w:multiLevelType w:val="hybridMultilevel"/>
    <w:tmpl w:val="44CA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6"/>
  </w:num>
  <w:num w:numId="4">
    <w:abstractNumId w:val="13"/>
  </w:num>
  <w:num w:numId="5">
    <w:abstractNumId w:val="21"/>
  </w:num>
  <w:num w:numId="6">
    <w:abstractNumId w:val="19"/>
  </w:num>
  <w:num w:numId="7">
    <w:abstractNumId w:val="25"/>
  </w:num>
  <w:num w:numId="8">
    <w:abstractNumId w:val="22"/>
  </w:num>
  <w:num w:numId="9">
    <w:abstractNumId w:val="10"/>
  </w:num>
  <w:num w:numId="10">
    <w:abstractNumId w:val="11"/>
  </w:num>
  <w:num w:numId="11">
    <w:abstractNumId w:val="18"/>
  </w:num>
  <w:num w:numId="12">
    <w:abstractNumId w:val="23"/>
  </w:num>
  <w:num w:numId="13">
    <w:abstractNumId w:val="7"/>
  </w:num>
  <w:num w:numId="14">
    <w:abstractNumId w:val="3"/>
  </w:num>
  <w:num w:numId="15">
    <w:abstractNumId w:val="2"/>
  </w:num>
  <w:num w:numId="16">
    <w:abstractNumId w:val="17"/>
  </w:num>
  <w:num w:numId="17">
    <w:abstractNumId w:val="30"/>
  </w:num>
  <w:num w:numId="18">
    <w:abstractNumId w:val="14"/>
  </w:num>
  <w:num w:numId="19">
    <w:abstractNumId w:val="0"/>
  </w:num>
  <w:num w:numId="20">
    <w:abstractNumId w:val="8"/>
  </w:num>
  <w:num w:numId="21">
    <w:abstractNumId w:val="12"/>
  </w:num>
  <w:num w:numId="22">
    <w:abstractNumId w:val="17"/>
  </w:num>
  <w:num w:numId="23">
    <w:abstractNumId w:val="17"/>
  </w:num>
  <w:num w:numId="24">
    <w:abstractNumId w:val="17"/>
  </w:num>
  <w:num w:numId="25">
    <w:abstractNumId w:val="17"/>
  </w:num>
  <w:num w:numId="26">
    <w:abstractNumId w:val="28"/>
  </w:num>
  <w:num w:numId="27">
    <w:abstractNumId w:val="20"/>
  </w:num>
  <w:num w:numId="28">
    <w:abstractNumId w:val="26"/>
  </w:num>
  <w:num w:numId="29">
    <w:abstractNumId w:val="15"/>
  </w:num>
  <w:num w:numId="30">
    <w:abstractNumId w:val="24"/>
  </w:num>
  <w:num w:numId="31">
    <w:abstractNumId w:val="1"/>
  </w:num>
  <w:num w:numId="32">
    <w:abstractNumId w:val="6"/>
  </w:num>
  <w:num w:numId="33">
    <w:abstractNumId w:val="17"/>
  </w:num>
  <w:num w:numId="34">
    <w:abstractNumId w:val="29"/>
  </w:num>
  <w:num w:numId="35">
    <w:abstractNumId w:val="17"/>
  </w:num>
  <w:num w:numId="36">
    <w:abstractNumId w:val="17"/>
  </w:num>
  <w:num w:numId="37">
    <w:abstractNumId w:val="9"/>
  </w:num>
  <w:num w:numId="38">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Stott">
    <w15:presenceInfo w15:providerId="AD" w15:userId="S-1-5-21-3392181128-250301629-2379905336-12105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FE4280"/>
    <w:rsid w:val="00000DE9"/>
    <w:rsid w:val="0000481B"/>
    <w:rsid w:val="00005F93"/>
    <w:rsid w:val="0002109B"/>
    <w:rsid w:val="00034975"/>
    <w:rsid w:val="000561E0"/>
    <w:rsid w:val="00066EDD"/>
    <w:rsid w:val="00067622"/>
    <w:rsid w:val="000824F2"/>
    <w:rsid w:val="0008257C"/>
    <w:rsid w:val="000853B5"/>
    <w:rsid w:val="00085A34"/>
    <w:rsid w:val="000923AF"/>
    <w:rsid w:val="00097752"/>
    <w:rsid w:val="000B17F9"/>
    <w:rsid w:val="000B69B3"/>
    <w:rsid w:val="000C3B08"/>
    <w:rsid w:val="000D40BA"/>
    <w:rsid w:val="000E2941"/>
    <w:rsid w:val="000F55CB"/>
    <w:rsid w:val="000F7984"/>
    <w:rsid w:val="00101618"/>
    <w:rsid w:val="001026F3"/>
    <w:rsid w:val="00112A7B"/>
    <w:rsid w:val="00113943"/>
    <w:rsid w:val="00126107"/>
    <w:rsid w:val="00142145"/>
    <w:rsid w:val="00143345"/>
    <w:rsid w:val="00147566"/>
    <w:rsid w:val="001521E9"/>
    <w:rsid w:val="00160AD6"/>
    <w:rsid w:val="00162156"/>
    <w:rsid w:val="00165309"/>
    <w:rsid w:val="00170629"/>
    <w:rsid w:val="00173612"/>
    <w:rsid w:val="0017478B"/>
    <w:rsid w:val="00196D83"/>
    <w:rsid w:val="001977EB"/>
    <w:rsid w:val="001B0808"/>
    <w:rsid w:val="001B7837"/>
    <w:rsid w:val="001C7B25"/>
    <w:rsid w:val="001D0732"/>
    <w:rsid w:val="001D749E"/>
    <w:rsid w:val="001E083F"/>
    <w:rsid w:val="001E76CB"/>
    <w:rsid w:val="001F7CC4"/>
    <w:rsid w:val="00207602"/>
    <w:rsid w:val="00222DB1"/>
    <w:rsid w:val="00235344"/>
    <w:rsid w:val="00250EF2"/>
    <w:rsid w:val="00253BD9"/>
    <w:rsid w:val="00267AB1"/>
    <w:rsid w:val="002725F2"/>
    <w:rsid w:val="00272BD1"/>
    <w:rsid w:val="00275FE9"/>
    <w:rsid w:val="002854A3"/>
    <w:rsid w:val="002B5743"/>
    <w:rsid w:val="002C405D"/>
    <w:rsid w:val="002F07FF"/>
    <w:rsid w:val="002F7A3E"/>
    <w:rsid w:val="00305408"/>
    <w:rsid w:val="00311C66"/>
    <w:rsid w:val="00314DA0"/>
    <w:rsid w:val="003161E9"/>
    <w:rsid w:val="00316B89"/>
    <w:rsid w:val="00327027"/>
    <w:rsid w:val="00344CE7"/>
    <w:rsid w:val="0035386B"/>
    <w:rsid w:val="00354032"/>
    <w:rsid w:val="003560D3"/>
    <w:rsid w:val="00356BF8"/>
    <w:rsid w:val="003745F0"/>
    <w:rsid w:val="00381663"/>
    <w:rsid w:val="00392530"/>
    <w:rsid w:val="00395655"/>
    <w:rsid w:val="003A58B2"/>
    <w:rsid w:val="003B4BA4"/>
    <w:rsid w:val="003B6BEB"/>
    <w:rsid w:val="003D4F99"/>
    <w:rsid w:val="003F50B1"/>
    <w:rsid w:val="00402168"/>
    <w:rsid w:val="00421D56"/>
    <w:rsid w:val="0043012D"/>
    <w:rsid w:val="004305C7"/>
    <w:rsid w:val="00430E0D"/>
    <w:rsid w:val="0045015A"/>
    <w:rsid w:val="00450EA3"/>
    <w:rsid w:val="004653E3"/>
    <w:rsid w:val="0048764E"/>
    <w:rsid w:val="004A5152"/>
    <w:rsid w:val="004A5BD4"/>
    <w:rsid w:val="004B2F4D"/>
    <w:rsid w:val="004B3589"/>
    <w:rsid w:val="004C6D40"/>
    <w:rsid w:val="004D1EC6"/>
    <w:rsid w:val="004D67F8"/>
    <w:rsid w:val="004E2694"/>
    <w:rsid w:val="004E4F97"/>
    <w:rsid w:val="004F0BCE"/>
    <w:rsid w:val="00503721"/>
    <w:rsid w:val="00507454"/>
    <w:rsid w:val="0050797B"/>
    <w:rsid w:val="005316B9"/>
    <w:rsid w:val="00546722"/>
    <w:rsid w:val="00554740"/>
    <w:rsid w:val="005567A6"/>
    <w:rsid w:val="00562F88"/>
    <w:rsid w:val="0056777C"/>
    <w:rsid w:val="00573447"/>
    <w:rsid w:val="005773F6"/>
    <w:rsid w:val="00581FB6"/>
    <w:rsid w:val="00583CB3"/>
    <w:rsid w:val="0058625B"/>
    <w:rsid w:val="005971E6"/>
    <w:rsid w:val="005A437E"/>
    <w:rsid w:val="005A47BF"/>
    <w:rsid w:val="005A60F9"/>
    <w:rsid w:val="005A7EB1"/>
    <w:rsid w:val="00601B97"/>
    <w:rsid w:val="006023C2"/>
    <w:rsid w:val="00606397"/>
    <w:rsid w:val="0063722E"/>
    <w:rsid w:val="0064294D"/>
    <w:rsid w:val="0064335D"/>
    <w:rsid w:val="006511A3"/>
    <w:rsid w:val="00662F94"/>
    <w:rsid w:val="00664C3A"/>
    <w:rsid w:val="0067108C"/>
    <w:rsid w:val="00685CCF"/>
    <w:rsid w:val="006944FA"/>
    <w:rsid w:val="006961BA"/>
    <w:rsid w:val="006A2FF2"/>
    <w:rsid w:val="006A3D09"/>
    <w:rsid w:val="006B2D73"/>
    <w:rsid w:val="006C144B"/>
    <w:rsid w:val="006D390E"/>
    <w:rsid w:val="006D41F7"/>
    <w:rsid w:val="006E7413"/>
    <w:rsid w:val="006F28BF"/>
    <w:rsid w:val="007256FB"/>
    <w:rsid w:val="00734129"/>
    <w:rsid w:val="00736A14"/>
    <w:rsid w:val="00752DB7"/>
    <w:rsid w:val="00753A65"/>
    <w:rsid w:val="0075406E"/>
    <w:rsid w:val="00771CE5"/>
    <w:rsid w:val="00772412"/>
    <w:rsid w:val="00772DB5"/>
    <w:rsid w:val="00792552"/>
    <w:rsid w:val="007B4FEE"/>
    <w:rsid w:val="007C4E10"/>
    <w:rsid w:val="007C50F0"/>
    <w:rsid w:val="007C706C"/>
    <w:rsid w:val="007E0EF6"/>
    <w:rsid w:val="007E774C"/>
    <w:rsid w:val="007F5435"/>
    <w:rsid w:val="008249BD"/>
    <w:rsid w:val="00841BA5"/>
    <w:rsid w:val="00850A6A"/>
    <w:rsid w:val="00850DAE"/>
    <w:rsid w:val="008601D1"/>
    <w:rsid w:val="008617DA"/>
    <w:rsid w:val="0086264F"/>
    <w:rsid w:val="00865F9A"/>
    <w:rsid w:val="00870175"/>
    <w:rsid w:val="00871E60"/>
    <w:rsid w:val="008878B4"/>
    <w:rsid w:val="008913F1"/>
    <w:rsid w:val="00893C12"/>
    <w:rsid w:val="008A3E2F"/>
    <w:rsid w:val="008A4374"/>
    <w:rsid w:val="008A5F13"/>
    <w:rsid w:val="008B14F6"/>
    <w:rsid w:val="008B21E8"/>
    <w:rsid w:val="008C748F"/>
    <w:rsid w:val="008E111F"/>
    <w:rsid w:val="008E1581"/>
    <w:rsid w:val="008E1D8A"/>
    <w:rsid w:val="008E487D"/>
    <w:rsid w:val="00922D71"/>
    <w:rsid w:val="00925C95"/>
    <w:rsid w:val="00931814"/>
    <w:rsid w:val="0093473A"/>
    <w:rsid w:val="00960695"/>
    <w:rsid w:val="00963BC5"/>
    <w:rsid w:val="00971CD0"/>
    <w:rsid w:val="00974366"/>
    <w:rsid w:val="00980956"/>
    <w:rsid w:val="0098096B"/>
    <w:rsid w:val="00983C75"/>
    <w:rsid w:val="00993F71"/>
    <w:rsid w:val="009A463A"/>
    <w:rsid w:val="009A653B"/>
    <w:rsid w:val="009B5354"/>
    <w:rsid w:val="009B70CF"/>
    <w:rsid w:val="009C6FEF"/>
    <w:rsid w:val="009E7FF4"/>
    <w:rsid w:val="009F1C44"/>
    <w:rsid w:val="009F2744"/>
    <w:rsid w:val="009F59D7"/>
    <w:rsid w:val="00A068D8"/>
    <w:rsid w:val="00A106B4"/>
    <w:rsid w:val="00A1358D"/>
    <w:rsid w:val="00A20B1D"/>
    <w:rsid w:val="00A2407C"/>
    <w:rsid w:val="00A24275"/>
    <w:rsid w:val="00A457E3"/>
    <w:rsid w:val="00A71A74"/>
    <w:rsid w:val="00A855CB"/>
    <w:rsid w:val="00AB1D73"/>
    <w:rsid w:val="00AC0064"/>
    <w:rsid w:val="00AC0C1B"/>
    <w:rsid w:val="00B24E17"/>
    <w:rsid w:val="00B279FE"/>
    <w:rsid w:val="00B322ED"/>
    <w:rsid w:val="00B34F37"/>
    <w:rsid w:val="00B406EB"/>
    <w:rsid w:val="00B4692A"/>
    <w:rsid w:val="00B50BD2"/>
    <w:rsid w:val="00B50E8B"/>
    <w:rsid w:val="00B5507F"/>
    <w:rsid w:val="00B60EE9"/>
    <w:rsid w:val="00B6511C"/>
    <w:rsid w:val="00B76761"/>
    <w:rsid w:val="00BA33E2"/>
    <w:rsid w:val="00BC7840"/>
    <w:rsid w:val="00BD702F"/>
    <w:rsid w:val="00BD7538"/>
    <w:rsid w:val="00BE2E46"/>
    <w:rsid w:val="00BE41EB"/>
    <w:rsid w:val="00C103CC"/>
    <w:rsid w:val="00C151B4"/>
    <w:rsid w:val="00C3264B"/>
    <w:rsid w:val="00C45B77"/>
    <w:rsid w:val="00C50620"/>
    <w:rsid w:val="00C54811"/>
    <w:rsid w:val="00C7380B"/>
    <w:rsid w:val="00C80CF7"/>
    <w:rsid w:val="00C8509B"/>
    <w:rsid w:val="00C86C28"/>
    <w:rsid w:val="00C9064B"/>
    <w:rsid w:val="00CA0B3D"/>
    <w:rsid w:val="00CA2998"/>
    <w:rsid w:val="00CC0561"/>
    <w:rsid w:val="00CC28D5"/>
    <w:rsid w:val="00CC5CC6"/>
    <w:rsid w:val="00CE7B62"/>
    <w:rsid w:val="00CF495F"/>
    <w:rsid w:val="00CF7A5F"/>
    <w:rsid w:val="00D06FDD"/>
    <w:rsid w:val="00D319C4"/>
    <w:rsid w:val="00D37A3F"/>
    <w:rsid w:val="00D37AC8"/>
    <w:rsid w:val="00D51063"/>
    <w:rsid w:val="00D72BBD"/>
    <w:rsid w:val="00D758C1"/>
    <w:rsid w:val="00D84364"/>
    <w:rsid w:val="00D87192"/>
    <w:rsid w:val="00D87BF5"/>
    <w:rsid w:val="00D92C70"/>
    <w:rsid w:val="00D93E65"/>
    <w:rsid w:val="00DA3A30"/>
    <w:rsid w:val="00DA6A89"/>
    <w:rsid w:val="00DB078B"/>
    <w:rsid w:val="00DB3133"/>
    <w:rsid w:val="00DC70C7"/>
    <w:rsid w:val="00DD0288"/>
    <w:rsid w:val="00DE7F0A"/>
    <w:rsid w:val="00DF064E"/>
    <w:rsid w:val="00E1646B"/>
    <w:rsid w:val="00E16FFC"/>
    <w:rsid w:val="00E43E57"/>
    <w:rsid w:val="00E551F6"/>
    <w:rsid w:val="00E56D42"/>
    <w:rsid w:val="00E61A11"/>
    <w:rsid w:val="00E71896"/>
    <w:rsid w:val="00E74B6C"/>
    <w:rsid w:val="00E75251"/>
    <w:rsid w:val="00E92E92"/>
    <w:rsid w:val="00E97997"/>
    <w:rsid w:val="00EA1C28"/>
    <w:rsid w:val="00EA3550"/>
    <w:rsid w:val="00EA6255"/>
    <w:rsid w:val="00EB0D7D"/>
    <w:rsid w:val="00EB34E3"/>
    <w:rsid w:val="00EC622C"/>
    <w:rsid w:val="00EC7E8B"/>
    <w:rsid w:val="00ED3149"/>
    <w:rsid w:val="00ED43C3"/>
    <w:rsid w:val="00ED6E39"/>
    <w:rsid w:val="00EE12D7"/>
    <w:rsid w:val="00EF25DB"/>
    <w:rsid w:val="00EF5C44"/>
    <w:rsid w:val="00F01E91"/>
    <w:rsid w:val="00F07E17"/>
    <w:rsid w:val="00F3054A"/>
    <w:rsid w:val="00F43382"/>
    <w:rsid w:val="00F64040"/>
    <w:rsid w:val="00F724F2"/>
    <w:rsid w:val="00F7765E"/>
    <w:rsid w:val="00F911C2"/>
    <w:rsid w:val="00F922B0"/>
    <w:rsid w:val="00FB3E55"/>
    <w:rsid w:val="00FB6959"/>
    <w:rsid w:val="00FB6F2D"/>
    <w:rsid w:val="00FC1704"/>
    <w:rsid w:val="00FC2937"/>
    <w:rsid w:val="00FE141B"/>
    <w:rsid w:val="00FE4280"/>
    <w:rsid w:val="00FF1BF3"/>
    <w:rsid w:val="00FF7398"/>
  </w:rsids>
  <m:mathPr>
    <m:mathFont m:val="Cambria Math"/>
    <m:brkBin m:val="before"/>
    <m:brkBinSub m:val="--"/>
    <m:smallFrac m:val="off"/>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A11"/>
    <w:rPr>
      <w:lang w:val="en-US" w:eastAsia="en-US"/>
    </w:rPr>
  </w:style>
  <w:style w:type="paragraph" w:styleId="Heading1">
    <w:name w:val="heading 1"/>
    <w:basedOn w:val="Normal"/>
    <w:next w:val="Normal"/>
    <w:qFormat/>
    <w:rsid w:val="00E61A11"/>
    <w:pPr>
      <w:keepNext/>
      <w:outlineLvl w:val="0"/>
    </w:pPr>
    <w:rPr>
      <w:sz w:val="24"/>
    </w:rPr>
  </w:style>
  <w:style w:type="paragraph" w:styleId="Heading2">
    <w:name w:val="heading 2"/>
    <w:basedOn w:val="Normal"/>
    <w:next w:val="Normal"/>
    <w:qFormat/>
    <w:rsid w:val="00E61A11"/>
    <w:pPr>
      <w:keepNext/>
      <w:outlineLvl w:val="1"/>
    </w:pPr>
    <w:rPr>
      <w:b/>
      <w:bCs/>
      <w:sz w:val="24"/>
    </w:rPr>
  </w:style>
  <w:style w:type="paragraph" w:styleId="Heading3">
    <w:name w:val="heading 3"/>
    <w:basedOn w:val="Normal"/>
    <w:next w:val="Normal"/>
    <w:qFormat/>
    <w:rsid w:val="00E61A11"/>
    <w:pPr>
      <w:keepNext/>
      <w:ind w:left="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61A11"/>
    <w:pPr>
      <w:ind w:left="720"/>
    </w:pPr>
    <w:rPr>
      <w:sz w:val="24"/>
    </w:rPr>
  </w:style>
  <w:style w:type="paragraph" w:styleId="BodyText">
    <w:name w:val="Body Text"/>
    <w:basedOn w:val="Normal"/>
    <w:rsid w:val="00E61A11"/>
    <w:rPr>
      <w:sz w:val="24"/>
    </w:rPr>
  </w:style>
  <w:style w:type="paragraph" w:styleId="Header">
    <w:name w:val="header"/>
    <w:basedOn w:val="Normal"/>
    <w:rsid w:val="00E61A11"/>
    <w:pPr>
      <w:tabs>
        <w:tab w:val="center" w:pos="4153"/>
        <w:tab w:val="right" w:pos="8306"/>
      </w:tabs>
    </w:pPr>
  </w:style>
  <w:style w:type="paragraph" w:styleId="Footer">
    <w:name w:val="footer"/>
    <w:basedOn w:val="Normal"/>
    <w:link w:val="FooterChar"/>
    <w:uiPriority w:val="99"/>
    <w:rsid w:val="00E61A11"/>
    <w:pPr>
      <w:tabs>
        <w:tab w:val="center" w:pos="4153"/>
        <w:tab w:val="right" w:pos="8306"/>
      </w:tabs>
    </w:pPr>
  </w:style>
  <w:style w:type="character" w:styleId="PageNumber">
    <w:name w:val="page number"/>
    <w:basedOn w:val="DefaultParagraphFont"/>
    <w:rsid w:val="00E61A11"/>
  </w:style>
  <w:style w:type="paragraph" w:styleId="BodyText2">
    <w:name w:val="Body Text 2"/>
    <w:basedOn w:val="Normal"/>
    <w:rsid w:val="00E61A11"/>
    <w:rPr>
      <w:sz w:val="22"/>
    </w:rPr>
  </w:style>
  <w:style w:type="paragraph" w:styleId="BalloonText">
    <w:name w:val="Balloon Text"/>
    <w:basedOn w:val="Normal"/>
    <w:semiHidden/>
    <w:rsid w:val="00E61A11"/>
    <w:rPr>
      <w:rFonts w:ascii="Tahoma" w:hAnsi="Tahoma" w:cs="Tahoma"/>
      <w:sz w:val="16"/>
      <w:szCs w:val="16"/>
    </w:rPr>
  </w:style>
  <w:style w:type="paragraph" w:customStyle="1" w:styleId="SAPText">
    <w:name w:val="SAP Text"/>
    <w:basedOn w:val="Normal"/>
    <w:rsid w:val="00430E0D"/>
    <w:pPr>
      <w:spacing w:before="240"/>
      <w:jc w:val="both"/>
    </w:pPr>
    <w:rPr>
      <w:rFonts w:ascii="Tahoma" w:hAnsi="Tahoma"/>
      <w:sz w:val="24"/>
      <w:szCs w:val="24"/>
      <w:lang w:val="en-GB"/>
    </w:rPr>
  </w:style>
  <w:style w:type="paragraph" w:customStyle="1" w:styleId="SAPSection1">
    <w:name w:val="SAP Section 1"/>
    <w:basedOn w:val="SAPText"/>
    <w:next w:val="SAPText"/>
    <w:rsid w:val="00250EF2"/>
    <w:pPr>
      <w:keepNext/>
      <w:numPr>
        <w:numId w:val="16"/>
      </w:numPr>
      <w:spacing w:before="480"/>
      <w:ind w:right="284"/>
      <w:outlineLvl w:val="0"/>
    </w:pPr>
    <w:rPr>
      <w:b/>
      <w:smallCaps/>
      <w:sz w:val="32"/>
    </w:rPr>
  </w:style>
  <w:style w:type="paragraph" w:customStyle="1" w:styleId="SAPSection11">
    <w:name w:val="SAP Section 1.1"/>
    <w:basedOn w:val="SAPText"/>
    <w:next w:val="SAPText"/>
    <w:rsid w:val="00993F71"/>
    <w:pPr>
      <w:keepNext/>
      <w:numPr>
        <w:ilvl w:val="1"/>
        <w:numId w:val="16"/>
      </w:numPr>
      <w:ind w:right="284"/>
      <w:outlineLvl w:val="1"/>
    </w:pPr>
    <w:rPr>
      <w:b/>
      <w:smallCaps/>
      <w:sz w:val="28"/>
    </w:rPr>
  </w:style>
  <w:style w:type="paragraph" w:customStyle="1" w:styleId="SAPSection111">
    <w:name w:val="SAP Section 1.1.1"/>
    <w:basedOn w:val="SAPText"/>
    <w:next w:val="SAPText"/>
    <w:rsid w:val="00250EF2"/>
    <w:pPr>
      <w:keepNext/>
      <w:numPr>
        <w:ilvl w:val="2"/>
        <w:numId w:val="16"/>
      </w:numPr>
      <w:ind w:right="284"/>
      <w:outlineLvl w:val="2"/>
    </w:pPr>
    <w:rPr>
      <w:b/>
      <w:smallCaps/>
    </w:rPr>
  </w:style>
  <w:style w:type="paragraph" w:customStyle="1" w:styleId="SAPTitle1">
    <w:name w:val="SAP Title 1"/>
    <w:basedOn w:val="Normal"/>
    <w:rsid w:val="00250EF2"/>
    <w:pPr>
      <w:framePr w:hSpace="181" w:vSpace="181" w:wrap="around" w:hAnchor="margin" w:xAlign="center" w:yAlign="center"/>
      <w:jc w:val="center"/>
    </w:pPr>
    <w:rPr>
      <w:b/>
      <w:smallCaps/>
      <w:sz w:val="40"/>
      <w:szCs w:val="24"/>
      <w:lang w:val="en-GB"/>
    </w:rPr>
  </w:style>
  <w:style w:type="paragraph" w:styleId="TOC1">
    <w:name w:val="toc 1"/>
    <w:basedOn w:val="Normal"/>
    <w:next w:val="Normal"/>
    <w:autoRedefine/>
    <w:uiPriority w:val="39"/>
    <w:rsid w:val="00250EF2"/>
    <w:pPr>
      <w:spacing w:before="120" w:after="120"/>
    </w:pPr>
    <w:rPr>
      <w:sz w:val="24"/>
      <w:szCs w:val="24"/>
      <w:lang w:val="en-GB"/>
    </w:rPr>
  </w:style>
  <w:style w:type="paragraph" w:styleId="TOC2">
    <w:name w:val="toc 2"/>
    <w:basedOn w:val="Normal"/>
    <w:next w:val="Normal"/>
    <w:autoRedefine/>
    <w:uiPriority w:val="39"/>
    <w:rsid w:val="00250EF2"/>
    <w:pPr>
      <w:spacing w:before="120" w:after="120"/>
      <w:ind w:left="238"/>
    </w:pPr>
    <w:rPr>
      <w:sz w:val="24"/>
      <w:szCs w:val="24"/>
      <w:lang w:val="en-GB"/>
    </w:rPr>
  </w:style>
  <w:style w:type="paragraph" w:styleId="TOC3">
    <w:name w:val="toc 3"/>
    <w:basedOn w:val="Normal"/>
    <w:next w:val="Normal"/>
    <w:autoRedefine/>
    <w:uiPriority w:val="39"/>
    <w:rsid w:val="00250EF2"/>
    <w:pPr>
      <w:ind w:left="480"/>
    </w:pPr>
    <w:rPr>
      <w:sz w:val="24"/>
      <w:szCs w:val="24"/>
      <w:lang w:val="en-GB"/>
    </w:rPr>
  </w:style>
  <w:style w:type="character" w:styleId="Hyperlink">
    <w:name w:val="Hyperlink"/>
    <w:basedOn w:val="DefaultParagraphFont"/>
    <w:uiPriority w:val="99"/>
    <w:rsid w:val="00250EF2"/>
    <w:rPr>
      <w:color w:val="0000FF"/>
      <w:u w:val="single"/>
    </w:rPr>
  </w:style>
  <w:style w:type="paragraph" w:customStyle="1" w:styleId="SAPAppendix">
    <w:name w:val="SAP Appendix"/>
    <w:basedOn w:val="SAPSection1"/>
    <w:next w:val="SAPText"/>
    <w:autoRedefine/>
    <w:rsid w:val="00250EF2"/>
    <w:pPr>
      <w:pageBreakBefore/>
      <w:numPr>
        <w:ilvl w:val="3"/>
      </w:numPr>
      <w:outlineLvl w:val="4"/>
    </w:pPr>
  </w:style>
  <w:style w:type="paragraph" w:customStyle="1" w:styleId="SAPListing">
    <w:name w:val="SAP Listing"/>
    <w:basedOn w:val="Normal"/>
    <w:autoRedefine/>
    <w:rsid w:val="00250EF2"/>
    <w:pPr>
      <w:keepLines/>
      <w:numPr>
        <w:ilvl w:val="6"/>
        <w:numId w:val="16"/>
      </w:numPr>
      <w:spacing w:before="120"/>
      <w:jc w:val="both"/>
      <w:outlineLvl w:val="5"/>
    </w:pPr>
    <w:rPr>
      <w:sz w:val="24"/>
      <w:szCs w:val="24"/>
      <w:lang w:val="en-GB" w:eastAsia="en-GB"/>
    </w:rPr>
  </w:style>
  <w:style w:type="paragraph" w:customStyle="1" w:styleId="SAPFigure">
    <w:name w:val="SAP Figure"/>
    <w:basedOn w:val="SAPListing"/>
    <w:autoRedefine/>
    <w:rsid w:val="00250EF2"/>
    <w:pPr>
      <w:numPr>
        <w:ilvl w:val="5"/>
      </w:numPr>
      <w:spacing w:before="240"/>
      <w:ind w:right="567"/>
    </w:pPr>
  </w:style>
  <w:style w:type="table" w:styleId="TableGrid">
    <w:name w:val="Table Grid"/>
    <w:basedOn w:val="TableNormal"/>
    <w:uiPriority w:val="59"/>
    <w:rsid w:val="001475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70629"/>
    <w:rPr>
      <w:sz w:val="16"/>
      <w:szCs w:val="16"/>
    </w:rPr>
  </w:style>
  <w:style w:type="paragraph" w:styleId="CommentText">
    <w:name w:val="annotation text"/>
    <w:basedOn w:val="Normal"/>
    <w:link w:val="CommentTextChar"/>
    <w:uiPriority w:val="99"/>
    <w:semiHidden/>
    <w:unhideWhenUsed/>
    <w:rsid w:val="00170629"/>
  </w:style>
  <w:style w:type="character" w:customStyle="1" w:styleId="CommentTextChar">
    <w:name w:val="Comment Text Char"/>
    <w:basedOn w:val="DefaultParagraphFont"/>
    <w:link w:val="CommentText"/>
    <w:uiPriority w:val="99"/>
    <w:semiHidden/>
    <w:rsid w:val="00170629"/>
    <w:rPr>
      <w:lang w:val="en-US" w:eastAsia="en-US"/>
    </w:rPr>
  </w:style>
  <w:style w:type="paragraph" w:styleId="CommentSubject">
    <w:name w:val="annotation subject"/>
    <w:basedOn w:val="CommentText"/>
    <w:next w:val="CommentText"/>
    <w:link w:val="CommentSubjectChar"/>
    <w:uiPriority w:val="99"/>
    <w:semiHidden/>
    <w:unhideWhenUsed/>
    <w:rsid w:val="00170629"/>
    <w:rPr>
      <w:b/>
      <w:bCs/>
    </w:rPr>
  </w:style>
  <w:style w:type="character" w:customStyle="1" w:styleId="CommentSubjectChar">
    <w:name w:val="Comment Subject Char"/>
    <w:basedOn w:val="CommentTextChar"/>
    <w:link w:val="CommentSubject"/>
    <w:uiPriority w:val="99"/>
    <w:semiHidden/>
    <w:rsid w:val="00170629"/>
    <w:rPr>
      <w:b/>
      <w:bCs/>
      <w:lang w:val="en-US" w:eastAsia="en-US"/>
    </w:rPr>
  </w:style>
  <w:style w:type="character" w:styleId="PlaceholderText">
    <w:name w:val="Placeholder Text"/>
    <w:basedOn w:val="DefaultParagraphFont"/>
    <w:uiPriority w:val="99"/>
    <w:semiHidden/>
    <w:rsid w:val="00170629"/>
    <w:rPr>
      <w:color w:val="808080"/>
    </w:rPr>
  </w:style>
  <w:style w:type="character" w:customStyle="1" w:styleId="FooterChar">
    <w:name w:val="Footer Char"/>
    <w:basedOn w:val="DefaultParagraphFont"/>
    <w:link w:val="Footer"/>
    <w:uiPriority w:val="99"/>
    <w:rsid w:val="00316B89"/>
    <w:rPr>
      <w:lang w:val="en-US" w:eastAsia="en-US"/>
    </w:rPr>
  </w:style>
</w:styles>
</file>

<file path=word/webSettings.xml><?xml version="1.0" encoding="utf-8"?>
<w:webSettings xmlns:r="http://schemas.openxmlformats.org/officeDocument/2006/relationships" xmlns:w="http://schemas.openxmlformats.org/wordprocessingml/2006/main">
  <w:divs>
    <w:div w:id="305359093">
      <w:bodyDiv w:val="1"/>
      <w:marLeft w:val="0"/>
      <w:marRight w:val="0"/>
      <w:marTop w:val="0"/>
      <w:marBottom w:val="0"/>
      <w:divBdr>
        <w:top w:val="none" w:sz="0" w:space="0" w:color="auto"/>
        <w:left w:val="none" w:sz="0" w:space="0" w:color="auto"/>
        <w:bottom w:val="none" w:sz="0" w:space="0" w:color="auto"/>
        <w:right w:val="none" w:sz="0" w:space="0" w:color="auto"/>
      </w:divBdr>
    </w:div>
    <w:div w:id="200894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aggart\Application%20Data\Microsoft\Templates\V1_SOP_TEMPLATE_0602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98A5C88-C24C-4564-9506-BB41C0661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V1_SOP_TEMPLATE_060204.dot</Template>
  <TotalTime>0</TotalTime>
  <Pages>12</Pages>
  <Words>2744</Words>
  <Characters>16857</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Standard Operating Procedure</vt:lpstr>
    </vt:vector>
  </TitlesOfParts>
  <Company>rcb</Company>
  <LinksUpToDate>false</LinksUpToDate>
  <CharactersWithSpaces>19562</CharactersWithSpaces>
  <SharedDoc>false</SharedDoc>
  <HLinks>
    <vt:vector size="192" baseType="variant">
      <vt:variant>
        <vt:i4>1114167</vt:i4>
      </vt:variant>
      <vt:variant>
        <vt:i4>188</vt:i4>
      </vt:variant>
      <vt:variant>
        <vt:i4>0</vt:i4>
      </vt:variant>
      <vt:variant>
        <vt:i4>5</vt:i4>
      </vt:variant>
      <vt:variant>
        <vt:lpwstr/>
      </vt:variant>
      <vt:variant>
        <vt:lpwstr>_Toc320011553</vt:lpwstr>
      </vt:variant>
      <vt:variant>
        <vt:i4>1114167</vt:i4>
      </vt:variant>
      <vt:variant>
        <vt:i4>182</vt:i4>
      </vt:variant>
      <vt:variant>
        <vt:i4>0</vt:i4>
      </vt:variant>
      <vt:variant>
        <vt:i4>5</vt:i4>
      </vt:variant>
      <vt:variant>
        <vt:lpwstr/>
      </vt:variant>
      <vt:variant>
        <vt:lpwstr>_Toc320011552</vt:lpwstr>
      </vt:variant>
      <vt:variant>
        <vt:i4>1114167</vt:i4>
      </vt:variant>
      <vt:variant>
        <vt:i4>176</vt:i4>
      </vt:variant>
      <vt:variant>
        <vt:i4>0</vt:i4>
      </vt:variant>
      <vt:variant>
        <vt:i4>5</vt:i4>
      </vt:variant>
      <vt:variant>
        <vt:lpwstr/>
      </vt:variant>
      <vt:variant>
        <vt:lpwstr>_Toc320011551</vt:lpwstr>
      </vt:variant>
      <vt:variant>
        <vt:i4>1114167</vt:i4>
      </vt:variant>
      <vt:variant>
        <vt:i4>170</vt:i4>
      </vt:variant>
      <vt:variant>
        <vt:i4>0</vt:i4>
      </vt:variant>
      <vt:variant>
        <vt:i4>5</vt:i4>
      </vt:variant>
      <vt:variant>
        <vt:lpwstr/>
      </vt:variant>
      <vt:variant>
        <vt:lpwstr>_Toc320011550</vt:lpwstr>
      </vt:variant>
      <vt:variant>
        <vt:i4>1048631</vt:i4>
      </vt:variant>
      <vt:variant>
        <vt:i4>164</vt:i4>
      </vt:variant>
      <vt:variant>
        <vt:i4>0</vt:i4>
      </vt:variant>
      <vt:variant>
        <vt:i4>5</vt:i4>
      </vt:variant>
      <vt:variant>
        <vt:lpwstr/>
      </vt:variant>
      <vt:variant>
        <vt:lpwstr>_Toc320011549</vt:lpwstr>
      </vt:variant>
      <vt:variant>
        <vt:i4>1048631</vt:i4>
      </vt:variant>
      <vt:variant>
        <vt:i4>158</vt:i4>
      </vt:variant>
      <vt:variant>
        <vt:i4>0</vt:i4>
      </vt:variant>
      <vt:variant>
        <vt:i4>5</vt:i4>
      </vt:variant>
      <vt:variant>
        <vt:lpwstr/>
      </vt:variant>
      <vt:variant>
        <vt:lpwstr>_Toc320011548</vt:lpwstr>
      </vt:variant>
      <vt:variant>
        <vt:i4>1048631</vt:i4>
      </vt:variant>
      <vt:variant>
        <vt:i4>152</vt:i4>
      </vt:variant>
      <vt:variant>
        <vt:i4>0</vt:i4>
      </vt:variant>
      <vt:variant>
        <vt:i4>5</vt:i4>
      </vt:variant>
      <vt:variant>
        <vt:lpwstr/>
      </vt:variant>
      <vt:variant>
        <vt:lpwstr>_Toc320011547</vt:lpwstr>
      </vt:variant>
      <vt:variant>
        <vt:i4>1048631</vt:i4>
      </vt:variant>
      <vt:variant>
        <vt:i4>146</vt:i4>
      </vt:variant>
      <vt:variant>
        <vt:i4>0</vt:i4>
      </vt:variant>
      <vt:variant>
        <vt:i4>5</vt:i4>
      </vt:variant>
      <vt:variant>
        <vt:lpwstr/>
      </vt:variant>
      <vt:variant>
        <vt:lpwstr>_Toc320011546</vt:lpwstr>
      </vt:variant>
      <vt:variant>
        <vt:i4>1048631</vt:i4>
      </vt:variant>
      <vt:variant>
        <vt:i4>140</vt:i4>
      </vt:variant>
      <vt:variant>
        <vt:i4>0</vt:i4>
      </vt:variant>
      <vt:variant>
        <vt:i4>5</vt:i4>
      </vt:variant>
      <vt:variant>
        <vt:lpwstr/>
      </vt:variant>
      <vt:variant>
        <vt:lpwstr>_Toc320011545</vt:lpwstr>
      </vt:variant>
      <vt:variant>
        <vt:i4>1048631</vt:i4>
      </vt:variant>
      <vt:variant>
        <vt:i4>134</vt:i4>
      </vt:variant>
      <vt:variant>
        <vt:i4>0</vt:i4>
      </vt:variant>
      <vt:variant>
        <vt:i4>5</vt:i4>
      </vt:variant>
      <vt:variant>
        <vt:lpwstr/>
      </vt:variant>
      <vt:variant>
        <vt:lpwstr>_Toc320011544</vt:lpwstr>
      </vt:variant>
      <vt:variant>
        <vt:i4>1048631</vt:i4>
      </vt:variant>
      <vt:variant>
        <vt:i4>128</vt:i4>
      </vt:variant>
      <vt:variant>
        <vt:i4>0</vt:i4>
      </vt:variant>
      <vt:variant>
        <vt:i4>5</vt:i4>
      </vt:variant>
      <vt:variant>
        <vt:lpwstr/>
      </vt:variant>
      <vt:variant>
        <vt:lpwstr>_Toc320011543</vt:lpwstr>
      </vt:variant>
      <vt:variant>
        <vt:i4>1048631</vt:i4>
      </vt:variant>
      <vt:variant>
        <vt:i4>122</vt:i4>
      </vt:variant>
      <vt:variant>
        <vt:i4>0</vt:i4>
      </vt:variant>
      <vt:variant>
        <vt:i4>5</vt:i4>
      </vt:variant>
      <vt:variant>
        <vt:lpwstr/>
      </vt:variant>
      <vt:variant>
        <vt:lpwstr>_Toc320011542</vt:lpwstr>
      </vt:variant>
      <vt:variant>
        <vt:i4>1048631</vt:i4>
      </vt:variant>
      <vt:variant>
        <vt:i4>116</vt:i4>
      </vt:variant>
      <vt:variant>
        <vt:i4>0</vt:i4>
      </vt:variant>
      <vt:variant>
        <vt:i4>5</vt:i4>
      </vt:variant>
      <vt:variant>
        <vt:lpwstr/>
      </vt:variant>
      <vt:variant>
        <vt:lpwstr>_Toc320011541</vt:lpwstr>
      </vt:variant>
      <vt:variant>
        <vt:i4>1048631</vt:i4>
      </vt:variant>
      <vt:variant>
        <vt:i4>110</vt:i4>
      </vt:variant>
      <vt:variant>
        <vt:i4>0</vt:i4>
      </vt:variant>
      <vt:variant>
        <vt:i4>5</vt:i4>
      </vt:variant>
      <vt:variant>
        <vt:lpwstr/>
      </vt:variant>
      <vt:variant>
        <vt:lpwstr>_Toc320011540</vt:lpwstr>
      </vt:variant>
      <vt:variant>
        <vt:i4>1507383</vt:i4>
      </vt:variant>
      <vt:variant>
        <vt:i4>104</vt:i4>
      </vt:variant>
      <vt:variant>
        <vt:i4>0</vt:i4>
      </vt:variant>
      <vt:variant>
        <vt:i4>5</vt:i4>
      </vt:variant>
      <vt:variant>
        <vt:lpwstr/>
      </vt:variant>
      <vt:variant>
        <vt:lpwstr>_Toc320011539</vt:lpwstr>
      </vt:variant>
      <vt:variant>
        <vt:i4>1507383</vt:i4>
      </vt:variant>
      <vt:variant>
        <vt:i4>98</vt:i4>
      </vt:variant>
      <vt:variant>
        <vt:i4>0</vt:i4>
      </vt:variant>
      <vt:variant>
        <vt:i4>5</vt:i4>
      </vt:variant>
      <vt:variant>
        <vt:lpwstr/>
      </vt:variant>
      <vt:variant>
        <vt:lpwstr>_Toc320011538</vt:lpwstr>
      </vt:variant>
      <vt:variant>
        <vt:i4>1507383</vt:i4>
      </vt:variant>
      <vt:variant>
        <vt:i4>92</vt:i4>
      </vt:variant>
      <vt:variant>
        <vt:i4>0</vt:i4>
      </vt:variant>
      <vt:variant>
        <vt:i4>5</vt:i4>
      </vt:variant>
      <vt:variant>
        <vt:lpwstr/>
      </vt:variant>
      <vt:variant>
        <vt:lpwstr>_Toc320011537</vt:lpwstr>
      </vt:variant>
      <vt:variant>
        <vt:i4>1507383</vt:i4>
      </vt:variant>
      <vt:variant>
        <vt:i4>86</vt:i4>
      </vt:variant>
      <vt:variant>
        <vt:i4>0</vt:i4>
      </vt:variant>
      <vt:variant>
        <vt:i4>5</vt:i4>
      </vt:variant>
      <vt:variant>
        <vt:lpwstr/>
      </vt:variant>
      <vt:variant>
        <vt:lpwstr>_Toc320011536</vt:lpwstr>
      </vt:variant>
      <vt:variant>
        <vt:i4>1507383</vt:i4>
      </vt:variant>
      <vt:variant>
        <vt:i4>80</vt:i4>
      </vt:variant>
      <vt:variant>
        <vt:i4>0</vt:i4>
      </vt:variant>
      <vt:variant>
        <vt:i4>5</vt:i4>
      </vt:variant>
      <vt:variant>
        <vt:lpwstr/>
      </vt:variant>
      <vt:variant>
        <vt:lpwstr>_Toc320011535</vt:lpwstr>
      </vt:variant>
      <vt:variant>
        <vt:i4>1507383</vt:i4>
      </vt:variant>
      <vt:variant>
        <vt:i4>74</vt:i4>
      </vt:variant>
      <vt:variant>
        <vt:i4>0</vt:i4>
      </vt:variant>
      <vt:variant>
        <vt:i4>5</vt:i4>
      </vt:variant>
      <vt:variant>
        <vt:lpwstr/>
      </vt:variant>
      <vt:variant>
        <vt:lpwstr>_Toc320011534</vt:lpwstr>
      </vt:variant>
      <vt:variant>
        <vt:i4>1507383</vt:i4>
      </vt:variant>
      <vt:variant>
        <vt:i4>68</vt:i4>
      </vt:variant>
      <vt:variant>
        <vt:i4>0</vt:i4>
      </vt:variant>
      <vt:variant>
        <vt:i4>5</vt:i4>
      </vt:variant>
      <vt:variant>
        <vt:lpwstr/>
      </vt:variant>
      <vt:variant>
        <vt:lpwstr>_Toc320011533</vt:lpwstr>
      </vt:variant>
      <vt:variant>
        <vt:i4>1507383</vt:i4>
      </vt:variant>
      <vt:variant>
        <vt:i4>62</vt:i4>
      </vt:variant>
      <vt:variant>
        <vt:i4>0</vt:i4>
      </vt:variant>
      <vt:variant>
        <vt:i4>5</vt:i4>
      </vt:variant>
      <vt:variant>
        <vt:lpwstr/>
      </vt:variant>
      <vt:variant>
        <vt:lpwstr>_Toc320011532</vt:lpwstr>
      </vt:variant>
      <vt:variant>
        <vt:i4>1507383</vt:i4>
      </vt:variant>
      <vt:variant>
        <vt:i4>56</vt:i4>
      </vt:variant>
      <vt:variant>
        <vt:i4>0</vt:i4>
      </vt:variant>
      <vt:variant>
        <vt:i4>5</vt:i4>
      </vt:variant>
      <vt:variant>
        <vt:lpwstr/>
      </vt:variant>
      <vt:variant>
        <vt:lpwstr>_Toc320011531</vt:lpwstr>
      </vt:variant>
      <vt:variant>
        <vt:i4>1507383</vt:i4>
      </vt:variant>
      <vt:variant>
        <vt:i4>50</vt:i4>
      </vt:variant>
      <vt:variant>
        <vt:i4>0</vt:i4>
      </vt:variant>
      <vt:variant>
        <vt:i4>5</vt:i4>
      </vt:variant>
      <vt:variant>
        <vt:lpwstr/>
      </vt:variant>
      <vt:variant>
        <vt:lpwstr>_Toc320011530</vt:lpwstr>
      </vt:variant>
      <vt:variant>
        <vt:i4>1441847</vt:i4>
      </vt:variant>
      <vt:variant>
        <vt:i4>44</vt:i4>
      </vt:variant>
      <vt:variant>
        <vt:i4>0</vt:i4>
      </vt:variant>
      <vt:variant>
        <vt:i4>5</vt:i4>
      </vt:variant>
      <vt:variant>
        <vt:lpwstr/>
      </vt:variant>
      <vt:variant>
        <vt:lpwstr>_Toc320011529</vt:lpwstr>
      </vt:variant>
      <vt:variant>
        <vt:i4>1441847</vt:i4>
      </vt:variant>
      <vt:variant>
        <vt:i4>38</vt:i4>
      </vt:variant>
      <vt:variant>
        <vt:i4>0</vt:i4>
      </vt:variant>
      <vt:variant>
        <vt:i4>5</vt:i4>
      </vt:variant>
      <vt:variant>
        <vt:lpwstr/>
      </vt:variant>
      <vt:variant>
        <vt:lpwstr>_Toc320011528</vt:lpwstr>
      </vt:variant>
      <vt:variant>
        <vt:i4>1441847</vt:i4>
      </vt:variant>
      <vt:variant>
        <vt:i4>32</vt:i4>
      </vt:variant>
      <vt:variant>
        <vt:i4>0</vt:i4>
      </vt:variant>
      <vt:variant>
        <vt:i4>5</vt:i4>
      </vt:variant>
      <vt:variant>
        <vt:lpwstr/>
      </vt:variant>
      <vt:variant>
        <vt:lpwstr>_Toc320011527</vt:lpwstr>
      </vt:variant>
      <vt:variant>
        <vt:i4>1441847</vt:i4>
      </vt:variant>
      <vt:variant>
        <vt:i4>26</vt:i4>
      </vt:variant>
      <vt:variant>
        <vt:i4>0</vt:i4>
      </vt:variant>
      <vt:variant>
        <vt:i4>5</vt:i4>
      </vt:variant>
      <vt:variant>
        <vt:lpwstr/>
      </vt:variant>
      <vt:variant>
        <vt:lpwstr>_Toc320011526</vt:lpwstr>
      </vt:variant>
      <vt:variant>
        <vt:i4>1441847</vt:i4>
      </vt:variant>
      <vt:variant>
        <vt:i4>20</vt:i4>
      </vt:variant>
      <vt:variant>
        <vt:i4>0</vt:i4>
      </vt:variant>
      <vt:variant>
        <vt:i4>5</vt:i4>
      </vt:variant>
      <vt:variant>
        <vt:lpwstr/>
      </vt:variant>
      <vt:variant>
        <vt:lpwstr>_Toc320011525</vt:lpwstr>
      </vt:variant>
      <vt:variant>
        <vt:i4>1441847</vt:i4>
      </vt:variant>
      <vt:variant>
        <vt:i4>14</vt:i4>
      </vt:variant>
      <vt:variant>
        <vt:i4>0</vt:i4>
      </vt:variant>
      <vt:variant>
        <vt:i4>5</vt:i4>
      </vt:variant>
      <vt:variant>
        <vt:lpwstr/>
      </vt:variant>
      <vt:variant>
        <vt:lpwstr>_Toc320011524</vt:lpwstr>
      </vt:variant>
      <vt:variant>
        <vt:i4>1441847</vt:i4>
      </vt:variant>
      <vt:variant>
        <vt:i4>8</vt:i4>
      </vt:variant>
      <vt:variant>
        <vt:i4>0</vt:i4>
      </vt:variant>
      <vt:variant>
        <vt:i4>5</vt:i4>
      </vt:variant>
      <vt:variant>
        <vt:lpwstr/>
      </vt:variant>
      <vt:variant>
        <vt:lpwstr>_Toc320011523</vt:lpwstr>
      </vt:variant>
      <vt:variant>
        <vt:i4>1441847</vt:i4>
      </vt:variant>
      <vt:variant>
        <vt:i4>2</vt:i4>
      </vt:variant>
      <vt:variant>
        <vt:i4>0</vt:i4>
      </vt:variant>
      <vt:variant>
        <vt:i4>5</vt:i4>
      </vt:variant>
      <vt:variant>
        <vt:lpwstr/>
      </vt:variant>
      <vt:variant>
        <vt:lpwstr>_Toc320011522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dc:title>
  <dc:creator>Shirley Taggart</dc:creator>
  <cp:lastModifiedBy>KH</cp:lastModifiedBy>
  <cp:revision>2</cp:revision>
  <cp:lastPrinted>2016-06-17T08:16:00Z</cp:lastPrinted>
  <dcterms:created xsi:type="dcterms:W3CDTF">2017-01-20T15:53:00Z</dcterms:created>
  <dcterms:modified xsi:type="dcterms:W3CDTF">2017-01-20T15:53:00Z</dcterms:modified>
</cp:coreProperties>
</file>