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2123" w:type="dxa"/>
        <w:tblCellMar>
          <w:left w:w="99" w:type="dxa"/>
          <w:right w:w="99" w:type="dxa"/>
        </w:tblCellMar>
        <w:tblLook w:val="04A0" w:firstRow="1" w:lastRow="0" w:firstColumn="1" w:lastColumn="0" w:noHBand="0" w:noVBand="1"/>
      </w:tblPr>
      <w:tblGrid>
        <w:gridCol w:w="7853"/>
        <w:gridCol w:w="2387"/>
        <w:gridCol w:w="1883"/>
      </w:tblGrid>
      <w:tr w:rsidR="004767AF" w:rsidRPr="004767AF" w:rsidTr="004767AF">
        <w:trPr>
          <w:trHeight w:val="300"/>
        </w:trPr>
        <w:tc>
          <w:tcPr>
            <w:tcW w:w="10240" w:type="dxa"/>
            <w:gridSpan w:val="2"/>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b/>
                <w:bCs/>
                <w:color w:val="000000"/>
                <w:kern w:val="0"/>
                <w:sz w:val="20"/>
                <w:szCs w:val="20"/>
              </w:rPr>
            </w:pPr>
            <w:r w:rsidRPr="004767AF">
              <w:rPr>
                <w:rFonts w:ascii="Times New Roman" w:eastAsia="ＭＳ Ｐゴシック" w:hAnsi="Times New Roman" w:cs="Times New Roman"/>
                <w:b/>
                <w:bCs/>
                <w:color w:val="000000"/>
                <w:kern w:val="0"/>
                <w:sz w:val="20"/>
                <w:szCs w:val="20"/>
              </w:rPr>
              <w:t>Table S1.</w:t>
            </w:r>
            <w:r w:rsidRPr="004767AF">
              <w:rPr>
                <w:rFonts w:ascii="Times New Roman" w:eastAsia="ＭＳ Ｐゴシック" w:hAnsi="Times New Roman" w:cs="Times New Roman"/>
                <w:color w:val="000000"/>
                <w:kern w:val="0"/>
                <w:sz w:val="20"/>
                <w:szCs w:val="20"/>
              </w:rPr>
              <w:t xml:space="preserve"> Disease lists corresponding with adrenal insufficiency and number of patients.</w:t>
            </w:r>
          </w:p>
        </w:tc>
        <w:tc>
          <w:tcPr>
            <w:tcW w:w="188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b/>
                <w:bCs/>
                <w:color w:val="000000"/>
                <w:kern w:val="0"/>
                <w:sz w:val="20"/>
                <w:szCs w:val="20"/>
              </w:rPr>
            </w:pPr>
          </w:p>
        </w:tc>
      </w:tr>
      <w:tr w:rsidR="004767AF" w:rsidRPr="004767AF" w:rsidTr="004767AF">
        <w:trPr>
          <w:trHeight w:val="300"/>
        </w:trPr>
        <w:tc>
          <w:tcPr>
            <w:tcW w:w="785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Times New Roman" w:hAnsi="Times New Roman" w:cs="Times New Roman"/>
                <w:kern w:val="0"/>
                <w:sz w:val="20"/>
                <w:szCs w:val="20"/>
              </w:rPr>
            </w:pPr>
          </w:p>
        </w:tc>
        <w:tc>
          <w:tcPr>
            <w:tcW w:w="2387"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Times New Roman" w:hAnsi="Times New Roman" w:cs="Times New Roman"/>
                <w:kern w:val="0"/>
                <w:sz w:val="20"/>
                <w:szCs w:val="20"/>
              </w:rPr>
            </w:pPr>
          </w:p>
        </w:tc>
        <w:tc>
          <w:tcPr>
            <w:tcW w:w="188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Times New Roman" w:hAnsi="Times New Roman" w:cs="Times New Roman"/>
                <w:kern w:val="0"/>
                <w:sz w:val="20"/>
                <w:szCs w:val="20"/>
              </w:rPr>
            </w:pPr>
          </w:p>
        </w:tc>
      </w:tr>
      <w:tr w:rsidR="004767AF" w:rsidRPr="004767AF" w:rsidTr="004767AF">
        <w:trPr>
          <w:trHeight w:val="315"/>
        </w:trPr>
        <w:tc>
          <w:tcPr>
            <w:tcW w:w="7853" w:type="dxa"/>
            <w:tcBorders>
              <w:top w:val="nil"/>
              <w:left w:val="nil"/>
              <w:bottom w:val="single" w:sz="4" w:space="0" w:color="auto"/>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Disease name</w:t>
            </w:r>
          </w:p>
        </w:tc>
        <w:tc>
          <w:tcPr>
            <w:tcW w:w="2387" w:type="dxa"/>
            <w:tcBorders>
              <w:top w:val="nil"/>
              <w:left w:val="nil"/>
              <w:bottom w:val="single" w:sz="4" w:space="0" w:color="auto"/>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ICD-10</w:t>
            </w:r>
          </w:p>
        </w:tc>
        <w:tc>
          <w:tcPr>
            <w:tcW w:w="1883" w:type="dxa"/>
            <w:tcBorders>
              <w:top w:val="nil"/>
              <w:left w:val="nil"/>
              <w:bottom w:val="single" w:sz="4" w:space="0" w:color="auto"/>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Number of patients</w:t>
            </w:r>
          </w:p>
        </w:tc>
      </w:tr>
      <w:tr w:rsidR="004767AF" w:rsidRPr="004767AF" w:rsidTr="004767AF">
        <w:trPr>
          <w:trHeight w:val="315"/>
        </w:trPr>
        <w:tc>
          <w:tcPr>
            <w:tcW w:w="785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Adrenocortical insufficiency</w:t>
            </w:r>
          </w:p>
        </w:tc>
        <w:tc>
          <w:tcPr>
            <w:tcW w:w="2387"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E274</w:t>
            </w:r>
          </w:p>
        </w:tc>
        <w:tc>
          <w:tcPr>
            <w:tcW w:w="1883" w:type="dxa"/>
            <w:tcBorders>
              <w:top w:val="nil"/>
              <w:left w:val="nil"/>
              <w:bottom w:val="nil"/>
              <w:right w:val="nil"/>
            </w:tcBorders>
            <w:shd w:val="clear" w:color="auto" w:fill="auto"/>
            <w:noWrap/>
            <w:vAlign w:val="center"/>
            <w:hideMark/>
          </w:tcPr>
          <w:p w:rsidR="004767AF" w:rsidRPr="004767AF" w:rsidRDefault="004767AF" w:rsidP="004767AF">
            <w:pPr>
              <w:widowControl/>
              <w:jc w:val="righ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264 </w:t>
            </w:r>
          </w:p>
        </w:tc>
      </w:tr>
      <w:tr w:rsidR="004767AF" w:rsidRPr="004767AF" w:rsidTr="004767AF">
        <w:trPr>
          <w:trHeight w:val="315"/>
        </w:trPr>
        <w:tc>
          <w:tcPr>
            <w:tcW w:w="785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Adrenal crisis</w:t>
            </w:r>
          </w:p>
        </w:tc>
        <w:tc>
          <w:tcPr>
            <w:tcW w:w="2387"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E272</w:t>
            </w:r>
          </w:p>
        </w:tc>
        <w:tc>
          <w:tcPr>
            <w:tcW w:w="1883" w:type="dxa"/>
            <w:tcBorders>
              <w:top w:val="nil"/>
              <w:left w:val="nil"/>
              <w:bottom w:val="nil"/>
              <w:right w:val="nil"/>
            </w:tcBorders>
            <w:shd w:val="clear" w:color="auto" w:fill="auto"/>
            <w:noWrap/>
            <w:vAlign w:val="center"/>
            <w:hideMark/>
          </w:tcPr>
          <w:p w:rsidR="004767AF" w:rsidRPr="004767AF" w:rsidRDefault="004767AF" w:rsidP="004767AF">
            <w:pPr>
              <w:widowControl/>
              <w:jc w:val="righ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194 </w:t>
            </w:r>
          </w:p>
        </w:tc>
      </w:tr>
      <w:tr w:rsidR="004767AF" w:rsidRPr="004767AF" w:rsidTr="004767AF">
        <w:trPr>
          <w:trHeight w:val="315"/>
        </w:trPr>
        <w:tc>
          <w:tcPr>
            <w:tcW w:w="785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Secondary adrenocortical insufficiency</w:t>
            </w:r>
          </w:p>
        </w:tc>
        <w:tc>
          <w:tcPr>
            <w:tcW w:w="2387"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E274</w:t>
            </w:r>
          </w:p>
        </w:tc>
        <w:tc>
          <w:tcPr>
            <w:tcW w:w="1883" w:type="dxa"/>
            <w:tcBorders>
              <w:top w:val="nil"/>
              <w:left w:val="nil"/>
              <w:bottom w:val="nil"/>
              <w:right w:val="nil"/>
            </w:tcBorders>
            <w:shd w:val="clear" w:color="auto" w:fill="auto"/>
            <w:noWrap/>
            <w:vAlign w:val="center"/>
            <w:hideMark/>
          </w:tcPr>
          <w:p w:rsidR="004767AF" w:rsidRPr="004767AF" w:rsidRDefault="004767AF" w:rsidP="004767AF">
            <w:pPr>
              <w:widowControl/>
              <w:jc w:val="righ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28 </w:t>
            </w:r>
          </w:p>
        </w:tc>
      </w:tr>
      <w:tr w:rsidR="004767AF" w:rsidRPr="004767AF" w:rsidTr="004767AF">
        <w:trPr>
          <w:trHeight w:val="315"/>
        </w:trPr>
        <w:tc>
          <w:tcPr>
            <w:tcW w:w="785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Post-procedural adrenocortical hypofunction</w:t>
            </w:r>
          </w:p>
        </w:tc>
        <w:tc>
          <w:tcPr>
            <w:tcW w:w="2387"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E896</w:t>
            </w:r>
          </w:p>
        </w:tc>
        <w:tc>
          <w:tcPr>
            <w:tcW w:w="1883" w:type="dxa"/>
            <w:tcBorders>
              <w:top w:val="nil"/>
              <w:left w:val="nil"/>
              <w:bottom w:val="nil"/>
              <w:right w:val="nil"/>
            </w:tcBorders>
            <w:shd w:val="clear" w:color="auto" w:fill="auto"/>
            <w:noWrap/>
            <w:vAlign w:val="center"/>
            <w:hideMark/>
          </w:tcPr>
          <w:p w:rsidR="004767AF" w:rsidRPr="004767AF" w:rsidRDefault="004767AF" w:rsidP="004767AF">
            <w:pPr>
              <w:widowControl/>
              <w:jc w:val="righ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10 </w:t>
            </w:r>
          </w:p>
        </w:tc>
      </w:tr>
      <w:tr w:rsidR="004767AF" w:rsidRPr="004767AF" w:rsidTr="004767AF">
        <w:trPr>
          <w:trHeight w:val="315"/>
        </w:trPr>
        <w:tc>
          <w:tcPr>
            <w:tcW w:w="7853"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Steroid withdrawal syndrome</w:t>
            </w:r>
          </w:p>
        </w:tc>
        <w:tc>
          <w:tcPr>
            <w:tcW w:w="2387" w:type="dxa"/>
            <w:tcBorders>
              <w:top w:val="nil"/>
              <w:left w:val="nil"/>
              <w:bottom w:val="nil"/>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E273</w:t>
            </w:r>
          </w:p>
        </w:tc>
        <w:tc>
          <w:tcPr>
            <w:tcW w:w="1883" w:type="dxa"/>
            <w:tcBorders>
              <w:top w:val="nil"/>
              <w:left w:val="nil"/>
              <w:bottom w:val="nil"/>
              <w:right w:val="nil"/>
            </w:tcBorders>
            <w:shd w:val="clear" w:color="auto" w:fill="auto"/>
            <w:noWrap/>
            <w:vAlign w:val="center"/>
            <w:hideMark/>
          </w:tcPr>
          <w:p w:rsidR="004767AF" w:rsidRPr="004767AF" w:rsidRDefault="004767AF" w:rsidP="004767AF">
            <w:pPr>
              <w:widowControl/>
              <w:jc w:val="righ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5 </w:t>
            </w:r>
          </w:p>
        </w:tc>
      </w:tr>
      <w:tr w:rsidR="004767AF" w:rsidRPr="004767AF" w:rsidTr="004767AF">
        <w:trPr>
          <w:trHeight w:val="315"/>
        </w:trPr>
        <w:tc>
          <w:tcPr>
            <w:tcW w:w="7853" w:type="dxa"/>
            <w:tcBorders>
              <w:top w:val="nil"/>
              <w:left w:val="nil"/>
              <w:bottom w:val="single" w:sz="4" w:space="0" w:color="auto"/>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Iatrogenic adrenocortical insufficiency</w:t>
            </w:r>
          </w:p>
        </w:tc>
        <w:tc>
          <w:tcPr>
            <w:tcW w:w="2387" w:type="dxa"/>
            <w:tcBorders>
              <w:top w:val="nil"/>
              <w:left w:val="nil"/>
              <w:bottom w:val="single" w:sz="4" w:space="0" w:color="auto"/>
              <w:right w:val="nil"/>
            </w:tcBorders>
            <w:shd w:val="clear" w:color="auto" w:fill="auto"/>
            <w:noWrap/>
            <w:vAlign w:val="center"/>
            <w:hideMark/>
          </w:tcPr>
          <w:p w:rsidR="004767AF" w:rsidRPr="004767AF" w:rsidRDefault="004767AF" w:rsidP="004767AF">
            <w:pPr>
              <w:widowControl/>
              <w:jc w:val="lef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 E274 / E896</w:t>
            </w:r>
          </w:p>
        </w:tc>
        <w:tc>
          <w:tcPr>
            <w:tcW w:w="1883" w:type="dxa"/>
            <w:tcBorders>
              <w:top w:val="nil"/>
              <w:left w:val="nil"/>
              <w:bottom w:val="single" w:sz="4" w:space="0" w:color="auto"/>
              <w:right w:val="nil"/>
            </w:tcBorders>
            <w:shd w:val="clear" w:color="auto" w:fill="auto"/>
            <w:noWrap/>
            <w:vAlign w:val="center"/>
            <w:hideMark/>
          </w:tcPr>
          <w:p w:rsidR="004767AF" w:rsidRPr="004767AF" w:rsidRDefault="004767AF" w:rsidP="004767AF">
            <w:pPr>
              <w:widowControl/>
              <w:jc w:val="right"/>
              <w:rPr>
                <w:rFonts w:ascii="Times New Roman" w:eastAsia="ＭＳ Ｐゴシック" w:hAnsi="Times New Roman" w:cs="Times New Roman"/>
                <w:color w:val="000000"/>
                <w:kern w:val="0"/>
                <w:sz w:val="20"/>
                <w:szCs w:val="20"/>
              </w:rPr>
            </w:pPr>
            <w:r w:rsidRPr="004767AF">
              <w:rPr>
                <w:rFonts w:ascii="Times New Roman" w:eastAsia="ＭＳ Ｐゴシック" w:hAnsi="Times New Roman" w:cs="Times New Roman"/>
                <w:color w:val="000000"/>
                <w:kern w:val="0"/>
                <w:sz w:val="20"/>
                <w:szCs w:val="20"/>
              </w:rPr>
              <w:t xml:space="preserve">3 </w:t>
            </w:r>
          </w:p>
        </w:tc>
      </w:tr>
    </w:tbl>
    <w:p w:rsidR="007809F9" w:rsidRPr="004767AF" w:rsidRDefault="007809F9">
      <w:pPr>
        <w:rPr>
          <w:rFonts w:ascii="Times New Roman" w:hAnsi="Times New Roman" w:cs="Times New Roman"/>
          <w:sz w:val="20"/>
          <w:szCs w:val="20"/>
        </w:rPr>
      </w:pPr>
    </w:p>
    <w:p w:rsidR="004767AF" w:rsidRPr="004767AF" w:rsidRDefault="004767AF">
      <w:pPr>
        <w:rPr>
          <w:rFonts w:ascii="Times New Roman" w:hAnsi="Times New Roman" w:cs="Times New Roman"/>
          <w:sz w:val="20"/>
          <w:szCs w:val="20"/>
        </w:rPr>
      </w:pPr>
    </w:p>
    <w:p w:rsidR="004767AF" w:rsidRPr="004767AF" w:rsidRDefault="004767AF">
      <w:pPr>
        <w:rPr>
          <w:rFonts w:ascii="Times New Roman" w:hAnsi="Times New Roman" w:cs="Times New Roman"/>
          <w:sz w:val="20"/>
          <w:szCs w:val="20"/>
        </w:rPr>
        <w:sectPr w:rsidR="004767AF" w:rsidRPr="004767AF" w:rsidSect="004767AF">
          <w:pgSz w:w="16838" w:h="11906" w:orient="landscape"/>
          <w:pgMar w:top="1701" w:right="1985" w:bottom="1701" w:left="1701" w:header="851" w:footer="992" w:gutter="0"/>
          <w:cols w:space="425"/>
          <w:docGrid w:type="lines" w:linePitch="360"/>
        </w:sectPr>
      </w:pPr>
    </w:p>
    <w:tbl>
      <w:tblPr>
        <w:tblW w:w="10206" w:type="dxa"/>
        <w:tblLayout w:type="fixed"/>
        <w:tblCellMar>
          <w:left w:w="99" w:type="dxa"/>
          <w:right w:w="99" w:type="dxa"/>
        </w:tblCellMar>
        <w:tblLook w:val="04A0" w:firstRow="1" w:lastRow="0" w:firstColumn="1" w:lastColumn="0" w:noHBand="0" w:noVBand="1"/>
      </w:tblPr>
      <w:tblGrid>
        <w:gridCol w:w="3119"/>
        <w:gridCol w:w="2977"/>
        <w:gridCol w:w="218"/>
        <w:gridCol w:w="632"/>
        <w:gridCol w:w="1134"/>
        <w:gridCol w:w="425"/>
        <w:gridCol w:w="567"/>
        <w:gridCol w:w="1134"/>
      </w:tblGrid>
      <w:tr w:rsidR="00CF635C" w:rsidRPr="00CF635C" w:rsidTr="00CF635C">
        <w:trPr>
          <w:trHeight w:val="825"/>
        </w:trPr>
        <w:tc>
          <w:tcPr>
            <w:tcW w:w="10206" w:type="dxa"/>
            <w:gridSpan w:val="8"/>
            <w:tcBorders>
              <w:top w:val="nil"/>
              <w:left w:val="nil"/>
              <w:bottom w:val="single" w:sz="8" w:space="0" w:color="auto"/>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b/>
                <w:bCs/>
                <w:color w:val="000000"/>
                <w:kern w:val="0"/>
                <w:sz w:val="20"/>
                <w:szCs w:val="20"/>
              </w:rPr>
              <w:lastRenderedPageBreak/>
              <w:t>Table S2.</w:t>
            </w:r>
            <w:r w:rsidRPr="00CF635C">
              <w:rPr>
                <w:rFonts w:ascii="Times New Roman" w:eastAsia="ＭＳ Ｐゴシック" w:hAnsi="Times New Roman" w:cs="Times New Roman"/>
                <w:color w:val="000000"/>
                <w:kern w:val="0"/>
                <w:sz w:val="20"/>
                <w:szCs w:val="20"/>
              </w:rPr>
              <w:t xml:space="preserve"> </w:t>
            </w:r>
            <w:r w:rsidRPr="00CF635C">
              <w:rPr>
                <w:rFonts w:ascii="Times New Roman" w:eastAsia="ＭＳ Ｐゴシック" w:hAnsi="Times New Roman" w:cs="Times New Roman"/>
                <w:color w:val="000000"/>
                <w:kern w:val="0"/>
                <w:sz w:val="20"/>
                <w:szCs w:val="20"/>
              </w:rPr>
              <w:br/>
              <w:t>Demographic and clinical characteristics at admission of patients receiving excessive GC administration</w:t>
            </w:r>
            <w:r w:rsidRPr="00CF635C">
              <w:rPr>
                <w:rFonts w:ascii="Times New Roman" w:eastAsia="ＭＳ Ｐゴシック" w:hAnsi="Times New Roman" w:cs="Times New Roman"/>
                <w:color w:val="000000"/>
                <w:kern w:val="0"/>
                <w:sz w:val="20"/>
                <w:szCs w:val="20"/>
              </w:rPr>
              <w:br/>
              <w:t xml:space="preserve"> (hydrocortisone equivalent dose &gt; 1000 mg/day)</w:t>
            </w:r>
          </w:p>
        </w:tc>
      </w:tr>
      <w:tr w:rsidR="00CF635C" w:rsidRPr="00CF635C" w:rsidTr="00CF635C">
        <w:trPr>
          <w:trHeight w:val="255"/>
        </w:trPr>
        <w:tc>
          <w:tcPr>
            <w:tcW w:w="3119" w:type="dxa"/>
            <w:tcBorders>
              <w:top w:val="nil"/>
              <w:left w:val="nil"/>
              <w:bottom w:val="nil"/>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766" w:type="dxa"/>
            <w:gridSpan w:val="2"/>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HC &gt; 1000mg/day</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1701" w:type="dxa"/>
            <w:gridSpan w:val="2"/>
            <w:tcBorders>
              <w:top w:val="single" w:sz="8" w:space="0" w:color="auto"/>
              <w:left w:val="nil"/>
              <w:bottom w:val="nil"/>
              <w:right w:val="nil"/>
            </w:tcBorders>
            <w:shd w:val="clear" w:color="auto" w:fill="auto"/>
            <w:noWrap/>
            <w:vAlign w:val="center"/>
            <w:hideMark/>
          </w:tcPr>
          <w:p w:rsidR="00CF635C" w:rsidRPr="00CF635C" w:rsidRDefault="00CF635C" w:rsidP="00CF635C">
            <w:pPr>
              <w:widowControl/>
              <w:jc w:val="center"/>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ALL</w:t>
            </w:r>
          </w:p>
        </w:tc>
      </w:tr>
      <w:tr w:rsidR="00CF635C" w:rsidRPr="00CF635C" w:rsidTr="00CF635C">
        <w:trPr>
          <w:trHeight w:val="285"/>
        </w:trPr>
        <w:tc>
          <w:tcPr>
            <w:tcW w:w="3119"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w:t>
            </w:r>
          </w:p>
        </w:tc>
        <w:tc>
          <w:tcPr>
            <w:tcW w:w="2977"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w:t>
            </w:r>
          </w:p>
        </w:tc>
        <w:tc>
          <w:tcPr>
            <w:tcW w:w="218"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w:t>
            </w:r>
          </w:p>
        </w:tc>
        <w:tc>
          <w:tcPr>
            <w:tcW w:w="1766" w:type="dxa"/>
            <w:gridSpan w:val="2"/>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center"/>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(n=41)</w:t>
            </w:r>
          </w:p>
        </w:tc>
        <w:tc>
          <w:tcPr>
            <w:tcW w:w="425"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w:t>
            </w:r>
          </w:p>
        </w:tc>
        <w:tc>
          <w:tcPr>
            <w:tcW w:w="1701" w:type="dxa"/>
            <w:gridSpan w:val="2"/>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center"/>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(n=504)</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Age(years)</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Median [IQR]</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64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(54 - 75)</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71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(59 - 80)</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20"/>
                <w:szCs w:val="20"/>
              </w:rPr>
            </w:pPr>
            <w:r w:rsidRPr="00CF635C">
              <w:rPr>
                <w:rFonts w:ascii="Times New Roman" w:eastAsia="ＭＳ Ｐゴシック" w:hAnsi="Times New Roman" w:cs="Times New Roman"/>
                <w:kern w:val="0"/>
                <w:sz w:val="20"/>
                <w:szCs w:val="20"/>
              </w:rPr>
              <w:t>Male</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(51.2)</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255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(50.6)</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Predisposing disease</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Primary AI</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(7.3)</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23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(4.6)</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Central AI</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(26.8)</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136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(27.0)</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Others</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27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(65.9)</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345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(68.5)</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Inidication for hospital admission*</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Adrenal insufficiency† </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5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(12.2)</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82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(16.3)</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Pituitary disease </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(24.4)</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74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(14.7)</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Cancer</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(4.9)</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74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(14.7)</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Infection</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(0)</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59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(11.1)</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Cardiovascular disease</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(7.3)</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(4.2)</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Sepsis</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(4.9)</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17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(3.4)</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Adrenal tumor</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(0)</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(2.0)</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AI-related clinical symptom‡</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(2.4)</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58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(11.5)</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Others</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(34.6)</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86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(17.1)</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Therapeutic GC regimen</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HC</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(7.3)</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328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(65.3)</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mPSL</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37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(90.2)</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74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(14.7)</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DEX</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(0)</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44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(8.7)</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Others</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(2.4)</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58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(11.3)</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Hormone testing</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ACTH</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17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(41.5)</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234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(46.4)</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Cortisol</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23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(56.1)</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258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(51.2)</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Endocrine stimulation test§ </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(7.3)</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40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(7.9)</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Adrenal cortex stimulation test</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(0)</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(4.2)</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Visited before admission</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Yes, within 90 days before</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26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(63.4)</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337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(66.9)</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Yes, within 14 days before</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(48.8)</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241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(47.8)</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Under GC-related medication</w:t>
            </w: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Oral GC</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9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(22.0)</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104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(20.6)</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HC equivalent daily dosage (mg)</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30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(21 - 157)</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27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(20 - 100)</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Median [IQR] </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Intranasal GC</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(0.0)</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0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(0.0)</w:t>
            </w:r>
          </w:p>
        </w:tc>
      </w:tr>
      <w:tr w:rsidR="00CF635C" w:rsidRPr="00CF635C" w:rsidTr="00CF635C">
        <w:trPr>
          <w:trHeight w:val="255"/>
        </w:trPr>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2977"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Inhaled GC</w:t>
            </w:r>
          </w:p>
        </w:tc>
        <w:tc>
          <w:tcPr>
            <w:tcW w:w="2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632"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2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(4.9)</w:t>
            </w:r>
          </w:p>
        </w:tc>
        <w:tc>
          <w:tcPr>
            <w:tcW w:w="425"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c>
          <w:tcPr>
            <w:tcW w:w="567" w:type="dxa"/>
            <w:tcBorders>
              <w:top w:val="nil"/>
              <w:left w:val="nil"/>
              <w:bottom w:val="nil"/>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15 </w:t>
            </w:r>
          </w:p>
        </w:tc>
        <w:tc>
          <w:tcPr>
            <w:tcW w:w="1134"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(3.0)</w:t>
            </w:r>
          </w:p>
        </w:tc>
      </w:tr>
      <w:tr w:rsidR="00CF635C" w:rsidRPr="00CF635C" w:rsidTr="00CF635C">
        <w:trPr>
          <w:trHeight w:val="270"/>
        </w:trPr>
        <w:tc>
          <w:tcPr>
            <w:tcW w:w="3119"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w:t>
            </w:r>
          </w:p>
        </w:tc>
        <w:tc>
          <w:tcPr>
            <w:tcW w:w="2977"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Drug interacting with GC</w:t>
            </w:r>
          </w:p>
        </w:tc>
        <w:tc>
          <w:tcPr>
            <w:tcW w:w="218"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w:t>
            </w:r>
          </w:p>
        </w:tc>
        <w:tc>
          <w:tcPr>
            <w:tcW w:w="632"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 </w:t>
            </w:r>
          </w:p>
        </w:tc>
        <w:tc>
          <w:tcPr>
            <w:tcW w:w="1134"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(2.4)</w:t>
            </w:r>
          </w:p>
        </w:tc>
        <w:tc>
          <w:tcPr>
            <w:tcW w:w="425"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w:t>
            </w:r>
          </w:p>
        </w:tc>
        <w:tc>
          <w:tcPr>
            <w:tcW w:w="567"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righ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13 </w:t>
            </w:r>
          </w:p>
        </w:tc>
        <w:tc>
          <w:tcPr>
            <w:tcW w:w="1134" w:type="dxa"/>
            <w:tcBorders>
              <w:top w:val="nil"/>
              <w:left w:val="nil"/>
              <w:bottom w:val="single" w:sz="8"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 (2.6)</w:t>
            </w:r>
          </w:p>
        </w:tc>
      </w:tr>
      <w:tr w:rsidR="00CF635C" w:rsidRPr="00CF635C" w:rsidTr="00CF635C">
        <w:trPr>
          <w:trHeight w:val="360"/>
        </w:trPr>
        <w:tc>
          <w:tcPr>
            <w:tcW w:w="10206" w:type="dxa"/>
            <w:gridSpan w:val="8"/>
            <w:vMerge w:val="restart"/>
            <w:tcBorders>
              <w:top w:val="single" w:sz="8" w:space="0" w:color="auto"/>
              <w:left w:val="nil"/>
              <w:bottom w:val="nil"/>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r w:rsidRPr="00CF635C">
              <w:rPr>
                <w:rFonts w:ascii="Times New Roman" w:eastAsia="ＭＳ Ｐゴシック" w:hAnsi="Times New Roman" w:cs="Times New Roman"/>
                <w:color w:val="000000"/>
                <w:kern w:val="0"/>
                <w:sz w:val="20"/>
                <w:szCs w:val="20"/>
              </w:rPr>
              <w:t xml:space="preserve">Abbreviation: </w:t>
            </w:r>
            <w:r w:rsidRPr="00CF635C">
              <w:rPr>
                <w:rFonts w:ascii="Times New Roman" w:eastAsia="ＭＳ Ｐゴシック" w:hAnsi="Times New Roman" w:cs="Times New Roman"/>
                <w:color w:val="000000"/>
                <w:kern w:val="0"/>
                <w:sz w:val="20"/>
                <w:szCs w:val="20"/>
              </w:rPr>
              <w:br/>
              <w:t>AI, adrenal insufficiency; GC, glucocorticoid; HC, hydrocortisone; mPSL, methylprednisolone; DEX, dexamethasone;</w:t>
            </w:r>
            <w:r w:rsidRPr="00CF635C">
              <w:rPr>
                <w:rFonts w:ascii="Times New Roman" w:eastAsia="ＭＳ Ｐゴシック" w:hAnsi="Times New Roman" w:cs="Times New Roman"/>
                <w:color w:val="000000"/>
                <w:kern w:val="0"/>
                <w:sz w:val="20"/>
                <w:szCs w:val="20"/>
              </w:rPr>
              <w:br/>
              <w:t xml:space="preserve">ACTH, adrenocorticotropic hormone; IQR, Interquartile </w:t>
            </w:r>
            <w:r w:rsidRPr="00CF635C">
              <w:rPr>
                <w:rFonts w:ascii="Times New Roman" w:eastAsia="ＭＳ Ｐゴシック" w:hAnsi="Times New Roman" w:cs="Times New Roman"/>
                <w:color w:val="000000"/>
                <w:kern w:val="0"/>
                <w:sz w:val="20"/>
                <w:szCs w:val="20"/>
              </w:rPr>
              <w:br/>
              <w:t>* Identified as disease or symptom requiring decision to admit registered in the DPC system.</w:t>
            </w:r>
            <w:r w:rsidRPr="00CF635C">
              <w:rPr>
                <w:rFonts w:ascii="Times New Roman" w:eastAsia="ＭＳ Ｐゴシック" w:hAnsi="Times New Roman" w:cs="Times New Roman"/>
                <w:color w:val="000000"/>
                <w:kern w:val="0"/>
                <w:sz w:val="20"/>
                <w:szCs w:val="20"/>
              </w:rPr>
              <w:br/>
            </w:r>
            <w:r w:rsidRPr="00CF635C">
              <w:rPr>
                <w:rFonts w:ascii="Times New Roman" w:eastAsia="ＭＳ Ｐゴシック" w:hAnsi="Times New Roman" w:cs="Times New Roman"/>
                <w:kern w:val="0"/>
                <w:sz w:val="20"/>
                <w:szCs w:val="20"/>
              </w:rPr>
              <w:t>† Considering with following admission and therapeutic GC administration, this group is consistent with hospitalization due to adrenal crisis.</w:t>
            </w:r>
            <w:r w:rsidRPr="00CF635C">
              <w:rPr>
                <w:rFonts w:ascii="Times New Roman" w:eastAsia="ＭＳ Ｐゴシック" w:hAnsi="Times New Roman" w:cs="Times New Roman"/>
                <w:color w:val="000000"/>
                <w:kern w:val="0"/>
                <w:sz w:val="20"/>
                <w:szCs w:val="20"/>
              </w:rPr>
              <w:br/>
              <w:t>‡ Consisted of unspecified coma, hyponatremia, unspecified hypotension, volume depletion, shock, anorexia, nausea, vomiting, unspecified fever and hypoglycemia.</w:t>
            </w:r>
            <w:r w:rsidRPr="00CF635C">
              <w:rPr>
                <w:rFonts w:ascii="Times New Roman" w:eastAsia="ＭＳ Ｐゴシック" w:hAnsi="Times New Roman" w:cs="Times New Roman"/>
                <w:color w:val="000000"/>
                <w:kern w:val="0"/>
                <w:sz w:val="20"/>
                <w:szCs w:val="20"/>
              </w:rPr>
              <w:br/>
              <w:t>§ Endocrine stimulation test consists of hormone dynamic testing of the following: anterior pituitary (growth hormone, gonadotropin, thyroid stimulating hormone, prolactin, adrenocorticotropic hormone), posterior pituitary (antidiuretic hormone), thyroid, parathyroid, and gonad (testosterone, estradiol). Endocrine tests of adrenocorticotropic hormone included insulin tolerance test, metyrapone test, dexamethasone suppression test, and corticotropin-releasing hormone stimulation test. In this study, we counted results of the adrenal cortex stimulation test apart from those for endocrine stimulation tests. The adrenal stimulation tests evaluates adrenal cortex function, which is related to glucocorticoid or mineralocorticoid, for example, the adrenocorticotropic hormone stimulation test.</w:t>
            </w: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r w:rsidR="00CF635C" w:rsidRPr="00CF635C" w:rsidTr="00CF635C">
        <w:trPr>
          <w:trHeight w:val="360"/>
        </w:trPr>
        <w:tc>
          <w:tcPr>
            <w:tcW w:w="10206" w:type="dxa"/>
            <w:gridSpan w:val="8"/>
            <w:vMerge/>
            <w:tcBorders>
              <w:top w:val="single" w:sz="8" w:space="0" w:color="auto"/>
              <w:left w:val="nil"/>
              <w:bottom w:val="nil"/>
              <w:right w:val="nil"/>
            </w:tcBorders>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20"/>
                <w:szCs w:val="20"/>
              </w:rPr>
            </w:pPr>
          </w:p>
        </w:tc>
      </w:tr>
    </w:tbl>
    <w:p w:rsidR="00CF635C" w:rsidRDefault="00CF635C">
      <w:pPr>
        <w:rPr>
          <w:rFonts w:ascii="Times New Roman" w:hAnsi="Times New Roman" w:cs="Times New Roman"/>
          <w:sz w:val="16"/>
          <w:szCs w:val="16"/>
        </w:rPr>
        <w:sectPr w:rsidR="00CF635C" w:rsidSect="00CF635C">
          <w:pgSz w:w="11906" w:h="16838"/>
          <w:pgMar w:top="720" w:right="720" w:bottom="720" w:left="720" w:header="851" w:footer="992" w:gutter="0"/>
          <w:cols w:space="425"/>
          <w:docGrid w:type="lines" w:linePitch="360"/>
        </w:sectPr>
      </w:pPr>
    </w:p>
    <w:tbl>
      <w:tblPr>
        <w:tblW w:w="14601" w:type="dxa"/>
        <w:tblCellMar>
          <w:left w:w="99" w:type="dxa"/>
          <w:right w:w="99" w:type="dxa"/>
        </w:tblCellMar>
        <w:tblLook w:val="04A0" w:firstRow="1" w:lastRow="0" w:firstColumn="1" w:lastColumn="0" w:noHBand="0" w:noVBand="1"/>
      </w:tblPr>
      <w:tblGrid>
        <w:gridCol w:w="4111"/>
        <w:gridCol w:w="1418"/>
        <w:gridCol w:w="2126"/>
        <w:gridCol w:w="1134"/>
        <w:gridCol w:w="2693"/>
        <w:gridCol w:w="3119"/>
      </w:tblGrid>
      <w:tr w:rsidR="00CF635C" w:rsidRPr="00CF635C" w:rsidTr="00BD0885">
        <w:trPr>
          <w:trHeight w:val="312"/>
        </w:trPr>
        <w:tc>
          <w:tcPr>
            <w:tcW w:w="5529" w:type="dxa"/>
            <w:gridSpan w:val="2"/>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b/>
                <w:bCs/>
                <w:color w:val="000000"/>
                <w:kern w:val="0"/>
                <w:sz w:val="16"/>
                <w:szCs w:val="16"/>
              </w:rPr>
            </w:pPr>
            <w:r w:rsidRPr="00CF635C">
              <w:rPr>
                <w:rFonts w:ascii="Times New Roman" w:eastAsia="ＭＳ Ｐゴシック" w:hAnsi="Times New Roman" w:cs="Times New Roman"/>
                <w:b/>
                <w:bCs/>
                <w:color w:val="000000"/>
                <w:kern w:val="0"/>
                <w:sz w:val="16"/>
                <w:szCs w:val="16"/>
              </w:rPr>
              <w:lastRenderedPageBreak/>
              <w:t>Table S3.</w:t>
            </w:r>
            <w:r w:rsidRPr="00CF635C">
              <w:rPr>
                <w:rFonts w:ascii="Times New Roman" w:eastAsia="ＭＳ Ｐゴシック" w:hAnsi="Times New Roman" w:cs="Times New Roman"/>
                <w:color w:val="000000"/>
                <w:kern w:val="0"/>
                <w:sz w:val="16"/>
                <w:szCs w:val="16"/>
              </w:rPr>
              <w:t xml:space="preserve"> Disease lists corresponding with risk factors for primary AI.</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b/>
                <w:bCs/>
                <w:color w:val="000000"/>
                <w:kern w:val="0"/>
                <w:sz w:val="16"/>
                <w:szCs w:val="16"/>
              </w:rPr>
            </w:pPr>
          </w:p>
        </w:tc>
        <w:tc>
          <w:tcPr>
            <w:tcW w:w="1134" w:type="dxa"/>
            <w:vMerge w:val="restart"/>
            <w:tcBorders>
              <w:top w:val="nil"/>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Riskfactor of primary AI disease</w:t>
            </w:r>
          </w:p>
        </w:tc>
        <w:tc>
          <w:tcPr>
            <w:tcW w:w="1418"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ICD-10 (ver.2008)</w:t>
            </w:r>
          </w:p>
        </w:tc>
        <w:tc>
          <w:tcPr>
            <w:tcW w:w="2126"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Surgical intervention needed</w:t>
            </w: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p>
        </w:tc>
        <w:tc>
          <w:tcPr>
            <w:tcW w:w="2693"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Surgical intervention of adrenal gland</w:t>
            </w:r>
          </w:p>
        </w:tc>
        <w:tc>
          <w:tcPr>
            <w:tcW w:w="3119"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Surgical procedure codes (Japanese original)</w:t>
            </w: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Tuberculous adrenalitis</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A187</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Adrenalectomy</w:t>
            </w: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K754/K755/K756</w:t>
            </w: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Waterhouse–Friderichsen syndrome</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A391 </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Laparoscopic adrenalectomy</w:t>
            </w:r>
          </w:p>
        </w:tc>
        <w:tc>
          <w:tcPr>
            <w:tcW w:w="3119"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K754-2/K7547-3/K756-2</w:t>
            </w: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Congenital adrenal hyperplasia</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E250 </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21-hydroxylase deficiency</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11β-hydroxylase deficiency</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3β-hydroxysteroid dehydrogenase type 2 deficiency</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17α-hydroxylase deficiency</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P450 oxidoreductase deficiency</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Congenital lipoid adrenal hyperplasia</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Autoimmune adrenalitis</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E271</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Addison’s disease</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Adrenal haemorrhage </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Adrenal infarction</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Adrenal hypoplasia congenital(X-linked)</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Adrenal hypoplasia congenital(SF-1 linked)</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IMAGe syndrome</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Triple A syndrome (Allgrove’s syndrome)</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ACTH insensitivity syndrome</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Adrenalitis</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E278</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Autoimmune polyendocrinopathy syndrome(APS) </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E310</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APS type1</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APS type2</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 xml:space="preserve"> APS type3</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Adrenal hypothyrodism</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E310</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Adrenoleukodystrophy</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E713</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Adrenomyeloneuropathy</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E713</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625"/>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lastRenderedPageBreak/>
              <w:t>Postprocedural adrenocortical(-medullary) hypofunction</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E896</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vAlign w:val="bottom"/>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Malignant neoplasm of adrenal gland</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C74</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Yes</w:t>
            </w: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Secondary malignant neoplasm of adrenal gland</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C797</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Yes</w:t>
            </w: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Benign neoplasm of adrenal gland</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D350</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Yes</w:t>
            </w: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Neoplasm of adrenal gland</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D441</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Yes</w:t>
            </w: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Primary hyperaldosteronism</w:t>
            </w:r>
          </w:p>
        </w:tc>
        <w:tc>
          <w:tcPr>
            <w:tcW w:w="1418"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E260</w:t>
            </w:r>
          </w:p>
        </w:tc>
        <w:tc>
          <w:tcPr>
            <w:tcW w:w="2126"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Yes</w:t>
            </w:r>
          </w:p>
        </w:tc>
        <w:tc>
          <w:tcPr>
            <w:tcW w:w="1134" w:type="dxa"/>
            <w:vMerge/>
            <w:tcBorders>
              <w:left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r w:rsidR="00CF635C" w:rsidRPr="00CF635C" w:rsidTr="00BD0885">
        <w:trPr>
          <w:trHeight w:val="312"/>
        </w:trPr>
        <w:tc>
          <w:tcPr>
            <w:tcW w:w="4111" w:type="dxa"/>
            <w:tcBorders>
              <w:top w:val="nil"/>
              <w:left w:val="nil"/>
              <w:bottom w:val="single" w:sz="4" w:space="0" w:color="auto"/>
              <w:right w:val="nil"/>
            </w:tcBorders>
            <w:shd w:val="clear" w:color="auto" w:fill="auto"/>
            <w:noWrap/>
            <w:vAlign w:val="bottom"/>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Injury of adrenal gland</w:t>
            </w:r>
          </w:p>
        </w:tc>
        <w:tc>
          <w:tcPr>
            <w:tcW w:w="1418"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kern w:val="0"/>
                <w:sz w:val="16"/>
                <w:szCs w:val="16"/>
              </w:rPr>
            </w:pPr>
            <w:r w:rsidRPr="00CF635C">
              <w:rPr>
                <w:rFonts w:ascii="Times New Roman" w:eastAsia="ＭＳ Ｐゴシック" w:hAnsi="Times New Roman" w:cs="Times New Roman"/>
                <w:kern w:val="0"/>
                <w:sz w:val="16"/>
                <w:szCs w:val="16"/>
              </w:rPr>
              <w:t>S378</w:t>
            </w:r>
          </w:p>
        </w:tc>
        <w:tc>
          <w:tcPr>
            <w:tcW w:w="2126" w:type="dxa"/>
            <w:tcBorders>
              <w:top w:val="nil"/>
              <w:left w:val="nil"/>
              <w:bottom w:val="single" w:sz="4" w:space="0" w:color="auto"/>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r w:rsidRPr="00CF635C">
              <w:rPr>
                <w:rFonts w:ascii="Times New Roman" w:eastAsia="ＭＳ Ｐゴシック" w:hAnsi="Times New Roman" w:cs="Times New Roman"/>
                <w:color w:val="000000"/>
                <w:kern w:val="0"/>
                <w:sz w:val="16"/>
                <w:szCs w:val="16"/>
              </w:rPr>
              <w:t>Yes</w:t>
            </w:r>
          </w:p>
        </w:tc>
        <w:tc>
          <w:tcPr>
            <w:tcW w:w="1134" w:type="dxa"/>
            <w:vMerge/>
            <w:tcBorders>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ＭＳ Ｐゴシック" w:hAnsi="Times New Roman" w:cs="Times New Roman"/>
                <w:color w:val="000000"/>
                <w:kern w:val="0"/>
                <w:sz w:val="16"/>
                <w:szCs w:val="16"/>
              </w:rPr>
            </w:pPr>
          </w:p>
        </w:tc>
        <w:tc>
          <w:tcPr>
            <w:tcW w:w="2693"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c>
          <w:tcPr>
            <w:tcW w:w="3119" w:type="dxa"/>
            <w:tcBorders>
              <w:top w:val="nil"/>
              <w:left w:val="nil"/>
              <w:bottom w:val="nil"/>
              <w:right w:val="nil"/>
            </w:tcBorders>
            <w:shd w:val="clear" w:color="auto" w:fill="auto"/>
            <w:noWrap/>
            <w:vAlign w:val="center"/>
            <w:hideMark/>
          </w:tcPr>
          <w:p w:rsidR="00CF635C" w:rsidRPr="00CF635C" w:rsidRDefault="00CF635C" w:rsidP="00CF635C">
            <w:pPr>
              <w:widowControl/>
              <w:jc w:val="left"/>
              <w:rPr>
                <w:rFonts w:ascii="Times New Roman" w:eastAsia="Times New Roman" w:hAnsi="Times New Roman" w:cs="Times New Roman"/>
                <w:kern w:val="0"/>
                <w:sz w:val="16"/>
                <w:szCs w:val="16"/>
              </w:rPr>
            </w:pPr>
          </w:p>
        </w:tc>
      </w:tr>
    </w:tbl>
    <w:p w:rsidR="00BD0885" w:rsidRDefault="00BD0885">
      <w:pPr>
        <w:rPr>
          <w:rFonts w:ascii="Times New Roman" w:hAnsi="Times New Roman" w:cs="Times New Roman"/>
          <w:sz w:val="16"/>
          <w:szCs w:val="16"/>
        </w:rPr>
        <w:sectPr w:rsidR="00BD0885" w:rsidSect="00CF635C">
          <w:pgSz w:w="16838" w:h="11906" w:orient="landscape"/>
          <w:pgMar w:top="720" w:right="720" w:bottom="720" w:left="720" w:header="851" w:footer="992" w:gutter="0"/>
          <w:cols w:space="425"/>
          <w:docGrid w:type="lines" w:linePitch="360"/>
        </w:sectPr>
      </w:pPr>
    </w:p>
    <w:tbl>
      <w:tblPr>
        <w:tblW w:w="15398" w:type="dxa"/>
        <w:tblCellMar>
          <w:left w:w="99" w:type="dxa"/>
          <w:right w:w="99" w:type="dxa"/>
        </w:tblCellMar>
        <w:tblLook w:val="04A0" w:firstRow="1" w:lastRow="0" w:firstColumn="1" w:lastColumn="0" w:noHBand="0" w:noVBand="1"/>
      </w:tblPr>
      <w:tblGrid>
        <w:gridCol w:w="3823"/>
        <w:gridCol w:w="1422"/>
        <w:gridCol w:w="2126"/>
        <w:gridCol w:w="993"/>
        <w:gridCol w:w="3827"/>
        <w:gridCol w:w="3207"/>
      </w:tblGrid>
      <w:tr w:rsidR="00BD0885" w:rsidRPr="00BD0885" w:rsidTr="00BD0885">
        <w:trPr>
          <w:trHeight w:val="357"/>
        </w:trPr>
        <w:tc>
          <w:tcPr>
            <w:tcW w:w="5245" w:type="dxa"/>
            <w:gridSpan w:val="2"/>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color w:val="000000"/>
                <w:kern w:val="0"/>
                <w:sz w:val="16"/>
                <w:szCs w:val="16"/>
              </w:rPr>
            </w:pPr>
            <w:r w:rsidRPr="00BD0885">
              <w:rPr>
                <w:rFonts w:ascii="Times New Roman" w:eastAsia="ＭＳ Ｐゴシック" w:hAnsi="Times New Roman" w:cs="Times New Roman"/>
                <w:b/>
                <w:bCs/>
                <w:color w:val="000000"/>
                <w:kern w:val="0"/>
                <w:sz w:val="16"/>
                <w:szCs w:val="16"/>
              </w:rPr>
              <w:lastRenderedPageBreak/>
              <w:t>Table S4.</w:t>
            </w:r>
            <w:r w:rsidRPr="00BD0885">
              <w:rPr>
                <w:rFonts w:ascii="Times New Roman" w:eastAsia="ＭＳ Ｐゴシック" w:hAnsi="Times New Roman" w:cs="Times New Roman"/>
                <w:color w:val="000000"/>
                <w:kern w:val="0"/>
                <w:sz w:val="16"/>
                <w:szCs w:val="16"/>
              </w:rPr>
              <w:t xml:space="preserve"> Diseases corresponding with risk factors of central AI.</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color w:val="000000"/>
                <w:kern w:val="0"/>
                <w:sz w:val="16"/>
                <w:szCs w:val="16"/>
              </w:rPr>
            </w:pPr>
          </w:p>
        </w:tc>
        <w:tc>
          <w:tcPr>
            <w:tcW w:w="993" w:type="dxa"/>
            <w:vMerge w:val="restart"/>
            <w:tcBorders>
              <w:top w:val="nil"/>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Riskfactor of secondary AI disease</w:t>
            </w:r>
          </w:p>
        </w:tc>
        <w:tc>
          <w:tcPr>
            <w:tcW w:w="1422"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ICD-10 (ver.2008)</w:t>
            </w:r>
          </w:p>
        </w:tc>
        <w:tc>
          <w:tcPr>
            <w:tcW w:w="2126"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Surgical intervention needed</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Surgical intervention of hypothalamus or pituitary</w:t>
            </w:r>
          </w:p>
        </w:tc>
        <w:tc>
          <w:tcPr>
            <w:tcW w:w="3207"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Surgical procedure codes (Japanese original)</w:t>
            </w: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kern w:val="0"/>
                <w:sz w:val="16"/>
                <w:szCs w:val="16"/>
              </w:rPr>
            </w:pPr>
            <w:r w:rsidRPr="00BD0885">
              <w:rPr>
                <w:rFonts w:ascii="Times New Roman" w:eastAsia="ＭＳ Ｐゴシック" w:hAnsi="Times New Roman" w:cs="Times New Roman"/>
                <w:b/>
                <w:bCs/>
                <w:kern w:val="0"/>
                <w:sz w:val="16"/>
                <w:szCs w:val="16"/>
              </w:rPr>
              <w:t>Pituitary tumors</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kern w:val="0"/>
                <w:sz w:val="16"/>
                <w:szCs w:val="16"/>
              </w:rPr>
            </w:pP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Endonasal trans-sphenoidal pituitary surgery</w:t>
            </w: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K171</w:t>
            </w: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Germinoma</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C719</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Endoscopic endonasal trans-sphenoidal pituitary surgery</w:t>
            </w: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K171-2</w:t>
            </w: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Meningioma</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D320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Intracranial surgery</w:t>
            </w:r>
          </w:p>
        </w:tc>
        <w:tc>
          <w:tcPr>
            <w:tcW w:w="3207"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K167/K169</w:t>
            </w:r>
          </w:p>
        </w:tc>
      </w:tr>
      <w:tr w:rsidR="00BD0885" w:rsidRPr="00BD0885" w:rsidTr="00BD0885">
        <w:trPr>
          <w:trHeight w:val="357"/>
        </w:trPr>
        <w:tc>
          <w:tcPr>
            <w:tcW w:w="3823"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Adenoma</w:t>
            </w:r>
          </w:p>
        </w:tc>
        <w:tc>
          <w:tcPr>
            <w:tcW w:w="1422" w:type="dxa"/>
            <w:tcBorders>
              <w:top w:val="nil"/>
              <w:left w:val="nil"/>
              <w:bottom w:val="nil"/>
              <w:right w:val="nil"/>
            </w:tcBorders>
            <w:shd w:val="clear" w:color="auto" w:fill="auto"/>
            <w:noWrap/>
            <w:vAlign w:val="center"/>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D352</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 xml:space="preserve">Other malignant neoplasms </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C751</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 xml:space="preserve">Other pathological neoplasms </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D443</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Craniopharyngioma</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D353</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Malignant neoplasms of craniopharyngeal duct</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C752</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Other pathological neoplasms of craniopharyngeal duct</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D444</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kern w:val="0"/>
                <w:sz w:val="16"/>
                <w:szCs w:val="16"/>
              </w:rPr>
            </w:pPr>
            <w:r w:rsidRPr="00BD0885">
              <w:rPr>
                <w:rFonts w:ascii="Times New Roman" w:eastAsia="ＭＳ Ｐゴシック" w:hAnsi="Times New Roman" w:cs="Times New Roman"/>
                <w:b/>
                <w:bCs/>
                <w:kern w:val="0"/>
                <w:sz w:val="16"/>
                <w:szCs w:val="16"/>
              </w:rPr>
              <w:t>Hypothalamic tumors</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kern w:val="0"/>
                <w:sz w:val="16"/>
                <w:szCs w:val="16"/>
              </w:rPr>
            </w:pP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Astrocytoma</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C710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 xml:space="preserve">Other pathologic neoplasms </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D430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kern w:val="0"/>
                <w:sz w:val="16"/>
                <w:szCs w:val="16"/>
              </w:rPr>
            </w:pPr>
            <w:r w:rsidRPr="00BD0885">
              <w:rPr>
                <w:rFonts w:ascii="Times New Roman" w:eastAsia="ＭＳ Ｐゴシック" w:hAnsi="Times New Roman" w:cs="Times New Roman"/>
                <w:b/>
                <w:bCs/>
                <w:kern w:val="0"/>
                <w:sz w:val="16"/>
                <w:szCs w:val="16"/>
              </w:rPr>
              <w:t>Parasellar tumors</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kern w:val="0"/>
                <w:sz w:val="16"/>
                <w:szCs w:val="16"/>
              </w:rPr>
            </w:pP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Parasellar epidermoid cyst</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D339</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Acromegaly and pituitary gigantism</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E220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Hyperprolactinaemia</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E221</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 xml:space="preserve">Rathke’s cleft cyst </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E236</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Cushing’s disease</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E240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Yes</w:t>
            </w: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Panhypopituitarism after surgery and/or radiation</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Isolated ACTH deficiency</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Idiopathic hypopituitarism</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Sheehan’s syndrome</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E230</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Hypothalamic dysfunction</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E233</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Empty sella syndrome</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E236</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lastRenderedPageBreak/>
              <w:t>Lymphocytic hypophysitis</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E236</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Pituitary apoplexy</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E236</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Pituitary dysfunction</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E237</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Postprocedural hypopituitarism</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E893</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nil"/>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Postirradiation hypopituitarism</w:t>
            </w:r>
          </w:p>
        </w:tc>
        <w:tc>
          <w:tcPr>
            <w:tcW w:w="1422"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E893</w:t>
            </w:r>
          </w:p>
        </w:tc>
        <w:tc>
          <w:tcPr>
            <w:tcW w:w="2126"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p>
        </w:tc>
        <w:tc>
          <w:tcPr>
            <w:tcW w:w="993" w:type="dxa"/>
            <w:vMerge/>
            <w:tcBorders>
              <w:left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r w:rsidR="00BD0885" w:rsidRPr="00BD0885" w:rsidTr="00BD0885">
        <w:trPr>
          <w:trHeight w:val="357"/>
        </w:trPr>
        <w:tc>
          <w:tcPr>
            <w:tcW w:w="3823" w:type="dxa"/>
            <w:tcBorders>
              <w:top w:val="nil"/>
              <w:left w:val="nil"/>
              <w:bottom w:val="single" w:sz="4" w:space="0" w:color="auto"/>
              <w:right w:val="nil"/>
            </w:tcBorders>
            <w:shd w:val="clear" w:color="auto" w:fill="auto"/>
            <w:vAlign w:val="bottom"/>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Prader-Willi syndrome</w:t>
            </w:r>
          </w:p>
        </w:tc>
        <w:tc>
          <w:tcPr>
            <w:tcW w:w="1422"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16"/>
                <w:szCs w:val="16"/>
              </w:rPr>
            </w:pPr>
            <w:r w:rsidRPr="00BD0885">
              <w:rPr>
                <w:rFonts w:ascii="Times New Roman" w:eastAsia="ＭＳ Ｐゴシック" w:hAnsi="Times New Roman" w:cs="Times New Roman"/>
                <w:kern w:val="0"/>
                <w:sz w:val="16"/>
                <w:szCs w:val="16"/>
              </w:rPr>
              <w:t>Q871</w:t>
            </w:r>
          </w:p>
        </w:tc>
        <w:tc>
          <w:tcPr>
            <w:tcW w:w="2126"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r w:rsidRPr="00BD0885">
              <w:rPr>
                <w:rFonts w:ascii="Times New Roman" w:eastAsia="ＭＳ Ｐゴシック" w:hAnsi="Times New Roman" w:cs="Times New Roman"/>
                <w:color w:val="000000"/>
                <w:kern w:val="0"/>
                <w:sz w:val="16"/>
                <w:szCs w:val="16"/>
              </w:rPr>
              <w:t xml:space="preserve">　</w:t>
            </w:r>
          </w:p>
        </w:tc>
        <w:tc>
          <w:tcPr>
            <w:tcW w:w="993" w:type="dxa"/>
            <w:vMerge/>
            <w:tcBorders>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16"/>
                <w:szCs w:val="16"/>
              </w:rPr>
            </w:pPr>
          </w:p>
        </w:tc>
        <w:tc>
          <w:tcPr>
            <w:tcW w:w="382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c>
          <w:tcPr>
            <w:tcW w:w="3207"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16"/>
                <w:szCs w:val="16"/>
              </w:rPr>
            </w:pPr>
          </w:p>
        </w:tc>
      </w:tr>
    </w:tbl>
    <w:p w:rsidR="00BD0885" w:rsidRDefault="00BD0885">
      <w:pPr>
        <w:rPr>
          <w:rFonts w:ascii="Times New Roman" w:hAnsi="Times New Roman" w:cs="Times New Roman"/>
          <w:sz w:val="16"/>
          <w:szCs w:val="16"/>
        </w:rPr>
        <w:sectPr w:rsidR="00BD0885" w:rsidSect="00CF635C">
          <w:pgSz w:w="16838" w:h="11906" w:orient="landscape"/>
          <w:pgMar w:top="720" w:right="720" w:bottom="720" w:left="720" w:header="851" w:footer="992" w:gutter="0"/>
          <w:cols w:space="425"/>
          <w:docGrid w:type="lines" w:linePitch="360"/>
        </w:sectPr>
      </w:pPr>
    </w:p>
    <w:tbl>
      <w:tblPr>
        <w:tblW w:w="14175" w:type="dxa"/>
        <w:tblCellMar>
          <w:left w:w="99" w:type="dxa"/>
          <w:right w:w="99" w:type="dxa"/>
        </w:tblCellMar>
        <w:tblLook w:val="04A0" w:firstRow="1" w:lastRow="0" w:firstColumn="1" w:lastColumn="0" w:noHBand="0" w:noVBand="1"/>
      </w:tblPr>
      <w:tblGrid>
        <w:gridCol w:w="3180"/>
        <w:gridCol w:w="10995"/>
      </w:tblGrid>
      <w:tr w:rsidR="00BD0885" w:rsidRPr="00BD0885" w:rsidTr="00BD0885">
        <w:trPr>
          <w:trHeight w:val="315"/>
        </w:trPr>
        <w:tc>
          <w:tcPr>
            <w:tcW w:w="14175" w:type="dxa"/>
            <w:gridSpan w:val="2"/>
            <w:tcBorders>
              <w:top w:val="nil"/>
              <w:left w:val="nil"/>
              <w:bottom w:val="nil"/>
              <w:right w:val="nil"/>
            </w:tcBorders>
            <w:shd w:val="clear" w:color="auto" w:fill="auto"/>
            <w:noWrap/>
            <w:vAlign w:val="center"/>
            <w:hideMark/>
          </w:tcPr>
          <w:p w:rsidR="00BD0885" w:rsidRPr="009F2040"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b/>
                <w:bCs/>
                <w:color w:val="000000"/>
                <w:kern w:val="0"/>
                <w:sz w:val="24"/>
                <w:szCs w:val="24"/>
              </w:rPr>
              <w:lastRenderedPageBreak/>
              <w:t xml:space="preserve">Table S5. </w:t>
            </w:r>
            <w:r w:rsidRPr="00BD0885">
              <w:rPr>
                <w:rFonts w:ascii="Times New Roman" w:eastAsia="ＭＳ Ｐゴシック" w:hAnsi="Times New Roman" w:cs="Times New Roman"/>
                <w:color w:val="000000"/>
                <w:kern w:val="0"/>
                <w:sz w:val="24"/>
                <w:szCs w:val="24"/>
              </w:rPr>
              <w:t>Codes for pituitary disease, adrenal tumor and adrenal insufficiency (AI)-related symptoms as a</w:t>
            </w:r>
            <w:r w:rsidR="009F2040">
              <w:rPr>
                <w:rFonts w:ascii="Times New Roman" w:eastAsia="ＭＳ Ｐゴシック" w:hAnsi="Times New Roman" w:cs="Times New Roman"/>
                <w:color w:val="000000"/>
                <w:kern w:val="0"/>
                <w:sz w:val="24"/>
                <w:szCs w:val="24"/>
              </w:rPr>
              <w:t>n indication</w:t>
            </w:r>
            <w:r w:rsidRPr="00BD0885">
              <w:rPr>
                <w:rFonts w:ascii="Times New Roman" w:eastAsia="ＭＳ Ｐゴシック" w:hAnsi="Times New Roman" w:cs="Times New Roman"/>
                <w:color w:val="000000"/>
                <w:kern w:val="0"/>
                <w:sz w:val="24"/>
                <w:szCs w:val="24"/>
              </w:rPr>
              <w:t xml:space="preserve"> for hospital admission.</w:t>
            </w:r>
          </w:p>
        </w:tc>
      </w:tr>
      <w:tr w:rsidR="00BD0885" w:rsidRPr="00BD0885" w:rsidTr="00BD0885">
        <w:trPr>
          <w:trHeight w:val="315"/>
        </w:trPr>
        <w:tc>
          <w:tcPr>
            <w:tcW w:w="318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color w:val="000000"/>
                <w:kern w:val="0"/>
                <w:sz w:val="24"/>
                <w:szCs w:val="24"/>
              </w:rPr>
            </w:pPr>
          </w:p>
        </w:tc>
        <w:tc>
          <w:tcPr>
            <w:tcW w:w="10995"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20"/>
                <w:szCs w:val="20"/>
              </w:rPr>
            </w:pPr>
          </w:p>
        </w:tc>
      </w:tr>
      <w:tr w:rsidR="00BD0885" w:rsidRPr="00BD0885" w:rsidTr="00BD0885">
        <w:trPr>
          <w:trHeight w:val="315"/>
        </w:trPr>
        <w:tc>
          <w:tcPr>
            <w:tcW w:w="3180"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Disease indicating admission</w:t>
            </w:r>
          </w:p>
        </w:tc>
        <w:tc>
          <w:tcPr>
            <w:tcW w:w="10995"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ICD-10 (ver.2008)</w:t>
            </w:r>
          </w:p>
        </w:tc>
      </w:tr>
      <w:tr w:rsidR="00BD0885" w:rsidRPr="00BD0885" w:rsidTr="00BD0885">
        <w:trPr>
          <w:trHeight w:val="315"/>
        </w:trPr>
        <w:tc>
          <w:tcPr>
            <w:tcW w:w="318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Pituitary disease</w:t>
            </w:r>
          </w:p>
        </w:tc>
        <w:tc>
          <w:tcPr>
            <w:tcW w:w="10995"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D352, D353, D443, D444, E230, E236, D353</w:t>
            </w:r>
          </w:p>
        </w:tc>
      </w:tr>
      <w:tr w:rsidR="00BD0885" w:rsidRPr="00BD0885" w:rsidTr="00BD0885">
        <w:trPr>
          <w:trHeight w:val="315"/>
        </w:trPr>
        <w:tc>
          <w:tcPr>
            <w:tcW w:w="318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Adrenal disease</w:t>
            </w:r>
          </w:p>
        </w:tc>
        <w:tc>
          <w:tcPr>
            <w:tcW w:w="10995"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D350, D441</w:t>
            </w:r>
          </w:p>
        </w:tc>
      </w:tr>
      <w:tr w:rsidR="00BD0885" w:rsidRPr="00BD0885" w:rsidTr="00BD0885">
        <w:trPr>
          <w:trHeight w:val="315"/>
        </w:trPr>
        <w:tc>
          <w:tcPr>
            <w:tcW w:w="3180"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AI-related symptom</w:t>
            </w:r>
          </w:p>
        </w:tc>
        <w:tc>
          <w:tcPr>
            <w:tcW w:w="10995"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R402, E871, I959, E86, R57, R630, R11, R509, E15, E160-E162</w:t>
            </w:r>
          </w:p>
        </w:tc>
      </w:tr>
    </w:tbl>
    <w:p w:rsidR="00BD0885" w:rsidRDefault="00BD0885">
      <w:pPr>
        <w:rPr>
          <w:rFonts w:ascii="Times New Roman" w:hAnsi="Times New Roman" w:cs="Times New Roman"/>
          <w:sz w:val="16"/>
          <w:szCs w:val="16"/>
        </w:rPr>
        <w:sectPr w:rsidR="00BD0885" w:rsidSect="00CF635C">
          <w:pgSz w:w="16838" w:h="11906" w:orient="landscape"/>
          <w:pgMar w:top="720" w:right="720" w:bottom="720" w:left="720" w:header="851" w:footer="992" w:gutter="0"/>
          <w:cols w:space="425"/>
          <w:docGrid w:type="lines" w:linePitch="360"/>
        </w:sectPr>
      </w:pPr>
    </w:p>
    <w:tbl>
      <w:tblPr>
        <w:tblW w:w="8504" w:type="dxa"/>
        <w:tblCellMar>
          <w:left w:w="99" w:type="dxa"/>
          <w:right w:w="99" w:type="dxa"/>
        </w:tblCellMar>
        <w:tblLook w:val="04A0" w:firstRow="1" w:lastRow="0" w:firstColumn="1" w:lastColumn="0" w:noHBand="0" w:noVBand="1"/>
      </w:tblPr>
      <w:tblGrid>
        <w:gridCol w:w="2510"/>
        <w:gridCol w:w="5994"/>
      </w:tblGrid>
      <w:tr w:rsidR="00BD0885" w:rsidRPr="00BD0885" w:rsidTr="00BD0885">
        <w:trPr>
          <w:trHeight w:val="315"/>
        </w:trPr>
        <w:tc>
          <w:tcPr>
            <w:tcW w:w="8504" w:type="dxa"/>
            <w:gridSpan w:val="2"/>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color w:val="000000"/>
                <w:kern w:val="0"/>
                <w:sz w:val="24"/>
                <w:szCs w:val="24"/>
              </w:rPr>
            </w:pPr>
            <w:r w:rsidRPr="00BD0885">
              <w:rPr>
                <w:rFonts w:ascii="Times New Roman" w:eastAsia="ＭＳ Ｐゴシック" w:hAnsi="Times New Roman" w:cs="Times New Roman"/>
                <w:b/>
                <w:bCs/>
                <w:color w:val="000000"/>
                <w:kern w:val="0"/>
                <w:sz w:val="24"/>
                <w:szCs w:val="24"/>
              </w:rPr>
              <w:lastRenderedPageBreak/>
              <w:t>Table S6.</w:t>
            </w:r>
            <w:r w:rsidRPr="00BD0885">
              <w:rPr>
                <w:rFonts w:ascii="Times New Roman" w:eastAsia="ＭＳ Ｐゴシック" w:hAnsi="Times New Roman" w:cs="Times New Roman"/>
                <w:color w:val="000000"/>
                <w:kern w:val="0"/>
                <w:sz w:val="24"/>
                <w:szCs w:val="24"/>
              </w:rPr>
              <w:t xml:space="preserve"> Diseases corresponding with comorbidities.</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b/>
                <w:bCs/>
                <w:color w:val="000000"/>
                <w:kern w:val="0"/>
                <w:sz w:val="24"/>
                <w:szCs w:val="24"/>
              </w:rPr>
            </w:pP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20"/>
                <w:szCs w:val="20"/>
              </w:rPr>
            </w:pPr>
          </w:p>
        </w:tc>
      </w:tr>
      <w:tr w:rsidR="00BD0885" w:rsidRPr="00BD0885" w:rsidTr="00BD0885">
        <w:trPr>
          <w:trHeight w:val="315"/>
        </w:trPr>
        <w:tc>
          <w:tcPr>
            <w:tcW w:w="2510"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Comorbidity</w:t>
            </w:r>
          </w:p>
        </w:tc>
        <w:tc>
          <w:tcPr>
            <w:tcW w:w="5994"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ICD-10 (ver.2008)</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Cardiovascular disease</w:t>
            </w: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I05-I15, I20-I26, I50, I60-I74, I80, Q20-Q28, G45-G46</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Malignant neoplasm</w:t>
            </w: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C00-C97</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Diabetes</w:t>
            </w: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E10-E14</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COPD or asthma</w:t>
            </w: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J41-J46</w:t>
            </w:r>
          </w:p>
        </w:tc>
      </w:tr>
      <w:tr w:rsidR="00BD0885" w:rsidRPr="00BD0885" w:rsidTr="00BD0885">
        <w:trPr>
          <w:trHeight w:val="1890"/>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Infectious disease</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A00-A39, A42-A99, B00-B17, B19-B99, G00-G07, I00-I02, I30.1, I32.0, I33, I40.0, J00-J12, J13-J22, J36, J39.0, J85-J86, K35-K37, K57.0, K57.2, K57.8, K61, K63.0, K65, K67, K75.0, K80.0, K80.3-K80.4, K81.9, K83.0, L00-L03, L05-L08, M00-M01, M86, N10, N34.0, N39.0, N41</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Renal failure</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N17-N18</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Liver disease</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K70-K74.2, K74.4-K74.6. B18</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Osteoporosis</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M80-M82</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Sepsis</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A40-A41</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Dementia</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F00-F04</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Peptic ulcer</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K25-K28</w:t>
            </w:r>
          </w:p>
        </w:tc>
      </w:tr>
      <w:tr w:rsidR="00BD0885" w:rsidRPr="00BD0885" w:rsidTr="00BD0885">
        <w:trPr>
          <w:trHeight w:val="1260"/>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Autoimmune disease</w:t>
            </w:r>
          </w:p>
        </w:tc>
        <w:tc>
          <w:tcPr>
            <w:tcW w:w="5994" w:type="dxa"/>
            <w:tcBorders>
              <w:top w:val="nil"/>
              <w:left w:val="nil"/>
              <w:bottom w:val="nil"/>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D51.0, D59.1, D69.3, D86, E05.0, E06.3, G35, G70.0, H20.0-H20.1, J84.1, K50-K51, K74.3, K75.4, K90.0, L10, L12, L13.0, L20, L40, L80, M05-M07.3, M08, M30-M35.3, M35.6, M45</w:t>
            </w:r>
          </w:p>
        </w:tc>
      </w:tr>
      <w:tr w:rsidR="00BD0885" w:rsidRPr="00BD0885" w:rsidTr="00BD0885">
        <w:trPr>
          <w:trHeight w:val="315"/>
        </w:trPr>
        <w:tc>
          <w:tcPr>
            <w:tcW w:w="2510" w:type="dxa"/>
            <w:tcBorders>
              <w:top w:val="nil"/>
              <w:left w:val="nil"/>
              <w:bottom w:val="single" w:sz="4" w:space="0" w:color="auto"/>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Hypothyrodism</w:t>
            </w:r>
          </w:p>
        </w:tc>
        <w:tc>
          <w:tcPr>
            <w:tcW w:w="5994" w:type="dxa"/>
            <w:tcBorders>
              <w:top w:val="nil"/>
              <w:left w:val="nil"/>
              <w:bottom w:val="single" w:sz="4" w:space="0" w:color="auto"/>
              <w:right w:val="nil"/>
            </w:tcBorders>
            <w:shd w:val="clear" w:color="auto" w:fill="auto"/>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E00-E03</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20"/>
                <w:szCs w:val="20"/>
              </w:rPr>
            </w:pP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20"/>
                <w:szCs w:val="20"/>
              </w:rPr>
            </w:pP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20"/>
                <w:szCs w:val="20"/>
              </w:rPr>
            </w:pPr>
          </w:p>
        </w:tc>
      </w:tr>
      <w:tr w:rsidR="00BD0885" w:rsidRPr="00BD0885" w:rsidTr="00BD0885">
        <w:trPr>
          <w:trHeight w:val="315"/>
        </w:trPr>
        <w:tc>
          <w:tcPr>
            <w:tcW w:w="8504" w:type="dxa"/>
            <w:gridSpan w:val="2"/>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Abbreviation: COPD; chronic obstructive pulmonary disease</w:t>
            </w:r>
          </w:p>
        </w:tc>
      </w:tr>
      <w:tr w:rsidR="00BD0885" w:rsidRPr="00BD0885" w:rsidTr="00BD0885">
        <w:trPr>
          <w:trHeight w:val="315"/>
        </w:trPr>
        <w:tc>
          <w:tcPr>
            <w:tcW w:w="2510"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ＭＳ Ｐゴシック" w:hAnsi="Times New Roman" w:cs="Times New Roman"/>
                <w:color w:val="000000"/>
                <w:kern w:val="0"/>
                <w:sz w:val="24"/>
                <w:szCs w:val="24"/>
              </w:rPr>
            </w:pPr>
          </w:p>
        </w:tc>
        <w:tc>
          <w:tcPr>
            <w:tcW w:w="5994" w:type="dxa"/>
            <w:tcBorders>
              <w:top w:val="nil"/>
              <w:left w:val="nil"/>
              <w:bottom w:val="nil"/>
              <w:right w:val="nil"/>
            </w:tcBorders>
            <w:shd w:val="clear" w:color="auto" w:fill="auto"/>
            <w:noWrap/>
            <w:vAlign w:val="center"/>
            <w:hideMark/>
          </w:tcPr>
          <w:p w:rsidR="00BD0885" w:rsidRPr="00BD0885" w:rsidRDefault="00BD0885" w:rsidP="00BD0885">
            <w:pPr>
              <w:widowControl/>
              <w:jc w:val="left"/>
              <w:rPr>
                <w:rFonts w:ascii="Times New Roman" w:eastAsia="Times New Roman" w:hAnsi="Times New Roman" w:cs="Times New Roman"/>
                <w:kern w:val="0"/>
                <w:sz w:val="20"/>
                <w:szCs w:val="20"/>
              </w:rPr>
            </w:pPr>
          </w:p>
        </w:tc>
      </w:tr>
      <w:tr w:rsidR="00E1406A" w:rsidRPr="00BD0885" w:rsidTr="00E1406A">
        <w:trPr>
          <w:trHeight w:val="3600"/>
        </w:trPr>
        <w:tc>
          <w:tcPr>
            <w:tcW w:w="8504" w:type="dxa"/>
            <w:gridSpan w:val="2"/>
            <w:tcBorders>
              <w:top w:val="nil"/>
              <w:left w:val="nil"/>
              <w:right w:val="nil"/>
            </w:tcBorders>
            <w:shd w:val="clear" w:color="auto" w:fill="auto"/>
            <w:noWrap/>
            <w:vAlign w:val="center"/>
            <w:hideMark/>
          </w:tcPr>
          <w:p w:rsidR="00E1406A" w:rsidRPr="00BD0885" w:rsidRDefault="00E1406A" w:rsidP="00BD0885">
            <w:pPr>
              <w:widowControl/>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kern w:val="0"/>
                <w:sz w:val="24"/>
                <w:szCs w:val="24"/>
              </w:rPr>
              <w:t xml:space="preserve">Autoimmune diseases are as follows; </w:t>
            </w:r>
          </w:p>
          <w:p w:rsidR="00E1406A" w:rsidRPr="00BD0885" w:rsidRDefault="00E1406A"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 xml:space="preserve">Autoimmune hemolytic anemia, idiopathic thrombocytopenic purpura, Graves’disease, autoimmune thyroiditis, multiple sclerosis, myasthenia gravis, pernicious anemia, celiac disease, Crohn disease, ulcerative colitis, </w:t>
            </w:r>
          </w:p>
          <w:p w:rsidR="00E1406A" w:rsidRPr="00BD0885" w:rsidRDefault="00E1406A" w:rsidP="00BD0885">
            <w:pPr>
              <w:widowControl/>
              <w:jc w:val="left"/>
              <w:rPr>
                <w:rFonts w:ascii="Times New Roman" w:eastAsia="ＭＳ Ｐゴシック" w:hAnsi="Times New Roman" w:cs="Times New Roman"/>
                <w:color w:val="000000"/>
                <w:kern w:val="0"/>
                <w:sz w:val="24"/>
                <w:szCs w:val="24"/>
              </w:rPr>
            </w:pPr>
            <w:r w:rsidRPr="00BD0885">
              <w:rPr>
                <w:rFonts w:ascii="Times New Roman" w:eastAsia="ＭＳ Ｐゴシック" w:hAnsi="Times New Roman" w:cs="Times New Roman"/>
                <w:color w:val="000000"/>
                <w:kern w:val="0"/>
                <w:sz w:val="24"/>
                <w:szCs w:val="24"/>
              </w:rPr>
              <w:t>autoimmune hepatitis, atopic dermatitis, pemphigus, pemphigoid, herpetiform dermatitis, psoriasis, leukodermia, rheumatoid arthritis, juvenile rheumatoid arthritis, spondylarthritis ankylopoietica, polymyositis, dermatomyositis,</w:t>
            </w:r>
          </w:p>
          <w:p w:rsidR="00E1406A" w:rsidRPr="00BD0885" w:rsidRDefault="00E1406A" w:rsidP="00BD0885">
            <w:pPr>
              <w:jc w:val="left"/>
              <w:rPr>
                <w:rFonts w:ascii="Times New Roman" w:eastAsia="ＭＳ Ｐゴシック" w:hAnsi="Times New Roman" w:cs="Times New Roman"/>
                <w:kern w:val="0"/>
                <w:sz w:val="24"/>
                <w:szCs w:val="24"/>
              </w:rPr>
            </w:pPr>
            <w:r w:rsidRPr="00BD0885">
              <w:rPr>
                <w:rFonts w:ascii="Times New Roman" w:eastAsia="ＭＳ Ｐゴシック" w:hAnsi="Times New Roman" w:cs="Times New Roman"/>
                <w:color w:val="000000"/>
                <w:kern w:val="0"/>
                <w:sz w:val="24"/>
                <w:szCs w:val="24"/>
              </w:rPr>
              <w:t>scleroderma, systemic lupus erythematosus, mixed connective tissue disease, Sjoegren syndrome, sarcoidosis, vasculitis, polymyalgia rheumatica, psoriatic arthritis, Behcet’s disease, idiopathic pulmonary fibrosis and iridocyclitis</w:t>
            </w:r>
          </w:p>
        </w:tc>
      </w:tr>
    </w:tbl>
    <w:p w:rsidR="00E1406A" w:rsidRDefault="00E1406A">
      <w:pPr>
        <w:rPr>
          <w:rFonts w:ascii="Times New Roman" w:hAnsi="Times New Roman" w:cs="Times New Roman"/>
          <w:sz w:val="16"/>
          <w:szCs w:val="16"/>
        </w:rPr>
        <w:sectPr w:rsidR="00E1406A" w:rsidSect="00BD0885">
          <w:pgSz w:w="11906" w:h="16838"/>
          <w:pgMar w:top="720" w:right="720" w:bottom="720" w:left="720" w:header="851" w:footer="992" w:gutter="0"/>
          <w:cols w:space="425"/>
          <w:docGrid w:type="lines" w:linePitch="360"/>
        </w:sectPr>
      </w:pPr>
    </w:p>
    <w:tbl>
      <w:tblPr>
        <w:tblW w:w="10320" w:type="dxa"/>
        <w:tblCellMar>
          <w:left w:w="99" w:type="dxa"/>
          <w:right w:w="99" w:type="dxa"/>
        </w:tblCellMar>
        <w:tblLook w:val="04A0" w:firstRow="1" w:lastRow="0" w:firstColumn="1" w:lastColumn="0" w:noHBand="0" w:noVBand="1"/>
      </w:tblPr>
      <w:tblGrid>
        <w:gridCol w:w="6320"/>
        <w:gridCol w:w="4000"/>
      </w:tblGrid>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lastRenderedPageBreak/>
              <w:t>Table S7.</w:t>
            </w:r>
            <w:r w:rsidRPr="00E1406A">
              <w:rPr>
                <w:rFonts w:ascii="Times New Roman" w:eastAsia="ＭＳ Ｐゴシック" w:hAnsi="Times New Roman" w:cs="Times New Roman"/>
                <w:color w:val="000000"/>
                <w:kern w:val="0"/>
                <w:sz w:val="24"/>
                <w:szCs w:val="24"/>
              </w:rPr>
              <w:t xml:space="preserve"> Drugs that interact with glucocorticoids.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4"/>
                <w:szCs w:val="24"/>
              </w:rPr>
            </w:pP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4"/>
                <w:szCs w:val="24"/>
              </w:rPr>
            </w:pPr>
          </w:p>
        </w:tc>
      </w:tr>
      <w:tr w:rsidR="00E1406A" w:rsidRPr="00E1406A" w:rsidTr="00E1406A">
        <w:trPr>
          <w:trHeight w:val="315"/>
        </w:trPr>
        <w:tc>
          <w:tcPr>
            <w:tcW w:w="6320"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Interacting medications with systemic glucocorticoid</w:t>
            </w:r>
          </w:p>
        </w:tc>
        <w:tc>
          <w:tcPr>
            <w:tcW w:w="4000"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EphMRA-ATC</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t>Anticonvulsants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Barbiturates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A03C, A03D, N05B3, N05B4</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Primidone, Carbamazepine, Phenytoin</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N03A0</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t>Hormonal medications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Estrogens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G03A1, G03A2, D07B1, G03C, L02A1</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Estramustine phosphate sodium hydrate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L01X9</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Estrogen with progesterone combinations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G03A3, G03A4, G03F</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Androgen with female hormone combinations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G03E</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Progesterones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G03D, G03S5, L02A2</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t>Antibiotics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Erythromycin</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J01F0</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Rifamycins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J01K, J01L, J03A, J01M</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t>Antifungals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Ketoconazole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D01A1</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Itraconazole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J02A</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t>Antivirals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Ritonavir</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J05C2</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t>Others</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Ephedrine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R05D1</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Cyclosporine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L04X0</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Chlorpromazine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N05A9</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Imipramine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N06A9</w:t>
            </w:r>
          </w:p>
        </w:tc>
      </w:tr>
      <w:tr w:rsidR="00E1406A" w:rsidRPr="00E1406A" w:rsidTr="00E1406A">
        <w:trPr>
          <w:trHeight w:val="315"/>
        </w:trPr>
        <w:tc>
          <w:tcPr>
            <w:tcW w:w="632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Topiramate</w:t>
            </w:r>
          </w:p>
        </w:tc>
        <w:tc>
          <w:tcPr>
            <w:tcW w:w="400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N03A0</w:t>
            </w:r>
          </w:p>
        </w:tc>
      </w:tr>
      <w:tr w:rsidR="00E1406A" w:rsidRPr="00E1406A" w:rsidTr="00E1406A">
        <w:trPr>
          <w:trHeight w:val="315"/>
        </w:trPr>
        <w:tc>
          <w:tcPr>
            <w:tcW w:w="6320"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Mitotane</w:t>
            </w:r>
          </w:p>
        </w:tc>
        <w:tc>
          <w:tcPr>
            <w:tcW w:w="4000"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L01X9</w:t>
            </w:r>
          </w:p>
        </w:tc>
      </w:tr>
    </w:tbl>
    <w:p w:rsidR="00E1406A" w:rsidRDefault="00E1406A">
      <w:pPr>
        <w:rPr>
          <w:rFonts w:ascii="Times New Roman" w:hAnsi="Times New Roman" w:cs="Times New Roman"/>
          <w:sz w:val="16"/>
          <w:szCs w:val="16"/>
        </w:rPr>
        <w:sectPr w:rsidR="00E1406A" w:rsidSect="00BD0885">
          <w:pgSz w:w="11906" w:h="16838"/>
          <w:pgMar w:top="720" w:right="720" w:bottom="720" w:left="720" w:header="851" w:footer="992" w:gutter="0"/>
          <w:cols w:space="425"/>
          <w:docGrid w:type="lines" w:linePitch="360"/>
        </w:sectPr>
      </w:pPr>
    </w:p>
    <w:tbl>
      <w:tblPr>
        <w:tblW w:w="7420" w:type="dxa"/>
        <w:tblCellMar>
          <w:left w:w="99" w:type="dxa"/>
          <w:right w:w="99" w:type="dxa"/>
        </w:tblCellMar>
        <w:tblLook w:val="04A0" w:firstRow="1" w:lastRow="0" w:firstColumn="1" w:lastColumn="0" w:noHBand="0" w:noVBand="1"/>
      </w:tblPr>
      <w:tblGrid>
        <w:gridCol w:w="2895"/>
        <w:gridCol w:w="4525"/>
      </w:tblGrid>
      <w:tr w:rsidR="00E1406A" w:rsidRPr="00E1406A" w:rsidTr="00E1406A">
        <w:trPr>
          <w:trHeight w:val="315"/>
        </w:trPr>
        <w:tc>
          <w:tcPr>
            <w:tcW w:w="742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r w:rsidRPr="00E1406A">
              <w:rPr>
                <w:rFonts w:ascii="Times New Roman" w:eastAsia="ＭＳ Ｐゴシック" w:hAnsi="Times New Roman" w:cs="Times New Roman"/>
                <w:b/>
                <w:bCs/>
                <w:color w:val="000000"/>
                <w:kern w:val="0"/>
                <w:sz w:val="24"/>
                <w:szCs w:val="24"/>
              </w:rPr>
              <w:lastRenderedPageBreak/>
              <w:t xml:space="preserve">Table S8. </w:t>
            </w:r>
            <w:r w:rsidRPr="00E1406A">
              <w:rPr>
                <w:rFonts w:ascii="Times New Roman" w:eastAsia="ＭＳ Ｐゴシック" w:hAnsi="Times New Roman" w:cs="Times New Roman"/>
                <w:color w:val="000000"/>
                <w:kern w:val="0"/>
                <w:sz w:val="24"/>
                <w:szCs w:val="24"/>
              </w:rPr>
              <w:t xml:space="preserve">Comparison of glucocorticoid preparations. </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b/>
                <w:bCs/>
                <w:color w:val="000000"/>
                <w:kern w:val="0"/>
                <w:sz w:val="24"/>
                <w:szCs w:val="24"/>
              </w:rPr>
            </w:pP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315"/>
        </w:trPr>
        <w:tc>
          <w:tcPr>
            <w:tcW w:w="2895"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Glucocorticoid category</w:t>
            </w:r>
          </w:p>
        </w:tc>
        <w:tc>
          <w:tcPr>
            <w:tcW w:w="4525"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Equivalent doses (mg)</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Hydrocortisone (cortisol)</w:t>
            </w: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 xml:space="preserve">20 </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Cortisone acetate</w:t>
            </w: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 xml:space="preserve">25 </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Prednisone</w:t>
            </w: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 xml:space="preserve">5 </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Prednisolone</w:t>
            </w: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 xml:space="preserve">5 </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Methylprednisolone</w:t>
            </w: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 xml:space="preserve">4 </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Triamcinolone</w:t>
            </w: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 xml:space="preserve">4 </w:t>
            </w:r>
          </w:p>
        </w:tc>
      </w:tr>
      <w:tr w:rsidR="00E1406A" w:rsidRPr="00E1406A" w:rsidTr="00E1406A">
        <w:trPr>
          <w:trHeight w:val="315"/>
        </w:trPr>
        <w:tc>
          <w:tcPr>
            <w:tcW w:w="28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Fludrocortisone</w:t>
            </w:r>
          </w:p>
        </w:tc>
        <w:tc>
          <w:tcPr>
            <w:tcW w:w="452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Not used for an antiinflammatory effect</w:t>
            </w:r>
          </w:p>
        </w:tc>
      </w:tr>
      <w:tr w:rsidR="00E1406A" w:rsidRPr="00E1406A" w:rsidTr="00E1406A">
        <w:trPr>
          <w:trHeight w:val="315"/>
        </w:trPr>
        <w:tc>
          <w:tcPr>
            <w:tcW w:w="2895"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Dexamethasone</w:t>
            </w:r>
          </w:p>
        </w:tc>
        <w:tc>
          <w:tcPr>
            <w:tcW w:w="4525" w:type="dxa"/>
            <w:tcBorders>
              <w:top w:val="nil"/>
              <w:left w:val="nil"/>
              <w:bottom w:val="single" w:sz="4"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4"/>
                <w:szCs w:val="24"/>
              </w:rPr>
            </w:pPr>
            <w:r w:rsidRPr="00E1406A">
              <w:rPr>
                <w:rFonts w:ascii="Times New Roman" w:eastAsia="ＭＳ Ｐゴシック" w:hAnsi="Times New Roman" w:cs="Times New Roman"/>
                <w:color w:val="000000"/>
                <w:kern w:val="0"/>
                <w:sz w:val="24"/>
                <w:szCs w:val="24"/>
              </w:rPr>
              <w:t xml:space="preserve">1 </w:t>
            </w:r>
          </w:p>
        </w:tc>
      </w:tr>
    </w:tbl>
    <w:p w:rsidR="00E1406A" w:rsidRDefault="00E1406A">
      <w:pPr>
        <w:rPr>
          <w:rFonts w:ascii="Times New Roman" w:hAnsi="Times New Roman" w:cs="Times New Roman"/>
          <w:sz w:val="16"/>
          <w:szCs w:val="16"/>
        </w:rPr>
        <w:sectPr w:rsidR="00E1406A" w:rsidSect="00BD0885">
          <w:pgSz w:w="11906" w:h="16838"/>
          <w:pgMar w:top="720" w:right="720" w:bottom="720" w:left="720" w:header="851" w:footer="992" w:gutter="0"/>
          <w:cols w:space="425"/>
          <w:docGrid w:type="lines" w:linePitch="360"/>
        </w:sectPr>
      </w:pPr>
    </w:p>
    <w:tbl>
      <w:tblPr>
        <w:tblW w:w="10065" w:type="dxa"/>
        <w:tblLayout w:type="fixed"/>
        <w:tblCellMar>
          <w:left w:w="99" w:type="dxa"/>
          <w:right w:w="99" w:type="dxa"/>
        </w:tblCellMar>
        <w:tblLook w:val="04A0" w:firstRow="1" w:lastRow="0" w:firstColumn="1" w:lastColumn="0" w:noHBand="0" w:noVBand="1"/>
      </w:tblPr>
      <w:tblGrid>
        <w:gridCol w:w="218"/>
        <w:gridCol w:w="2189"/>
        <w:gridCol w:w="2271"/>
        <w:gridCol w:w="1276"/>
        <w:gridCol w:w="850"/>
        <w:gridCol w:w="851"/>
        <w:gridCol w:w="1276"/>
        <w:gridCol w:w="1134"/>
      </w:tblGrid>
      <w:tr w:rsidR="00E1406A" w:rsidRPr="00E1406A" w:rsidTr="00E1406A">
        <w:trPr>
          <w:trHeight w:val="269"/>
        </w:trPr>
        <w:tc>
          <w:tcPr>
            <w:tcW w:w="10065" w:type="dxa"/>
            <w:gridSpan w:val="8"/>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b/>
                <w:bCs/>
                <w:color w:val="000000"/>
                <w:kern w:val="0"/>
                <w:sz w:val="20"/>
                <w:szCs w:val="20"/>
              </w:rPr>
              <w:lastRenderedPageBreak/>
              <w:t>Table S9.</w:t>
            </w:r>
            <w:r w:rsidRPr="00E1406A">
              <w:rPr>
                <w:rFonts w:ascii="Times New Roman" w:eastAsia="ＭＳ Ｐゴシック" w:hAnsi="Times New Roman" w:cs="Times New Roman"/>
                <w:color w:val="000000"/>
                <w:kern w:val="0"/>
                <w:sz w:val="20"/>
                <w:szCs w:val="20"/>
              </w:rPr>
              <w:t xml:space="preserve"> Clinical characteristics in "Others"</w:t>
            </w:r>
            <w:r>
              <w:rPr>
                <w:rFonts w:ascii="Times New Roman" w:eastAsia="ＭＳ Ｐゴシック" w:hAnsi="Times New Roman" w:cs="Times New Roman"/>
                <w:color w:val="000000"/>
                <w:kern w:val="0"/>
                <w:sz w:val="20"/>
                <w:szCs w:val="20"/>
              </w:rPr>
              <w:t xml:space="preserve"> </w:t>
            </w:r>
            <w:r w:rsidRPr="00E1406A">
              <w:rPr>
                <w:rFonts w:ascii="Times New Roman" w:eastAsia="ＭＳ Ｐゴシック" w:hAnsi="Times New Roman" w:cs="Times New Roman"/>
                <w:color w:val="000000"/>
                <w:kern w:val="0"/>
                <w:sz w:val="20"/>
                <w:szCs w:val="20"/>
              </w:rPr>
              <w:t>category at admission according to prior admission within 1 year before AC.</w:t>
            </w:r>
          </w:p>
        </w:tc>
      </w:tr>
      <w:tr w:rsidR="00E1406A" w:rsidRPr="00E1406A" w:rsidTr="00E1406A">
        <w:trPr>
          <w:trHeight w:val="269"/>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5387" w:type="dxa"/>
            <w:gridSpan w:val="5"/>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Prior admission within 1 year before AC</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Yes</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No</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269"/>
        </w:trPr>
        <w:tc>
          <w:tcPr>
            <w:tcW w:w="218"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2189"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2271"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1276"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(N=152)</w:t>
            </w:r>
          </w:p>
        </w:tc>
        <w:tc>
          <w:tcPr>
            <w:tcW w:w="850"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851"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1276"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(N=193)</w:t>
            </w:r>
          </w:p>
        </w:tc>
        <w:tc>
          <w:tcPr>
            <w:tcW w:w="1134"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r>
      <w:tr w:rsidR="00E1406A" w:rsidRPr="00E1406A" w:rsidTr="00E1406A">
        <w:trPr>
          <w:trHeight w:val="254"/>
        </w:trPr>
        <w:tc>
          <w:tcPr>
            <w:tcW w:w="4678" w:type="dxa"/>
            <w:gridSpan w:val="3"/>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Indication for hospital admission*</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insufficiency†</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23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(15.1)</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27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(14.0)</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Pituitary disease </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(0.7)</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(0.5)</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Cancer</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39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(25.7)</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30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(15.5)</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Infection</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17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(11.2)</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27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(14.0)</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Cardiovascular disease</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17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(8.8)</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Sepsis</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4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(2.6)</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9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(4.7)</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disease</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7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(4.6)</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3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(1.6)</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AI related clinical symptom‡</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19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(12.5)</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25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(13.0)</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240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Comorbidity§</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Cardiovascular disease</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45</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(29.6)</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64</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(33.2)</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Infection</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27</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(17.8)</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38</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(19.7)</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Diabetes</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27</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(17.8)</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30</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(15.5)</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Cancer</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41</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(27.0)</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25</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(13.0)</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Hypothyroidism</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(3.9)</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18</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(9.3)</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Autoimmune disease</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(11.8)</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14</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(7.3)</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Peptic ulcer</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(6.6)</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(5.7)</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COPD or asthma</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(7.2)</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(5.2)</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Renal failure</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(5.3)</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(6.7)</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r>
      <w:tr w:rsidR="00E1406A" w:rsidRPr="00E1406A" w:rsidTr="00E1406A">
        <w:trPr>
          <w:trHeight w:val="254"/>
        </w:trPr>
        <w:tc>
          <w:tcPr>
            <w:tcW w:w="240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Hormone testing</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ACTH</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(31.6)</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79</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(40.9)</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Cortisol</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(38.2)</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86</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(44.6)</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Endocrine stimulation test||</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(2.0)</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(3.1)</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cortex stimulation test||</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(3.6)</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4678" w:type="dxa"/>
            <w:gridSpan w:val="3"/>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Hormone testing before AC</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ACTH</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(28.3)</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(5.7)</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Cortisol</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47</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(30.9)</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12</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(6.2)</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Endocrine stimulation test|||</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0</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cortex stimulation test||</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(2.6)</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240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Hospital referral</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59</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(38.8)</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83</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(43.0)</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4678" w:type="dxa"/>
            <w:gridSpan w:val="3"/>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Under GC-related medication</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Oral GC</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45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(29.6)</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23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(11.9)</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HC equivalent daily dosage (mg)</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20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(20 - 40)</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26.7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(20 - 56.7)</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Median [IQR] </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Inhaled GC</w:t>
            </w: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8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(5.3)</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6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(3.1)</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Drug interacting with GC</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3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(2.0)</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5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(2.6)</w:t>
            </w: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218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227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r>
      <w:tr w:rsidR="00E1406A" w:rsidRPr="00E1406A" w:rsidTr="00E1406A">
        <w:trPr>
          <w:trHeight w:val="254"/>
        </w:trPr>
        <w:tc>
          <w:tcPr>
            <w:tcW w:w="4678" w:type="dxa"/>
            <w:gridSpan w:val="3"/>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Timelag between admission and GC cessation</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r>
      <w:tr w:rsidR="00E1406A" w:rsidRPr="00E1406A" w:rsidTr="00E1406A">
        <w:trPr>
          <w:trHeight w:val="254"/>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Within 14 days after GC cessation</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18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(11.8)</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3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(1.6)</w:t>
            </w:r>
          </w:p>
        </w:tc>
      </w:tr>
      <w:tr w:rsidR="00E1406A" w:rsidRPr="00E1406A" w:rsidTr="00E1406A">
        <w:trPr>
          <w:trHeight w:val="269"/>
        </w:trPr>
        <w:tc>
          <w:tcPr>
            <w:tcW w:w="218"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0"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Within 30 days after GC cessation</w:t>
            </w: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28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(18.4)</w:t>
            </w:r>
          </w:p>
        </w:tc>
        <w:tc>
          <w:tcPr>
            <w:tcW w:w="851"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3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(1.6)</w:t>
            </w:r>
          </w:p>
        </w:tc>
      </w:tr>
      <w:tr w:rsidR="00E1406A" w:rsidRPr="00E1406A" w:rsidTr="00E1406A">
        <w:trPr>
          <w:trHeight w:val="360"/>
        </w:trPr>
        <w:tc>
          <w:tcPr>
            <w:tcW w:w="10065" w:type="dxa"/>
            <w:gridSpan w:val="8"/>
            <w:vMerge w:val="restart"/>
            <w:tcBorders>
              <w:top w:val="single" w:sz="8" w:space="0" w:color="auto"/>
              <w:left w:val="nil"/>
              <w:bottom w:val="nil"/>
              <w:right w:val="nil"/>
            </w:tcBorders>
            <w:shd w:val="clear" w:color="auto" w:fill="auto"/>
            <w:vAlign w:val="center"/>
            <w:hideMark/>
          </w:tcPr>
          <w:p w:rsidR="00E1406A" w:rsidRPr="00E1406A" w:rsidRDefault="00E1406A" w:rsidP="00A5670F">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Abbreviations: AC, adrenal crisis; GC, glucocorticoid; AI, adrenal insufficiency; COPD, chronic obstructive pulmonary disease; ACTH, adrenocorticotropic hormone</w:t>
            </w:r>
            <w:r w:rsidRPr="00E1406A">
              <w:rPr>
                <w:rFonts w:ascii="Times New Roman" w:eastAsia="ＭＳ Ｐゴシック" w:hAnsi="Times New Roman" w:cs="Times New Roman"/>
                <w:color w:val="000000"/>
                <w:kern w:val="0"/>
                <w:sz w:val="20"/>
                <w:szCs w:val="20"/>
              </w:rPr>
              <w:br/>
              <w:t>* Identified as disease or symptom requiring admission decision, registered according to the Japanese diagnostic procedure combination (DPC) system.</w:t>
            </w:r>
            <w:r w:rsidRPr="00E1406A">
              <w:rPr>
                <w:rFonts w:ascii="Times New Roman" w:eastAsia="ＭＳ Ｐゴシック" w:hAnsi="Times New Roman" w:cs="Times New Roman"/>
                <w:color w:val="000000"/>
                <w:kern w:val="0"/>
                <w:sz w:val="20"/>
                <w:szCs w:val="20"/>
              </w:rPr>
              <w:br/>
              <w:t>† Considering with following admission and therapeutic GC administration, this group is consistent with hospitalization due to adrenal crisis.</w:t>
            </w:r>
            <w:r w:rsidRPr="00E1406A">
              <w:rPr>
                <w:rFonts w:ascii="Times New Roman" w:eastAsia="ＭＳ Ｐゴシック" w:hAnsi="Times New Roman" w:cs="Times New Roman"/>
                <w:color w:val="000000"/>
                <w:kern w:val="0"/>
                <w:sz w:val="20"/>
                <w:szCs w:val="20"/>
              </w:rPr>
              <w:br/>
              <w:t>‡ Consisted of unspecified coma, hyponatremia, unspecified hypotension, volume depletion, shock, anorexia, nausea, vomiting, unspecified fever and hypoglycemia.</w:t>
            </w:r>
            <w:r w:rsidRPr="00E1406A">
              <w:rPr>
                <w:rFonts w:ascii="Times New Roman" w:eastAsia="ＭＳ Ｐゴシック" w:hAnsi="Times New Roman" w:cs="Times New Roman"/>
                <w:color w:val="000000"/>
                <w:kern w:val="0"/>
                <w:sz w:val="20"/>
                <w:szCs w:val="20"/>
              </w:rPr>
              <w:br/>
              <w:t xml:space="preserve">§ Identification of comorbidity is based on comorbidity lists at admission, registered according to the Japanese diagnostic procedure combination (DPC) system. </w:t>
            </w:r>
            <w:r w:rsidRPr="00E1406A">
              <w:rPr>
                <w:rFonts w:ascii="Times New Roman" w:eastAsia="ＭＳ Ｐゴシック" w:hAnsi="Times New Roman" w:cs="Times New Roman"/>
                <w:color w:val="000000"/>
                <w:kern w:val="0"/>
                <w:sz w:val="20"/>
                <w:szCs w:val="20"/>
              </w:rPr>
              <w:br/>
              <w:t>|| Endocrine stimulation test consists of hormone dynamic testing including the following: anterior pituitary (growth hormone, gonadotropin, thyroid stimulating hormone, prolactin, adrenocorticotropic hormone), posterior pituitary (antidiuretic hormone), thyroid, parathyroid, and gonad (testosterone, estradiol). Endocrine tests of adrenocorticotropic hormone included insulin tolerance test, metyrapone test, dexamethasone suppression test, and corticotropin-releasing hormone stimulation test. In this study, we counted results of adrenal cortex stimulation test apart from these endocrine stimulation tests. The adrenal stimulation tests evaluates adrenal cortex function, which is related to glucocorticoid or mineralocorticoid, for example, the adrenocorticotropic hormone stimulation test.</w:t>
            </w: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E1406A">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bl>
    <w:p w:rsidR="00E1406A" w:rsidRDefault="00E1406A">
      <w:pPr>
        <w:rPr>
          <w:rFonts w:ascii="Times New Roman" w:hAnsi="Times New Roman" w:cs="Times New Roman"/>
          <w:sz w:val="16"/>
          <w:szCs w:val="16"/>
        </w:rPr>
        <w:sectPr w:rsidR="00E1406A" w:rsidSect="00BD0885">
          <w:pgSz w:w="11906" w:h="16838"/>
          <w:pgMar w:top="720" w:right="720" w:bottom="720" w:left="720" w:header="851" w:footer="992" w:gutter="0"/>
          <w:cols w:space="425"/>
          <w:docGrid w:type="lines" w:linePitch="360"/>
        </w:sectPr>
      </w:pPr>
    </w:p>
    <w:tbl>
      <w:tblPr>
        <w:tblW w:w="10065" w:type="dxa"/>
        <w:tblLayout w:type="fixed"/>
        <w:tblCellMar>
          <w:left w:w="99" w:type="dxa"/>
          <w:right w:w="99" w:type="dxa"/>
        </w:tblCellMar>
        <w:tblLook w:val="04A0" w:firstRow="1" w:lastRow="0" w:firstColumn="1" w:lastColumn="0" w:noHBand="0" w:noVBand="1"/>
      </w:tblPr>
      <w:tblGrid>
        <w:gridCol w:w="219"/>
        <w:gridCol w:w="3172"/>
        <w:gridCol w:w="1295"/>
        <w:gridCol w:w="1274"/>
        <w:gridCol w:w="849"/>
        <w:gridCol w:w="850"/>
        <w:gridCol w:w="1272"/>
        <w:gridCol w:w="1134"/>
      </w:tblGrid>
      <w:tr w:rsidR="00E1406A" w:rsidRPr="00E1406A" w:rsidTr="00A5670F">
        <w:trPr>
          <w:trHeight w:val="270"/>
        </w:trPr>
        <w:tc>
          <w:tcPr>
            <w:tcW w:w="10065" w:type="dxa"/>
            <w:gridSpan w:val="8"/>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b/>
                <w:bCs/>
                <w:color w:val="000000"/>
                <w:kern w:val="0"/>
                <w:sz w:val="20"/>
                <w:szCs w:val="20"/>
              </w:rPr>
              <w:lastRenderedPageBreak/>
              <w:t>Table S10.</w:t>
            </w:r>
            <w:r w:rsidRPr="00E1406A">
              <w:rPr>
                <w:rFonts w:ascii="Times New Roman" w:eastAsia="ＭＳ Ｐゴシック" w:hAnsi="Times New Roman" w:cs="Times New Roman"/>
                <w:color w:val="000000"/>
                <w:kern w:val="0"/>
                <w:sz w:val="20"/>
                <w:szCs w:val="20"/>
              </w:rPr>
              <w:t xml:space="preserve"> Clinical characteristics in "Others"</w:t>
            </w:r>
            <w:r w:rsidR="009F2040">
              <w:rPr>
                <w:rFonts w:ascii="Times New Roman" w:eastAsia="ＭＳ Ｐゴシック" w:hAnsi="Times New Roman" w:cs="Times New Roman"/>
                <w:color w:val="000000"/>
                <w:kern w:val="0"/>
                <w:sz w:val="20"/>
                <w:szCs w:val="20"/>
              </w:rPr>
              <w:t xml:space="preserve"> </w:t>
            </w:r>
            <w:r w:rsidRPr="00E1406A">
              <w:rPr>
                <w:rFonts w:ascii="Times New Roman" w:eastAsia="ＭＳ Ｐゴシック" w:hAnsi="Times New Roman" w:cs="Times New Roman"/>
                <w:color w:val="000000"/>
                <w:kern w:val="0"/>
                <w:sz w:val="20"/>
                <w:szCs w:val="20"/>
              </w:rPr>
              <w:t>category at admission with or without hospitalization under GC medication.</w:t>
            </w:r>
          </w:p>
        </w:tc>
      </w:tr>
      <w:tr w:rsidR="00E1406A" w:rsidRPr="00E1406A" w:rsidTr="00A5670F">
        <w:trPr>
          <w:trHeight w:val="28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5379" w:type="dxa"/>
            <w:gridSpan w:val="5"/>
            <w:tcBorders>
              <w:top w:val="single" w:sz="8" w:space="0" w:color="auto"/>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Hospitalized for AC under GC medication</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Yes</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No</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p>
        </w:tc>
      </w:tr>
      <w:tr w:rsidR="00E1406A" w:rsidRPr="00E1406A" w:rsidTr="00A5670F">
        <w:trPr>
          <w:trHeight w:val="270"/>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(N=80)</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(N=265)</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center"/>
              <w:rPr>
                <w:rFonts w:ascii="Times New Roman" w:eastAsia="ＭＳ Ｐゴシック" w:hAnsi="Times New Roman" w:cs="Times New Roman"/>
                <w:color w:val="000000"/>
                <w:kern w:val="0"/>
                <w:sz w:val="20"/>
                <w:szCs w:val="20"/>
              </w:rPr>
            </w:pPr>
          </w:p>
        </w:tc>
      </w:tr>
      <w:tr w:rsidR="00E1406A" w:rsidRPr="00E1406A" w:rsidTr="00A5670F">
        <w:trPr>
          <w:trHeight w:val="255"/>
        </w:trPr>
        <w:tc>
          <w:tcPr>
            <w:tcW w:w="4686" w:type="dxa"/>
            <w:gridSpan w:val="3"/>
            <w:tcBorders>
              <w:top w:val="single" w:sz="8" w:space="0" w:color="auto"/>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Indication for hospital admission*</w:t>
            </w:r>
          </w:p>
        </w:tc>
        <w:tc>
          <w:tcPr>
            <w:tcW w:w="1274" w:type="dxa"/>
            <w:tcBorders>
              <w:top w:val="single" w:sz="8" w:space="0" w:color="auto"/>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849" w:type="dxa"/>
            <w:tcBorders>
              <w:top w:val="single" w:sz="8" w:space="0" w:color="auto"/>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850" w:type="dxa"/>
            <w:tcBorders>
              <w:top w:val="single" w:sz="8" w:space="0" w:color="auto"/>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1272" w:type="dxa"/>
            <w:tcBorders>
              <w:top w:val="single" w:sz="8" w:space="0" w:color="auto"/>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1134" w:type="dxa"/>
            <w:tcBorders>
              <w:top w:val="single" w:sz="8" w:space="0" w:color="auto"/>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insufficiency†</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8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(10.0)</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42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(15.8)</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Pituitary disease </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0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(0.8)</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Cancer</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18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(22.5)</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51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(19.2)</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Infection</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15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(18.8)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29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(10.9)</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Cardiovascular disease</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18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(6.8)</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Sepsis</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4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(5.0)</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9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(3.4)</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disease</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0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10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(3.8)</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AI-related clinical symptom‡ </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13 </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(16.3)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31 </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(11.7)</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55"/>
        </w:trPr>
        <w:tc>
          <w:tcPr>
            <w:tcW w:w="3391"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Comorbidity§</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Cardiovascular disease</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24</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(30.0)</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85</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(32.1)</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Infection</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12</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(15.0)</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53</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(20.0)</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Diabetes</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(12.5)</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47</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(17.7)</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Cancer</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22</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(27.5)</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44</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(16.6)</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Hypothyroidism</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21</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(7.9)</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Autoimmune disease</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(16.3)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19</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(7.2)</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Peptic ulcer</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(8.8)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14</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(5.3)</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COPD or asthma</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8</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(10.0)</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(4.9)</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Renal failure</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18</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(6.8)</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55"/>
        </w:trPr>
        <w:tc>
          <w:tcPr>
            <w:tcW w:w="3391"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Hormone testing</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ACTH</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22</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(27.5)</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105</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(39.6)</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Cortisol</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29</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(36.3)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115</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(43.4)</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Endocrine stimulation test||</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0</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9</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(3.4)</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cortex stimulation test||</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(2.5)</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7</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(2.6)</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55"/>
        </w:trPr>
        <w:tc>
          <w:tcPr>
            <w:tcW w:w="4686" w:type="dxa"/>
            <w:gridSpan w:val="3"/>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Hormone testing before AC</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ACTH</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22</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(27.5)</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32</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(12.1)</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Cortisol</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25</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(31.3)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34</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(12.8)</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Endocrine stimulation test||</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(0.4)</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4467"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Adrenal cortex stimulation test||</w:t>
            </w: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(3.8)</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55"/>
        </w:trPr>
        <w:tc>
          <w:tcPr>
            <w:tcW w:w="3391" w:type="dxa"/>
            <w:gridSpan w:val="2"/>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Hospital referral</w:t>
            </w: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25</w:t>
            </w: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(31.3)</w:t>
            </w: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117</w:t>
            </w: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(44.2)</w:t>
            </w:r>
          </w:p>
        </w:tc>
      </w:tr>
      <w:tr w:rsidR="00E1406A" w:rsidRPr="00E1406A" w:rsidTr="00A5670F">
        <w:trPr>
          <w:trHeight w:val="255"/>
        </w:trPr>
        <w:tc>
          <w:tcPr>
            <w:tcW w:w="21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c>
          <w:tcPr>
            <w:tcW w:w="31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95"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49"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850"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272"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E1406A" w:rsidRPr="00E1406A" w:rsidRDefault="00E1406A" w:rsidP="00E1406A">
            <w:pPr>
              <w:widowControl/>
              <w:jc w:val="left"/>
              <w:rPr>
                <w:rFonts w:ascii="Times New Roman" w:eastAsia="Times New Roman" w:hAnsi="Times New Roman" w:cs="Times New Roman"/>
                <w:kern w:val="0"/>
                <w:sz w:val="20"/>
                <w:szCs w:val="20"/>
              </w:rPr>
            </w:pPr>
          </w:p>
        </w:tc>
      </w:tr>
      <w:tr w:rsidR="00E1406A" w:rsidRPr="00E1406A" w:rsidTr="00A5670F">
        <w:trPr>
          <w:trHeight w:val="270"/>
        </w:trPr>
        <w:tc>
          <w:tcPr>
            <w:tcW w:w="4686" w:type="dxa"/>
            <w:gridSpan w:val="3"/>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Admission within 1 year before AC</w:t>
            </w:r>
          </w:p>
        </w:tc>
        <w:tc>
          <w:tcPr>
            <w:tcW w:w="1274"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52</w:t>
            </w:r>
          </w:p>
        </w:tc>
        <w:tc>
          <w:tcPr>
            <w:tcW w:w="849"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(65.0)</w:t>
            </w:r>
          </w:p>
        </w:tc>
        <w:tc>
          <w:tcPr>
            <w:tcW w:w="850"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 xml:space="preserve">　</w:t>
            </w:r>
          </w:p>
        </w:tc>
        <w:tc>
          <w:tcPr>
            <w:tcW w:w="1272"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righ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100</w:t>
            </w:r>
          </w:p>
        </w:tc>
        <w:tc>
          <w:tcPr>
            <w:tcW w:w="1134" w:type="dxa"/>
            <w:tcBorders>
              <w:top w:val="nil"/>
              <w:left w:val="nil"/>
              <w:bottom w:val="single" w:sz="8" w:space="0" w:color="auto"/>
              <w:right w:val="nil"/>
            </w:tcBorders>
            <w:shd w:val="clear" w:color="auto" w:fill="auto"/>
            <w:noWrap/>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(37.7)</w:t>
            </w:r>
          </w:p>
        </w:tc>
      </w:tr>
      <w:tr w:rsidR="00E1406A" w:rsidRPr="00E1406A" w:rsidTr="00A5670F">
        <w:trPr>
          <w:trHeight w:val="360"/>
        </w:trPr>
        <w:tc>
          <w:tcPr>
            <w:tcW w:w="10065" w:type="dxa"/>
            <w:gridSpan w:val="8"/>
            <w:vMerge w:val="restart"/>
            <w:tcBorders>
              <w:top w:val="single" w:sz="8" w:space="0" w:color="auto"/>
              <w:left w:val="nil"/>
              <w:bottom w:val="nil"/>
              <w:right w:val="nil"/>
            </w:tcBorders>
            <w:shd w:val="clear" w:color="auto" w:fill="auto"/>
            <w:vAlign w:val="center"/>
            <w:hideMark/>
          </w:tcPr>
          <w:p w:rsidR="00E1406A" w:rsidRPr="00E1406A" w:rsidRDefault="00E1406A" w:rsidP="00A5670F">
            <w:pPr>
              <w:widowControl/>
              <w:jc w:val="left"/>
              <w:rPr>
                <w:rFonts w:ascii="Times New Roman" w:eastAsia="ＭＳ Ｐゴシック" w:hAnsi="Times New Roman" w:cs="Times New Roman"/>
                <w:color w:val="000000"/>
                <w:kern w:val="0"/>
                <w:sz w:val="20"/>
                <w:szCs w:val="20"/>
              </w:rPr>
            </w:pPr>
            <w:r w:rsidRPr="00E1406A">
              <w:rPr>
                <w:rFonts w:ascii="Times New Roman" w:eastAsia="ＭＳ Ｐゴシック" w:hAnsi="Times New Roman" w:cs="Times New Roman"/>
                <w:color w:val="000000"/>
                <w:kern w:val="0"/>
                <w:sz w:val="20"/>
                <w:szCs w:val="20"/>
              </w:rPr>
              <w:t>Abbreviations: AC, adrenal crisis; GC, glucocorticoid; AI, adrenal insufficiency; COPD, chronic obstructive pulmonary disease; ACTH, adrenocorticotropic hormone</w:t>
            </w:r>
            <w:r w:rsidRPr="00E1406A">
              <w:rPr>
                <w:rFonts w:ascii="Times New Roman" w:eastAsia="ＭＳ Ｐゴシック" w:hAnsi="Times New Roman" w:cs="Times New Roman"/>
                <w:color w:val="000000"/>
                <w:kern w:val="0"/>
                <w:sz w:val="20"/>
                <w:szCs w:val="20"/>
              </w:rPr>
              <w:br/>
            </w:r>
            <w:r w:rsidRPr="00E1406A">
              <w:rPr>
                <w:rFonts w:ascii="Times New Roman" w:eastAsia="ＭＳ Ｐゴシック" w:hAnsi="Times New Roman" w:cs="Times New Roman"/>
                <w:color w:val="000000"/>
                <w:kern w:val="0"/>
                <w:sz w:val="20"/>
                <w:szCs w:val="20"/>
              </w:rPr>
              <w:lastRenderedPageBreak/>
              <w:t>* Identified as disease or symptom requiring admission registered according to the Japanese diagnostic procedure combination (DPC) system.</w:t>
            </w:r>
            <w:r w:rsidRPr="00E1406A">
              <w:rPr>
                <w:rFonts w:ascii="Times New Roman" w:eastAsia="ＭＳ Ｐゴシック" w:hAnsi="Times New Roman" w:cs="Times New Roman"/>
                <w:color w:val="000000"/>
                <w:kern w:val="0"/>
                <w:sz w:val="20"/>
                <w:szCs w:val="20"/>
              </w:rPr>
              <w:br/>
            </w:r>
            <w:r w:rsidRPr="00E1406A">
              <w:rPr>
                <w:rFonts w:ascii="Times New Roman" w:eastAsia="ＭＳ Ｐゴシック" w:hAnsi="Times New Roman" w:cs="Times New Roman"/>
                <w:kern w:val="0"/>
                <w:sz w:val="20"/>
                <w:szCs w:val="20"/>
              </w:rPr>
              <w:t>† Considering with following admission and therapeutic GC administration, this group is consistent with hospitalization due to adrenal crisis.</w:t>
            </w:r>
            <w:r w:rsidRPr="00E1406A">
              <w:rPr>
                <w:rFonts w:ascii="Times New Roman" w:eastAsia="ＭＳ Ｐゴシック" w:hAnsi="Times New Roman" w:cs="Times New Roman"/>
                <w:color w:val="000000"/>
                <w:kern w:val="0"/>
                <w:sz w:val="20"/>
                <w:szCs w:val="20"/>
              </w:rPr>
              <w:br/>
              <w:t>‡ Consisted of unspecified coma, hyponatremia, unspecified hypotension, volume depletion, shock, anorexia, nausea, vomiting, unspecified fever and hypoglycemia.</w:t>
            </w:r>
            <w:r w:rsidRPr="00E1406A">
              <w:rPr>
                <w:rFonts w:ascii="Times New Roman" w:eastAsia="ＭＳ Ｐゴシック" w:hAnsi="Times New Roman" w:cs="Times New Roman"/>
                <w:color w:val="000000"/>
                <w:kern w:val="0"/>
                <w:sz w:val="20"/>
                <w:szCs w:val="20"/>
              </w:rPr>
              <w:br/>
              <w:t xml:space="preserve">§ Identification of comorbidity is based on comorbidity lists at admission, registered according to the Japanese diagnostic procedure combination (DPC) system. </w:t>
            </w:r>
            <w:r w:rsidRPr="00E1406A">
              <w:rPr>
                <w:rFonts w:ascii="Times New Roman" w:eastAsia="ＭＳ Ｐゴシック" w:hAnsi="Times New Roman" w:cs="Times New Roman"/>
                <w:color w:val="000000"/>
                <w:kern w:val="0"/>
                <w:sz w:val="20"/>
                <w:szCs w:val="20"/>
              </w:rPr>
              <w:br/>
            </w:r>
            <w:r w:rsidRPr="00E1406A">
              <w:rPr>
                <w:rFonts w:ascii="Times New Roman" w:eastAsia="ＭＳ Ｐゴシック" w:hAnsi="Times New Roman" w:cs="Times New Roman"/>
                <w:kern w:val="0"/>
                <w:sz w:val="20"/>
                <w:szCs w:val="20"/>
              </w:rPr>
              <w:t>|| Endocrine stimulation test consists of hormone dynamic testing including the following: anterior pituitary (growth hormone, gonadotropin, thyroid stimulating hormone, prolactin, adrenocorticotropic hormone), posterior pituitary (antidiuretic hormone), thyroid, parathyroid, and gonad (testosterone, estradiol). Endocrine tests of adrenocorticotropic hormone included insulin tolerance test, metyrapone test, dexamethasone suppression test, and corticotropin-releasing hormone stimulation test. In this study, we counted results of adrenal cortex stimulation test apart from these endocrine stimulation tests. The adrenal stimulation tests evaluates adrenal cortex function, which is related to glucocorticoid or mineralocorticoid, for example, the adrenocorticotropic hormone stimulation test.</w:t>
            </w: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r w:rsidR="00E1406A" w:rsidRPr="00E1406A" w:rsidTr="00A5670F">
        <w:trPr>
          <w:trHeight w:val="360"/>
        </w:trPr>
        <w:tc>
          <w:tcPr>
            <w:tcW w:w="10065" w:type="dxa"/>
            <w:gridSpan w:val="8"/>
            <w:vMerge/>
            <w:tcBorders>
              <w:top w:val="single" w:sz="8" w:space="0" w:color="auto"/>
              <w:left w:val="nil"/>
              <w:bottom w:val="nil"/>
              <w:right w:val="nil"/>
            </w:tcBorders>
            <w:vAlign w:val="center"/>
            <w:hideMark/>
          </w:tcPr>
          <w:p w:rsidR="00E1406A" w:rsidRPr="00E1406A" w:rsidRDefault="00E1406A" w:rsidP="00E1406A">
            <w:pPr>
              <w:widowControl/>
              <w:jc w:val="left"/>
              <w:rPr>
                <w:rFonts w:ascii="Times New Roman" w:eastAsia="ＭＳ Ｐゴシック" w:hAnsi="Times New Roman" w:cs="Times New Roman"/>
                <w:color w:val="000000"/>
                <w:kern w:val="0"/>
                <w:sz w:val="20"/>
                <w:szCs w:val="20"/>
              </w:rPr>
            </w:pPr>
          </w:p>
        </w:tc>
      </w:tr>
    </w:tbl>
    <w:p w:rsidR="00A5670F" w:rsidRDefault="00A5670F">
      <w:pPr>
        <w:rPr>
          <w:rFonts w:ascii="Times New Roman" w:hAnsi="Times New Roman" w:cs="Times New Roman"/>
          <w:sz w:val="16"/>
          <w:szCs w:val="16"/>
        </w:rPr>
        <w:sectPr w:rsidR="00A5670F" w:rsidSect="00BD0885">
          <w:pgSz w:w="11906" w:h="16838"/>
          <w:pgMar w:top="720" w:right="720" w:bottom="720" w:left="720" w:header="851" w:footer="992" w:gutter="0"/>
          <w:cols w:space="425"/>
          <w:docGrid w:type="lines" w:linePitch="360"/>
        </w:sectPr>
      </w:pPr>
    </w:p>
    <w:tbl>
      <w:tblPr>
        <w:tblW w:w="10065" w:type="dxa"/>
        <w:tblLayout w:type="fixed"/>
        <w:tblCellMar>
          <w:left w:w="99" w:type="dxa"/>
          <w:right w:w="99" w:type="dxa"/>
        </w:tblCellMar>
        <w:tblLook w:val="04A0" w:firstRow="1" w:lastRow="0" w:firstColumn="1" w:lastColumn="0" w:noHBand="0" w:noVBand="1"/>
      </w:tblPr>
      <w:tblGrid>
        <w:gridCol w:w="219"/>
        <w:gridCol w:w="2987"/>
        <w:gridCol w:w="1382"/>
        <w:gridCol w:w="1372"/>
        <w:gridCol w:w="843"/>
        <w:gridCol w:w="856"/>
        <w:gridCol w:w="1274"/>
        <w:gridCol w:w="1132"/>
      </w:tblGrid>
      <w:tr w:rsidR="00A5670F" w:rsidRPr="00A5670F" w:rsidTr="00A5670F">
        <w:trPr>
          <w:trHeight w:val="270"/>
        </w:trPr>
        <w:tc>
          <w:tcPr>
            <w:tcW w:w="10065" w:type="dxa"/>
            <w:gridSpan w:val="8"/>
            <w:tcBorders>
              <w:top w:val="nil"/>
              <w:left w:val="nil"/>
              <w:bottom w:val="single" w:sz="8" w:space="0" w:color="auto"/>
              <w:right w:val="nil"/>
            </w:tcBorders>
            <w:shd w:val="clear" w:color="auto" w:fill="auto"/>
            <w:noWrap/>
            <w:vAlign w:val="center"/>
            <w:hideMark/>
          </w:tcPr>
          <w:p w:rsid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b/>
                <w:bCs/>
                <w:color w:val="000000"/>
                <w:kern w:val="0"/>
                <w:sz w:val="20"/>
                <w:szCs w:val="20"/>
              </w:rPr>
              <w:lastRenderedPageBreak/>
              <w:t>Table S11.</w:t>
            </w:r>
            <w:r w:rsidRPr="00A5670F">
              <w:rPr>
                <w:rFonts w:ascii="Times New Roman" w:eastAsia="ＭＳ Ｐゴシック" w:hAnsi="Times New Roman" w:cs="Times New Roman"/>
                <w:color w:val="000000"/>
                <w:kern w:val="0"/>
                <w:sz w:val="20"/>
                <w:szCs w:val="20"/>
              </w:rPr>
              <w:t xml:space="preserve"> </w:t>
            </w:r>
          </w:p>
          <w:p w:rsidR="00A5670F" w:rsidRPr="00A5670F" w:rsidRDefault="00A5670F" w:rsidP="00A5670F">
            <w:pPr>
              <w:widowControl/>
              <w:jc w:val="left"/>
              <w:rPr>
                <w:rFonts w:ascii="Times New Roman" w:eastAsia="ＭＳ Ｐゴシック" w:hAnsi="Times New Roman" w:cs="Times New Roman"/>
                <w:color w:val="000000"/>
                <w:kern w:val="0"/>
                <w:sz w:val="20"/>
                <w:szCs w:val="20"/>
              </w:rPr>
            </w:pPr>
            <w:bookmarkStart w:id="0" w:name="_GoBack"/>
            <w:r w:rsidRPr="00A5670F">
              <w:rPr>
                <w:rFonts w:ascii="Times New Roman" w:eastAsia="ＭＳ Ｐゴシック" w:hAnsi="Times New Roman" w:cs="Times New Roman"/>
                <w:color w:val="000000"/>
                <w:kern w:val="0"/>
                <w:sz w:val="20"/>
                <w:szCs w:val="20"/>
              </w:rPr>
              <w:t>Clinical characteristics in "Others"</w:t>
            </w:r>
            <w:r w:rsidR="009F2040">
              <w:rPr>
                <w:rFonts w:ascii="Times New Roman" w:eastAsia="ＭＳ Ｐゴシック" w:hAnsi="Times New Roman" w:cs="Times New Roman"/>
                <w:color w:val="000000"/>
                <w:kern w:val="0"/>
                <w:sz w:val="20"/>
                <w:szCs w:val="20"/>
              </w:rPr>
              <w:t xml:space="preserve"> </w:t>
            </w:r>
            <w:r w:rsidRPr="00A5670F">
              <w:rPr>
                <w:rFonts w:ascii="Times New Roman" w:eastAsia="ＭＳ Ｐゴシック" w:hAnsi="Times New Roman" w:cs="Times New Roman"/>
                <w:color w:val="000000"/>
                <w:kern w:val="0"/>
                <w:sz w:val="20"/>
                <w:szCs w:val="20"/>
              </w:rPr>
              <w:t>category at admission according to hospitalization within 30 days after GC cessation.</w:t>
            </w:r>
            <w:bookmarkEnd w:id="0"/>
          </w:p>
        </w:tc>
      </w:tr>
      <w:tr w:rsidR="00A5670F" w:rsidRPr="00A5670F" w:rsidTr="00A5670F">
        <w:trPr>
          <w:trHeight w:val="270"/>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5485" w:type="dxa"/>
            <w:gridSpan w:val="5"/>
            <w:tcBorders>
              <w:top w:val="nil"/>
              <w:left w:val="nil"/>
              <w:bottom w:val="single" w:sz="8" w:space="0" w:color="auto"/>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Hospitalized for AC within 30 days after GC cessation</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Yes</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No</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p>
        </w:tc>
      </w:tr>
      <w:tr w:rsidR="00A5670F" w:rsidRPr="00A5670F" w:rsidTr="00A5670F">
        <w:trPr>
          <w:trHeight w:val="270"/>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(N=31)</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(N=314)</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ＭＳ Ｐゴシック" w:hAnsi="Times New Roman" w:cs="Times New Roman"/>
                <w:color w:val="000000"/>
                <w:kern w:val="0"/>
                <w:sz w:val="20"/>
                <w:szCs w:val="20"/>
              </w:rPr>
            </w:pPr>
          </w:p>
        </w:tc>
      </w:tr>
      <w:tr w:rsidR="00A5670F" w:rsidRPr="00A5670F" w:rsidTr="00A5670F">
        <w:trPr>
          <w:trHeight w:val="255"/>
        </w:trPr>
        <w:tc>
          <w:tcPr>
            <w:tcW w:w="4580" w:type="dxa"/>
            <w:gridSpan w:val="3"/>
            <w:tcBorders>
              <w:top w:val="single" w:sz="8" w:space="0" w:color="auto"/>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Indication for hospital admission*</w:t>
            </w:r>
          </w:p>
        </w:tc>
        <w:tc>
          <w:tcPr>
            <w:tcW w:w="1374" w:type="dxa"/>
            <w:tcBorders>
              <w:top w:val="single" w:sz="8" w:space="0" w:color="auto"/>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　</w:t>
            </w:r>
          </w:p>
        </w:tc>
        <w:tc>
          <w:tcPr>
            <w:tcW w:w="844" w:type="dxa"/>
            <w:tcBorders>
              <w:top w:val="single" w:sz="8" w:space="0" w:color="auto"/>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　</w:t>
            </w:r>
          </w:p>
        </w:tc>
        <w:tc>
          <w:tcPr>
            <w:tcW w:w="857" w:type="dxa"/>
            <w:tcBorders>
              <w:top w:val="single" w:sz="8" w:space="0" w:color="auto"/>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　</w:t>
            </w:r>
          </w:p>
        </w:tc>
        <w:tc>
          <w:tcPr>
            <w:tcW w:w="1276" w:type="dxa"/>
            <w:tcBorders>
              <w:top w:val="single" w:sz="8" w:space="0" w:color="auto"/>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　</w:t>
            </w:r>
          </w:p>
        </w:tc>
        <w:tc>
          <w:tcPr>
            <w:tcW w:w="1134" w:type="dxa"/>
            <w:tcBorders>
              <w:top w:val="single" w:sz="8" w:space="0" w:color="auto"/>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　</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Adrenal insufficiency†</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6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(19.4)</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44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(14.0)</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Pituitary disease </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0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2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(0.6) </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Cancer</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7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(22.6)</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62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(19.7)</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Infection</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1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(3.2)</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43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(13.7)</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Cardiovascular disease</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1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(3.2)</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18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(5.7)</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Sepsis</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0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13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(4.1)</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Adrenal disease</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1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(3.2)</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9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(2.9)</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AI related clinical symptom‡</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6 </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(19.4)</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38 </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(12.1)</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r>
      <w:tr w:rsidR="00A5670F" w:rsidRPr="00A5670F" w:rsidTr="00A5670F">
        <w:trPr>
          <w:trHeight w:val="255"/>
        </w:trPr>
        <w:tc>
          <w:tcPr>
            <w:tcW w:w="319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Comorbidity§</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Cardiovascular disease</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9</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(29.0)</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100</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(31.8)</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Infection</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6</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(19.4)</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59</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(18.8)</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Diabetes</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(16.1)</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52</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(16.6)</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Cancer</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9</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(29.0)</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57</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(18.2)</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Hypothyroidism</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(6.5)</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22</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(7.0)</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Autoimmune disease</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0</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32</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(10.2)</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Peptic ulcer</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(9.7)</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18</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(5.7)</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COPD or asthma</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4</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(12.9)</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17</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(5.4)</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Renal failure</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(6.5)</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19</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(6.1)</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Times New Roman" w:hAnsi="Times New Roman" w:cs="Times New Roman"/>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r>
      <w:tr w:rsidR="00A5670F" w:rsidRPr="00A5670F" w:rsidTr="00A5670F">
        <w:trPr>
          <w:trHeight w:val="255"/>
        </w:trPr>
        <w:tc>
          <w:tcPr>
            <w:tcW w:w="319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Hormone testing</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ACTH</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9</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(29.0)</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118</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(37.6)</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Cortisol</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12</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(38.7)</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132</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(42.0)</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Endocrine stimulation test||</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0</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9</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(2.9)</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Adrenal cortex stimulation test||</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0</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9</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(2.9)</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r>
      <w:tr w:rsidR="00A5670F" w:rsidRPr="00A5670F" w:rsidTr="00A5670F">
        <w:trPr>
          <w:trHeight w:val="255"/>
        </w:trPr>
        <w:tc>
          <w:tcPr>
            <w:tcW w:w="4580" w:type="dxa"/>
            <w:gridSpan w:val="3"/>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Hormone testing before AC</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ACTH</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11</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(35.5)</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43</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(13.7)</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Cortisol</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13</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(41.9)</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46</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(14.6)</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Endocrine stimulation test||</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0</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(0.6)</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437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Adrenal cortex stimulation test||</w:t>
            </w: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0</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6</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(1.9)</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center"/>
              <w:rPr>
                <w:rFonts w:ascii="Times New Roman" w:eastAsia="Times New Roman" w:hAnsi="Times New Roman" w:cs="Times New Roman"/>
                <w:kern w:val="0"/>
                <w:sz w:val="20"/>
                <w:szCs w:val="20"/>
              </w:rPr>
            </w:pPr>
          </w:p>
        </w:tc>
      </w:tr>
      <w:tr w:rsidR="00A5670F" w:rsidRPr="00A5670F" w:rsidTr="00A5670F">
        <w:trPr>
          <w:trHeight w:val="255"/>
        </w:trPr>
        <w:tc>
          <w:tcPr>
            <w:tcW w:w="3196" w:type="dxa"/>
            <w:gridSpan w:val="2"/>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Hospital referral</w:t>
            </w: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17</w:t>
            </w: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(54.8)</w:t>
            </w: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125</w:t>
            </w: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(39.8)</w:t>
            </w:r>
          </w:p>
        </w:tc>
      </w:tr>
      <w:tr w:rsidR="00A5670F" w:rsidRPr="00A5670F" w:rsidTr="00A5670F">
        <w:trPr>
          <w:trHeight w:val="255"/>
        </w:trPr>
        <w:tc>
          <w:tcPr>
            <w:tcW w:w="20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c>
          <w:tcPr>
            <w:tcW w:w="2992"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8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37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4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857"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276"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hideMark/>
          </w:tcPr>
          <w:p w:rsidR="00A5670F" w:rsidRPr="00A5670F" w:rsidRDefault="00A5670F" w:rsidP="00A5670F">
            <w:pPr>
              <w:widowControl/>
              <w:jc w:val="left"/>
              <w:rPr>
                <w:rFonts w:ascii="Times New Roman" w:eastAsia="Times New Roman" w:hAnsi="Times New Roman" w:cs="Times New Roman"/>
                <w:kern w:val="0"/>
                <w:sz w:val="20"/>
                <w:szCs w:val="20"/>
              </w:rPr>
            </w:pPr>
          </w:p>
        </w:tc>
      </w:tr>
      <w:tr w:rsidR="00A5670F" w:rsidRPr="00A5670F" w:rsidTr="00A5670F">
        <w:trPr>
          <w:trHeight w:val="270"/>
        </w:trPr>
        <w:tc>
          <w:tcPr>
            <w:tcW w:w="4580" w:type="dxa"/>
            <w:gridSpan w:val="3"/>
            <w:tcBorders>
              <w:top w:val="nil"/>
              <w:left w:val="nil"/>
              <w:bottom w:val="single" w:sz="8" w:space="0" w:color="auto"/>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Admission within 1 year before AC</w:t>
            </w:r>
          </w:p>
        </w:tc>
        <w:tc>
          <w:tcPr>
            <w:tcW w:w="1374" w:type="dxa"/>
            <w:tcBorders>
              <w:top w:val="nil"/>
              <w:left w:val="nil"/>
              <w:bottom w:val="single" w:sz="8" w:space="0" w:color="auto"/>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28</w:t>
            </w:r>
          </w:p>
        </w:tc>
        <w:tc>
          <w:tcPr>
            <w:tcW w:w="844" w:type="dxa"/>
            <w:tcBorders>
              <w:top w:val="nil"/>
              <w:left w:val="nil"/>
              <w:bottom w:val="single" w:sz="8" w:space="0" w:color="auto"/>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(90.3)</w:t>
            </w:r>
          </w:p>
        </w:tc>
        <w:tc>
          <w:tcPr>
            <w:tcW w:w="857" w:type="dxa"/>
            <w:tcBorders>
              <w:top w:val="nil"/>
              <w:left w:val="nil"/>
              <w:bottom w:val="single" w:sz="8" w:space="0" w:color="auto"/>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 xml:space="preserve">　</w:t>
            </w:r>
          </w:p>
        </w:tc>
        <w:tc>
          <w:tcPr>
            <w:tcW w:w="1276" w:type="dxa"/>
            <w:tcBorders>
              <w:top w:val="nil"/>
              <w:left w:val="nil"/>
              <w:bottom w:val="single" w:sz="8" w:space="0" w:color="auto"/>
              <w:right w:val="nil"/>
            </w:tcBorders>
            <w:shd w:val="clear" w:color="auto" w:fill="auto"/>
            <w:noWrap/>
            <w:vAlign w:val="center"/>
            <w:hideMark/>
          </w:tcPr>
          <w:p w:rsidR="00A5670F" w:rsidRPr="00A5670F" w:rsidRDefault="00A5670F" w:rsidP="00A5670F">
            <w:pPr>
              <w:widowControl/>
              <w:jc w:val="righ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124</w:t>
            </w:r>
          </w:p>
        </w:tc>
        <w:tc>
          <w:tcPr>
            <w:tcW w:w="1134" w:type="dxa"/>
            <w:tcBorders>
              <w:top w:val="nil"/>
              <w:left w:val="nil"/>
              <w:bottom w:val="single" w:sz="8" w:space="0" w:color="auto"/>
              <w:right w:val="nil"/>
            </w:tcBorders>
            <w:shd w:val="clear" w:color="auto" w:fill="auto"/>
            <w:noWrap/>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(36.3)</w:t>
            </w:r>
          </w:p>
        </w:tc>
      </w:tr>
      <w:tr w:rsidR="00A5670F" w:rsidRPr="00A5670F" w:rsidTr="00A5670F">
        <w:trPr>
          <w:trHeight w:val="360"/>
        </w:trPr>
        <w:tc>
          <w:tcPr>
            <w:tcW w:w="10065" w:type="dxa"/>
            <w:gridSpan w:val="8"/>
            <w:vMerge w:val="restart"/>
            <w:tcBorders>
              <w:top w:val="single" w:sz="8" w:space="0" w:color="auto"/>
              <w:left w:val="nil"/>
              <w:bottom w:val="nil"/>
              <w:right w:val="nil"/>
            </w:tcBorders>
            <w:shd w:val="clear" w:color="auto" w:fill="auto"/>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r w:rsidRPr="00A5670F">
              <w:rPr>
                <w:rFonts w:ascii="Times New Roman" w:eastAsia="ＭＳ Ｐゴシック" w:hAnsi="Times New Roman" w:cs="Times New Roman"/>
                <w:color w:val="000000"/>
                <w:kern w:val="0"/>
                <w:sz w:val="20"/>
                <w:szCs w:val="20"/>
              </w:rPr>
              <w:t>Abbreviations: AC, adrenal crisis; GC, glucocorticoid; AI, adrenal insufficiency; COPD, chronic obstructive pulmonary disease; ACTH, adrenocorticotropic hormone</w:t>
            </w:r>
            <w:r w:rsidRPr="00A5670F">
              <w:rPr>
                <w:rFonts w:ascii="Times New Roman" w:eastAsia="ＭＳ Ｐゴシック" w:hAnsi="Times New Roman" w:cs="Times New Roman"/>
                <w:color w:val="000000"/>
                <w:kern w:val="0"/>
                <w:sz w:val="20"/>
                <w:szCs w:val="20"/>
              </w:rPr>
              <w:br/>
              <w:t>* Identified as disease or symptom requiring admission registered according to the Japanese diagnostic procedure combination (DPC) system.</w:t>
            </w:r>
            <w:r w:rsidRPr="00A5670F">
              <w:rPr>
                <w:rFonts w:ascii="Times New Roman" w:eastAsia="ＭＳ Ｐゴシック" w:hAnsi="Times New Roman" w:cs="Times New Roman"/>
                <w:color w:val="000000"/>
                <w:kern w:val="0"/>
                <w:sz w:val="20"/>
                <w:szCs w:val="20"/>
              </w:rPr>
              <w:br/>
              <w:t>† Considering with following admission and therapeutic GC administration, this group is consistent with hospitalization due to adrenal crisis.</w:t>
            </w:r>
            <w:r w:rsidRPr="00A5670F">
              <w:rPr>
                <w:rFonts w:ascii="Times New Roman" w:eastAsia="ＭＳ Ｐゴシック" w:hAnsi="Times New Roman" w:cs="Times New Roman"/>
                <w:color w:val="000000"/>
                <w:kern w:val="0"/>
                <w:sz w:val="20"/>
                <w:szCs w:val="20"/>
              </w:rPr>
              <w:br/>
              <w:t>‡ Consisted of unspecified coma, hyponatremia, unspecified hypotension, volume depletion, shock, anorexia, nausea, vomiting, unspecified fever and hypoglycemia.</w:t>
            </w:r>
            <w:r w:rsidRPr="00A5670F">
              <w:rPr>
                <w:rFonts w:ascii="Times New Roman" w:eastAsia="ＭＳ Ｐゴシック" w:hAnsi="Times New Roman" w:cs="Times New Roman"/>
                <w:color w:val="000000"/>
                <w:kern w:val="0"/>
                <w:sz w:val="20"/>
                <w:szCs w:val="20"/>
              </w:rPr>
              <w:br/>
              <w:t xml:space="preserve">§ Identification of comorbidity is based on comorbidity lists at admission, registered according to the Japanese diagnostic procedure combination (DPC) system. </w:t>
            </w:r>
            <w:r w:rsidRPr="00A5670F">
              <w:rPr>
                <w:rFonts w:ascii="Times New Roman" w:eastAsia="ＭＳ Ｐゴシック" w:hAnsi="Times New Roman" w:cs="Times New Roman"/>
                <w:color w:val="000000"/>
                <w:kern w:val="0"/>
                <w:sz w:val="20"/>
                <w:szCs w:val="20"/>
              </w:rPr>
              <w:br/>
              <w:t>|| Endocrine stimulation test consists of hormone dynamic testing including the following: anterior pituitary (growth hormone, gonadotropin, thyroid stimulating hormone, prolactin, adrenocorticotropic hormone), posterior pituitary (antidiuretic hormone), thyroid, parathyroid, and gonad (testosterone, estradiol). Endocrine tests of adrenocorticotropic hormone included insulin tolerance test, metyrapone test, dexamethasone suppression test, and corticotropin-releasing hormone stimulation test. In this study, we counted results of adrenal cortex stimulation test apart from these endocrine stimulation tests. The adrenal stimulation tests evaluates adrenal cortex function, which is related to glucocorticoid or mineralocorticoid, for example, the adrenocorticotropic hormone stimulation test.</w:t>
            </w: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r w:rsidR="00A5670F" w:rsidRPr="00A5670F" w:rsidTr="00A5670F">
        <w:trPr>
          <w:trHeight w:val="360"/>
        </w:trPr>
        <w:tc>
          <w:tcPr>
            <w:tcW w:w="10065" w:type="dxa"/>
            <w:gridSpan w:val="8"/>
            <w:vMerge/>
            <w:tcBorders>
              <w:top w:val="single" w:sz="8" w:space="0" w:color="auto"/>
              <w:left w:val="nil"/>
              <w:bottom w:val="nil"/>
              <w:right w:val="nil"/>
            </w:tcBorders>
            <w:vAlign w:val="center"/>
            <w:hideMark/>
          </w:tcPr>
          <w:p w:rsidR="00A5670F" w:rsidRPr="00A5670F" w:rsidRDefault="00A5670F" w:rsidP="00A5670F">
            <w:pPr>
              <w:widowControl/>
              <w:jc w:val="left"/>
              <w:rPr>
                <w:rFonts w:ascii="Times New Roman" w:eastAsia="ＭＳ Ｐゴシック" w:hAnsi="Times New Roman" w:cs="Times New Roman"/>
                <w:color w:val="000000"/>
                <w:kern w:val="0"/>
                <w:sz w:val="20"/>
                <w:szCs w:val="20"/>
              </w:rPr>
            </w:pPr>
          </w:p>
        </w:tc>
      </w:tr>
    </w:tbl>
    <w:p w:rsidR="00A5670F" w:rsidRDefault="00A5670F">
      <w:pPr>
        <w:rPr>
          <w:rFonts w:ascii="Times New Roman" w:hAnsi="Times New Roman" w:cs="Times New Roman"/>
          <w:sz w:val="16"/>
          <w:szCs w:val="16"/>
        </w:rPr>
        <w:sectPr w:rsidR="00A5670F" w:rsidSect="00BD0885">
          <w:pgSz w:w="11906" w:h="16838"/>
          <w:pgMar w:top="720" w:right="720" w:bottom="720" w:left="720" w:header="851" w:footer="992" w:gutter="0"/>
          <w:cols w:space="425"/>
          <w:docGrid w:type="lines" w:linePitch="360"/>
        </w:sectPr>
      </w:pPr>
    </w:p>
    <w:p w:rsidR="004767AF" w:rsidRPr="00A5670F" w:rsidRDefault="004767AF">
      <w:pPr>
        <w:rPr>
          <w:rFonts w:ascii="Times New Roman" w:hAnsi="Times New Roman" w:cs="Times New Roman"/>
          <w:sz w:val="16"/>
          <w:szCs w:val="16"/>
        </w:rPr>
      </w:pPr>
    </w:p>
    <w:sectPr w:rsidR="004767AF" w:rsidRPr="00A5670F" w:rsidSect="00BD088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415" w:rsidRDefault="00AE7415" w:rsidP="009F2040">
      <w:r>
        <w:separator/>
      </w:r>
    </w:p>
  </w:endnote>
  <w:endnote w:type="continuationSeparator" w:id="0">
    <w:p w:rsidR="00AE7415" w:rsidRDefault="00AE7415" w:rsidP="009F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415" w:rsidRDefault="00AE7415" w:rsidP="009F2040">
      <w:r>
        <w:separator/>
      </w:r>
    </w:p>
  </w:footnote>
  <w:footnote w:type="continuationSeparator" w:id="0">
    <w:p w:rsidR="00AE7415" w:rsidRDefault="00AE7415" w:rsidP="009F20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AF"/>
    <w:rsid w:val="001819A7"/>
    <w:rsid w:val="004767AF"/>
    <w:rsid w:val="007809F9"/>
    <w:rsid w:val="009F2040"/>
    <w:rsid w:val="00A5670F"/>
    <w:rsid w:val="00AE7415"/>
    <w:rsid w:val="00BD0885"/>
    <w:rsid w:val="00CF635C"/>
    <w:rsid w:val="00E140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6CC48A6-0FA8-446E-AA83-DF69447C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2040"/>
    <w:pPr>
      <w:tabs>
        <w:tab w:val="center" w:pos="4252"/>
        <w:tab w:val="right" w:pos="8504"/>
      </w:tabs>
      <w:snapToGrid w:val="0"/>
    </w:pPr>
  </w:style>
  <w:style w:type="character" w:customStyle="1" w:styleId="a4">
    <w:name w:val="ヘッダー (文字)"/>
    <w:basedOn w:val="a0"/>
    <w:link w:val="a3"/>
    <w:uiPriority w:val="99"/>
    <w:rsid w:val="009F2040"/>
  </w:style>
  <w:style w:type="paragraph" w:styleId="a5">
    <w:name w:val="footer"/>
    <w:basedOn w:val="a"/>
    <w:link w:val="a6"/>
    <w:uiPriority w:val="99"/>
    <w:unhideWhenUsed/>
    <w:rsid w:val="009F2040"/>
    <w:pPr>
      <w:tabs>
        <w:tab w:val="center" w:pos="4252"/>
        <w:tab w:val="right" w:pos="8504"/>
      </w:tabs>
      <w:snapToGrid w:val="0"/>
    </w:pPr>
  </w:style>
  <w:style w:type="character" w:customStyle="1" w:styleId="a6">
    <w:name w:val="フッター (文字)"/>
    <w:basedOn w:val="a0"/>
    <w:link w:val="a5"/>
    <w:uiPriority w:val="99"/>
    <w:rsid w:val="009F2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1870">
      <w:bodyDiv w:val="1"/>
      <w:marLeft w:val="0"/>
      <w:marRight w:val="0"/>
      <w:marTop w:val="0"/>
      <w:marBottom w:val="0"/>
      <w:divBdr>
        <w:top w:val="none" w:sz="0" w:space="0" w:color="auto"/>
        <w:left w:val="none" w:sz="0" w:space="0" w:color="auto"/>
        <w:bottom w:val="none" w:sz="0" w:space="0" w:color="auto"/>
        <w:right w:val="none" w:sz="0" w:space="0" w:color="auto"/>
      </w:divBdr>
    </w:div>
    <w:div w:id="113257153">
      <w:bodyDiv w:val="1"/>
      <w:marLeft w:val="0"/>
      <w:marRight w:val="0"/>
      <w:marTop w:val="0"/>
      <w:marBottom w:val="0"/>
      <w:divBdr>
        <w:top w:val="none" w:sz="0" w:space="0" w:color="auto"/>
        <w:left w:val="none" w:sz="0" w:space="0" w:color="auto"/>
        <w:bottom w:val="none" w:sz="0" w:space="0" w:color="auto"/>
        <w:right w:val="none" w:sz="0" w:space="0" w:color="auto"/>
      </w:divBdr>
    </w:div>
    <w:div w:id="223806978">
      <w:bodyDiv w:val="1"/>
      <w:marLeft w:val="0"/>
      <w:marRight w:val="0"/>
      <w:marTop w:val="0"/>
      <w:marBottom w:val="0"/>
      <w:divBdr>
        <w:top w:val="none" w:sz="0" w:space="0" w:color="auto"/>
        <w:left w:val="none" w:sz="0" w:space="0" w:color="auto"/>
        <w:bottom w:val="none" w:sz="0" w:space="0" w:color="auto"/>
        <w:right w:val="none" w:sz="0" w:space="0" w:color="auto"/>
      </w:divBdr>
    </w:div>
    <w:div w:id="250237171">
      <w:bodyDiv w:val="1"/>
      <w:marLeft w:val="0"/>
      <w:marRight w:val="0"/>
      <w:marTop w:val="0"/>
      <w:marBottom w:val="0"/>
      <w:divBdr>
        <w:top w:val="none" w:sz="0" w:space="0" w:color="auto"/>
        <w:left w:val="none" w:sz="0" w:space="0" w:color="auto"/>
        <w:bottom w:val="none" w:sz="0" w:space="0" w:color="auto"/>
        <w:right w:val="none" w:sz="0" w:space="0" w:color="auto"/>
      </w:divBdr>
    </w:div>
    <w:div w:id="307633021">
      <w:bodyDiv w:val="1"/>
      <w:marLeft w:val="0"/>
      <w:marRight w:val="0"/>
      <w:marTop w:val="0"/>
      <w:marBottom w:val="0"/>
      <w:divBdr>
        <w:top w:val="none" w:sz="0" w:space="0" w:color="auto"/>
        <w:left w:val="none" w:sz="0" w:space="0" w:color="auto"/>
        <w:bottom w:val="none" w:sz="0" w:space="0" w:color="auto"/>
        <w:right w:val="none" w:sz="0" w:space="0" w:color="auto"/>
      </w:divBdr>
    </w:div>
    <w:div w:id="440539679">
      <w:bodyDiv w:val="1"/>
      <w:marLeft w:val="0"/>
      <w:marRight w:val="0"/>
      <w:marTop w:val="0"/>
      <w:marBottom w:val="0"/>
      <w:divBdr>
        <w:top w:val="none" w:sz="0" w:space="0" w:color="auto"/>
        <w:left w:val="none" w:sz="0" w:space="0" w:color="auto"/>
        <w:bottom w:val="none" w:sz="0" w:space="0" w:color="auto"/>
        <w:right w:val="none" w:sz="0" w:space="0" w:color="auto"/>
      </w:divBdr>
    </w:div>
    <w:div w:id="451827592">
      <w:bodyDiv w:val="1"/>
      <w:marLeft w:val="0"/>
      <w:marRight w:val="0"/>
      <w:marTop w:val="0"/>
      <w:marBottom w:val="0"/>
      <w:divBdr>
        <w:top w:val="none" w:sz="0" w:space="0" w:color="auto"/>
        <w:left w:val="none" w:sz="0" w:space="0" w:color="auto"/>
        <w:bottom w:val="none" w:sz="0" w:space="0" w:color="auto"/>
        <w:right w:val="none" w:sz="0" w:space="0" w:color="auto"/>
      </w:divBdr>
    </w:div>
    <w:div w:id="511384926">
      <w:bodyDiv w:val="1"/>
      <w:marLeft w:val="0"/>
      <w:marRight w:val="0"/>
      <w:marTop w:val="0"/>
      <w:marBottom w:val="0"/>
      <w:divBdr>
        <w:top w:val="none" w:sz="0" w:space="0" w:color="auto"/>
        <w:left w:val="none" w:sz="0" w:space="0" w:color="auto"/>
        <w:bottom w:val="none" w:sz="0" w:space="0" w:color="auto"/>
        <w:right w:val="none" w:sz="0" w:space="0" w:color="auto"/>
      </w:divBdr>
    </w:div>
    <w:div w:id="588737821">
      <w:bodyDiv w:val="1"/>
      <w:marLeft w:val="0"/>
      <w:marRight w:val="0"/>
      <w:marTop w:val="0"/>
      <w:marBottom w:val="0"/>
      <w:divBdr>
        <w:top w:val="none" w:sz="0" w:space="0" w:color="auto"/>
        <w:left w:val="none" w:sz="0" w:space="0" w:color="auto"/>
        <w:bottom w:val="none" w:sz="0" w:space="0" w:color="auto"/>
        <w:right w:val="none" w:sz="0" w:space="0" w:color="auto"/>
      </w:divBdr>
    </w:div>
    <w:div w:id="847134985">
      <w:bodyDiv w:val="1"/>
      <w:marLeft w:val="0"/>
      <w:marRight w:val="0"/>
      <w:marTop w:val="0"/>
      <w:marBottom w:val="0"/>
      <w:divBdr>
        <w:top w:val="none" w:sz="0" w:space="0" w:color="auto"/>
        <w:left w:val="none" w:sz="0" w:space="0" w:color="auto"/>
        <w:bottom w:val="none" w:sz="0" w:space="0" w:color="auto"/>
        <w:right w:val="none" w:sz="0" w:space="0" w:color="auto"/>
      </w:divBdr>
    </w:div>
    <w:div w:id="984820679">
      <w:bodyDiv w:val="1"/>
      <w:marLeft w:val="0"/>
      <w:marRight w:val="0"/>
      <w:marTop w:val="0"/>
      <w:marBottom w:val="0"/>
      <w:divBdr>
        <w:top w:val="none" w:sz="0" w:space="0" w:color="auto"/>
        <w:left w:val="none" w:sz="0" w:space="0" w:color="auto"/>
        <w:bottom w:val="none" w:sz="0" w:space="0" w:color="auto"/>
        <w:right w:val="none" w:sz="0" w:space="0" w:color="auto"/>
      </w:divBdr>
    </w:div>
    <w:div w:id="1046414475">
      <w:bodyDiv w:val="1"/>
      <w:marLeft w:val="0"/>
      <w:marRight w:val="0"/>
      <w:marTop w:val="0"/>
      <w:marBottom w:val="0"/>
      <w:divBdr>
        <w:top w:val="none" w:sz="0" w:space="0" w:color="auto"/>
        <w:left w:val="none" w:sz="0" w:space="0" w:color="auto"/>
        <w:bottom w:val="none" w:sz="0" w:space="0" w:color="auto"/>
        <w:right w:val="none" w:sz="0" w:space="0" w:color="auto"/>
      </w:divBdr>
    </w:div>
    <w:div w:id="1133712435">
      <w:bodyDiv w:val="1"/>
      <w:marLeft w:val="0"/>
      <w:marRight w:val="0"/>
      <w:marTop w:val="0"/>
      <w:marBottom w:val="0"/>
      <w:divBdr>
        <w:top w:val="none" w:sz="0" w:space="0" w:color="auto"/>
        <w:left w:val="none" w:sz="0" w:space="0" w:color="auto"/>
        <w:bottom w:val="none" w:sz="0" w:space="0" w:color="auto"/>
        <w:right w:val="none" w:sz="0" w:space="0" w:color="auto"/>
      </w:divBdr>
    </w:div>
    <w:div w:id="1254437114">
      <w:bodyDiv w:val="1"/>
      <w:marLeft w:val="0"/>
      <w:marRight w:val="0"/>
      <w:marTop w:val="0"/>
      <w:marBottom w:val="0"/>
      <w:divBdr>
        <w:top w:val="none" w:sz="0" w:space="0" w:color="auto"/>
        <w:left w:val="none" w:sz="0" w:space="0" w:color="auto"/>
        <w:bottom w:val="none" w:sz="0" w:space="0" w:color="auto"/>
        <w:right w:val="none" w:sz="0" w:space="0" w:color="auto"/>
      </w:divBdr>
    </w:div>
    <w:div w:id="1488670604">
      <w:bodyDiv w:val="1"/>
      <w:marLeft w:val="0"/>
      <w:marRight w:val="0"/>
      <w:marTop w:val="0"/>
      <w:marBottom w:val="0"/>
      <w:divBdr>
        <w:top w:val="none" w:sz="0" w:space="0" w:color="auto"/>
        <w:left w:val="none" w:sz="0" w:space="0" w:color="auto"/>
        <w:bottom w:val="none" w:sz="0" w:space="0" w:color="auto"/>
        <w:right w:val="none" w:sz="0" w:space="0" w:color="auto"/>
      </w:divBdr>
    </w:div>
    <w:div w:id="1604654970">
      <w:bodyDiv w:val="1"/>
      <w:marLeft w:val="0"/>
      <w:marRight w:val="0"/>
      <w:marTop w:val="0"/>
      <w:marBottom w:val="0"/>
      <w:divBdr>
        <w:top w:val="none" w:sz="0" w:space="0" w:color="auto"/>
        <w:left w:val="none" w:sz="0" w:space="0" w:color="auto"/>
        <w:bottom w:val="none" w:sz="0" w:space="0" w:color="auto"/>
        <w:right w:val="none" w:sz="0" w:space="0" w:color="auto"/>
      </w:divBdr>
    </w:div>
    <w:div w:id="1622036792">
      <w:bodyDiv w:val="1"/>
      <w:marLeft w:val="0"/>
      <w:marRight w:val="0"/>
      <w:marTop w:val="0"/>
      <w:marBottom w:val="0"/>
      <w:divBdr>
        <w:top w:val="none" w:sz="0" w:space="0" w:color="auto"/>
        <w:left w:val="none" w:sz="0" w:space="0" w:color="auto"/>
        <w:bottom w:val="none" w:sz="0" w:space="0" w:color="auto"/>
        <w:right w:val="none" w:sz="0" w:space="0" w:color="auto"/>
      </w:divBdr>
    </w:div>
    <w:div w:id="1859390495">
      <w:bodyDiv w:val="1"/>
      <w:marLeft w:val="0"/>
      <w:marRight w:val="0"/>
      <w:marTop w:val="0"/>
      <w:marBottom w:val="0"/>
      <w:divBdr>
        <w:top w:val="none" w:sz="0" w:space="0" w:color="auto"/>
        <w:left w:val="none" w:sz="0" w:space="0" w:color="auto"/>
        <w:bottom w:val="none" w:sz="0" w:space="0" w:color="auto"/>
        <w:right w:val="none" w:sz="0" w:space="0" w:color="auto"/>
      </w:divBdr>
    </w:div>
    <w:div w:id="2030909316">
      <w:bodyDiv w:val="1"/>
      <w:marLeft w:val="0"/>
      <w:marRight w:val="0"/>
      <w:marTop w:val="0"/>
      <w:marBottom w:val="0"/>
      <w:divBdr>
        <w:top w:val="none" w:sz="0" w:space="0" w:color="auto"/>
        <w:left w:val="none" w:sz="0" w:space="0" w:color="auto"/>
        <w:bottom w:val="none" w:sz="0" w:space="0" w:color="auto"/>
        <w:right w:val="none" w:sz="0" w:space="0" w:color="auto"/>
      </w:divBdr>
    </w:div>
    <w:div w:id="213466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4F0A1-F7A5-47E9-9D2B-2398EF31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2861</Words>
  <Characters>16313</Characters>
  <Application>Microsoft Office Word</Application>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IWASAKu</dc:creator>
  <cp:keywords/>
  <dc:description/>
  <cp:lastModifiedBy>IWASAKu</cp:lastModifiedBy>
  <cp:revision>2</cp:revision>
  <dcterms:created xsi:type="dcterms:W3CDTF">2017-09-04T00:56:00Z</dcterms:created>
  <dcterms:modified xsi:type="dcterms:W3CDTF">2017-09-04T02:20:00Z</dcterms:modified>
</cp:coreProperties>
</file>