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974" w:rsidRPr="006B40BB" w:rsidRDefault="00CB6974" w:rsidP="00CB6974">
      <w:pPr>
        <w:spacing w:line="360" w:lineRule="auto"/>
        <w:rPr>
          <w:sz w:val="24"/>
          <w:szCs w:val="24"/>
          <w:lang w:val="en-US"/>
        </w:rPr>
      </w:pPr>
      <w:r w:rsidRPr="006B40BB">
        <w:rPr>
          <w:b/>
          <w:sz w:val="24"/>
          <w:szCs w:val="24"/>
          <w:lang w:val="en-US"/>
        </w:rPr>
        <w:t>Supplementary File 3 - Test characteristics and proportion of patients spared intensive testing resulting from sensitivity analysis.</w:t>
      </w:r>
      <w:r w:rsidRPr="006B40BB">
        <w:rPr>
          <w:sz w:val="24"/>
          <w:szCs w:val="24"/>
          <w:lang w:val="en-US"/>
        </w:rPr>
        <w:t xml:space="preserve"> </w:t>
      </w:r>
    </w:p>
    <w:tbl>
      <w:tblPr>
        <w:tblW w:w="5000" w:type="pct"/>
        <w:shd w:val="clear" w:color="000000" w:fill="FFFFFF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091"/>
        <w:gridCol w:w="2075"/>
        <w:gridCol w:w="1778"/>
        <w:gridCol w:w="1778"/>
        <w:gridCol w:w="1778"/>
      </w:tblGrid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color w:val="000000"/>
                <w:lang w:val="en-US" w:eastAsia="nl-NL"/>
              </w:rPr>
            </w:pPr>
          </w:p>
        </w:tc>
        <w:tc>
          <w:tcPr>
            <w:tcW w:w="3900" w:type="pct"/>
            <w:gridSpan w:val="4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Cut-off value of the predicted probability</w:t>
            </w:r>
          </w:p>
          <w:p w:rsidR="00CB6974" w:rsidRPr="006B40BB" w:rsidRDefault="00CB6974" w:rsidP="00404A37">
            <w:pPr>
              <w:spacing w:after="0" w:line="360" w:lineRule="auto"/>
              <w:jc w:val="center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 xml:space="preserve"> 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 xml:space="preserve"> 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1.0%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1.5%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2.0%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2.5%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Sensitivity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0.99 (0.95 - 1.00)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0.98 (0.89 - 1.00)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0.96 (0.87 - 0.99)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0.93 (0.83 - 0.97)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Specificity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0.09 (0.04 - 0.19)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0.16 (0.07 - 0.33)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0.25 (0.13 - 0.44)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0.34 (0.19 - 0.53)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Positive predictive value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0.08 (0.08 - 0.09)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0.09 (0.08 - 0.10)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0.10 (0.08 - 0.11)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0.10 (0.08 - 0.13)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Negative predictive value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0.99 (0.96 - 1.00)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0.99 (0.96 - 1.00)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0.99 (0.96 - 1.00)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0.98 (0.96 - 0.99)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Positive likelihood ratio</w:t>
            </w:r>
          </w:p>
        </w:tc>
        <w:tc>
          <w:tcPr>
            <w:tcW w:w="1092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1.09 (1.00 - 1.18)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 xml:space="preserve">1.18 (1.01 - 1.34) 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1.29 (1.05 - 1.54)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1.43 (1.10 - 1.75)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Negative likelihood ratio</w:t>
            </w:r>
          </w:p>
        </w:tc>
        <w:tc>
          <w:tcPr>
            <w:tcW w:w="1092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0.14 (0.03 - 0.43)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0.15 (0.04 - 0.41)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0.17 (0.05 -0.44)</w:t>
            </w:r>
          </w:p>
        </w:tc>
        <w:tc>
          <w:tcPr>
            <w:tcW w:w="936" w:type="pct"/>
            <w:shd w:val="clear" w:color="000000" w:fill="FFFFFF"/>
            <w:vAlign w:val="center"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0.22 (0.09 - 0.44)</w:t>
            </w:r>
          </w:p>
        </w:tc>
      </w:tr>
      <w:tr w:rsidR="00CB6974" w:rsidRPr="006B40BB" w:rsidTr="00404A37">
        <w:tc>
          <w:tcPr>
            <w:tcW w:w="1100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rPr>
                <w:b/>
                <w:bCs/>
                <w:color w:val="000000"/>
                <w:lang w:val="en-US" w:eastAsia="nl-NL"/>
              </w:rPr>
            </w:pPr>
            <w:r w:rsidRPr="006B40BB">
              <w:rPr>
                <w:b/>
                <w:bCs/>
                <w:color w:val="000000"/>
                <w:lang w:val="en-US" w:eastAsia="nl-NL"/>
              </w:rPr>
              <w:t>Proportion of patients spared intensive testing</w:t>
            </w:r>
          </w:p>
        </w:tc>
        <w:tc>
          <w:tcPr>
            <w:tcW w:w="1092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8 (4 - 18)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15 (7 - 31)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24 (12 - 41)</w:t>
            </w:r>
          </w:p>
        </w:tc>
        <w:tc>
          <w:tcPr>
            <w:tcW w:w="936" w:type="pct"/>
            <w:shd w:val="clear" w:color="000000" w:fill="FFFFFF"/>
            <w:vAlign w:val="center"/>
            <w:hideMark/>
          </w:tcPr>
          <w:p w:rsidR="00CB6974" w:rsidRPr="006B40BB" w:rsidRDefault="00CB6974" w:rsidP="00404A37">
            <w:pPr>
              <w:spacing w:after="0" w:line="360" w:lineRule="auto"/>
              <w:jc w:val="center"/>
              <w:rPr>
                <w:color w:val="000000"/>
                <w:sz w:val="20"/>
                <w:szCs w:val="20"/>
                <w:lang w:val="en-US" w:eastAsia="nl-NL"/>
              </w:rPr>
            </w:pPr>
            <w:r w:rsidRPr="006B40BB">
              <w:rPr>
                <w:color w:val="000000"/>
                <w:sz w:val="20"/>
                <w:szCs w:val="20"/>
                <w:lang w:val="en-US" w:eastAsia="nl-NL"/>
              </w:rPr>
              <w:t>32 (18 - 50)</w:t>
            </w:r>
          </w:p>
        </w:tc>
      </w:tr>
    </w:tbl>
    <w:p w:rsidR="00CB6974" w:rsidRPr="006B40BB" w:rsidRDefault="00CB6974" w:rsidP="00CB6974">
      <w:pPr>
        <w:spacing w:line="360" w:lineRule="auto"/>
        <w:rPr>
          <w:sz w:val="24"/>
          <w:szCs w:val="24"/>
          <w:lang w:val="en-US"/>
        </w:rPr>
      </w:pPr>
    </w:p>
    <w:p w:rsidR="00CB6974" w:rsidRPr="006B40BB" w:rsidRDefault="00CB6974" w:rsidP="00CB6974">
      <w:pPr>
        <w:spacing w:line="360" w:lineRule="auto"/>
        <w:rPr>
          <w:sz w:val="24"/>
          <w:szCs w:val="24"/>
          <w:lang w:val="en-US"/>
        </w:rPr>
      </w:pPr>
      <w:r w:rsidRPr="006B40BB">
        <w:rPr>
          <w:sz w:val="24"/>
          <w:szCs w:val="24"/>
          <w:lang w:val="en-US"/>
        </w:rPr>
        <w:t xml:space="preserve">The model results in the presented estimates when a post-salt loading test aldosterone cut-off value of ≥190 </w:t>
      </w:r>
      <w:proofErr w:type="spellStart"/>
      <w:r w:rsidRPr="006B40BB">
        <w:rPr>
          <w:sz w:val="24"/>
          <w:szCs w:val="24"/>
          <w:lang w:val="en-US"/>
        </w:rPr>
        <w:t>pmol</w:t>
      </w:r>
      <w:proofErr w:type="spellEnd"/>
      <w:r w:rsidRPr="006B40BB">
        <w:rPr>
          <w:sz w:val="24"/>
          <w:szCs w:val="24"/>
          <w:lang w:val="en-US"/>
        </w:rPr>
        <w:t>/L is applied. The positive likelihood ratio tells you how much to increase the probability of having a disease, given a positive test result. The negative likelihood ratio tells you how much to decrease the probability of having a disease, given a negative test result. The proportion of patients spared intensive testing is the proportion of patients with a predicted probability equal to or below the cut-off value. Estimates and Bootstrap-based 95% confidence intervals are presented for different cut-off values of the predicted probability by the diagnostic tool.</w:t>
      </w:r>
    </w:p>
    <w:p w:rsidR="00FB1C9F" w:rsidRPr="00CB6974" w:rsidRDefault="00FB1C9F" w:rsidP="00CB6974">
      <w:bookmarkStart w:id="0" w:name="_GoBack"/>
      <w:bookmarkEnd w:id="0"/>
    </w:p>
    <w:sectPr w:rsidR="00FB1C9F" w:rsidRPr="00CB69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C9F"/>
    <w:rsid w:val="00A51F17"/>
    <w:rsid w:val="00CB6974"/>
    <w:rsid w:val="00FB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B1C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B1C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1347</Characters>
  <Application>Microsoft Office Word</Application>
  <DocSecurity>0</DocSecurity>
  <Lines>34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2</cp:revision>
  <dcterms:created xsi:type="dcterms:W3CDTF">2020-03-31T23:31:00Z</dcterms:created>
  <dcterms:modified xsi:type="dcterms:W3CDTF">2020-03-31T23:31:00Z</dcterms:modified>
</cp:coreProperties>
</file>