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1DF68" w14:textId="1737D4D7" w:rsidR="001F351F" w:rsidRDefault="00F66179">
      <w:pPr>
        <w:rPr>
          <w:noProof/>
        </w:rPr>
      </w:pPr>
      <w:r w:rsidRPr="0027560E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2</w:t>
      </w:r>
    </w:p>
    <w:p w14:paraId="53ECFD98" w14:textId="11CB87F7" w:rsidR="00305CA6" w:rsidRDefault="00406E3B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58F8D652" wp14:editId="3D8E2919">
            <wp:extent cx="5615339" cy="5540375"/>
            <wp:effectExtent l="0" t="0" r="4445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90" t="12436" r="73536" b="4886"/>
                    <a:stretch/>
                  </pic:blipFill>
                  <pic:spPr bwMode="auto">
                    <a:xfrm>
                      <a:off x="0" y="0"/>
                      <a:ext cx="5637355" cy="5562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BC714" w14:textId="77777777" w:rsidR="00406E3B" w:rsidRPr="0027560E" w:rsidRDefault="00406E3B">
      <w:pPr>
        <w:rPr>
          <w:b/>
          <w:bCs/>
          <w:lang w:val="en-US"/>
        </w:rPr>
      </w:pPr>
    </w:p>
    <w:p w14:paraId="779D224D" w14:textId="77777777" w:rsidR="00F66179" w:rsidRPr="00F66179" w:rsidRDefault="00F66179" w:rsidP="00F661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6617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Figure 1: Flowchart of the study cohort recruited from IPLOS and linked to data from the Norwegian Prescription Database (</w:t>
      </w:r>
      <w:proofErr w:type="spellStart"/>
      <w:r w:rsidRPr="00F6617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NorPD</w:t>
      </w:r>
      <w:proofErr w:type="spellEnd"/>
      <w:r w:rsidRPr="00F6617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), showing definition of incident users.</w:t>
      </w:r>
    </w:p>
    <w:p w14:paraId="6239ECA4" w14:textId="77777777" w:rsidR="00F66179" w:rsidRPr="00F66179" w:rsidRDefault="00F66179" w:rsidP="00F6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3383567" w14:textId="0BCA4D22" w:rsidR="00F66179" w:rsidRPr="00F66179" w:rsidRDefault="00F66179" w:rsidP="00F661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F66179">
        <w:rPr>
          <w:rFonts w:ascii="Times New Roman" w:eastAsia="Times New Roman" w:hAnsi="Times New Roman" w:cs="Times New Roman"/>
          <w:vertAlign w:val="superscript"/>
          <w:lang w:val="en-US"/>
        </w:rPr>
        <w:t xml:space="preserve">a </w:t>
      </w:r>
      <w:r w:rsidRPr="00F66179">
        <w:rPr>
          <w:rFonts w:ascii="Times New Roman" w:eastAsia="Times New Roman" w:hAnsi="Times New Roman" w:cs="Times New Roman"/>
          <w:lang w:val="en-US"/>
        </w:rPr>
        <w:t>IPLOS = the Norwegian Information System for the Nursing and Care Sector,</w:t>
      </w:r>
      <w:r w:rsidRPr="00F66179">
        <w:rPr>
          <w:rFonts w:ascii="Times New Roman" w:eastAsia="Times New Roman" w:hAnsi="Times New Roman" w:cs="Times New Roman"/>
          <w:vertAlign w:val="superscript"/>
          <w:lang w:val="en-US"/>
        </w:rPr>
        <w:t xml:space="preserve"> b </w:t>
      </w:r>
      <w:r w:rsidRPr="00F66179">
        <w:rPr>
          <w:rFonts w:ascii="Times New Roman" w:eastAsia="Times New Roman" w:hAnsi="Times New Roman" w:cs="Times New Roman"/>
          <w:lang w:val="en-US"/>
        </w:rPr>
        <w:t>HCS = Home care service,</w:t>
      </w:r>
      <w:r w:rsidRPr="00F66179">
        <w:rPr>
          <w:rFonts w:ascii="Times New Roman" w:eastAsia="Times New Roman" w:hAnsi="Times New Roman" w:cs="Times New Roman"/>
          <w:vertAlign w:val="superscript"/>
          <w:lang w:val="en-US"/>
        </w:rPr>
        <w:t xml:space="preserve"> c </w:t>
      </w:r>
      <w:r w:rsidRPr="00F66179">
        <w:rPr>
          <w:rFonts w:ascii="Times New Roman" w:eastAsia="Times New Roman" w:hAnsi="Times New Roman" w:cs="Times New Roman"/>
          <w:lang w:val="en-US"/>
        </w:rPr>
        <w:t>DM</w:t>
      </w:r>
      <w:r w:rsidR="0027560E">
        <w:rPr>
          <w:rFonts w:ascii="Times New Roman" w:eastAsia="Times New Roman" w:hAnsi="Times New Roman" w:cs="Times New Roman"/>
          <w:lang w:val="en-US"/>
        </w:rPr>
        <w:t xml:space="preserve"> </w:t>
      </w:r>
      <w:r w:rsidRPr="00F66179">
        <w:rPr>
          <w:rFonts w:ascii="Times New Roman" w:eastAsia="Times New Roman" w:hAnsi="Times New Roman" w:cs="Times New Roman"/>
          <w:lang w:val="en-US"/>
        </w:rPr>
        <w:t xml:space="preserve">= Diabetes mellitus, pharmacologically treated, </w:t>
      </w:r>
      <w:r w:rsidRPr="00F66179">
        <w:rPr>
          <w:rFonts w:ascii="Times New Roman" w:eastAsia="Times New Roman" w:hAnsi="Times New Roman" w:cs="Times New Roman"/>
          <w:vertAlign w:val="superscript"/>
          <w:lang w:val="en-US"/>
        </w:rPr>
        <w:t xml:space="preserve">d </w:t>
      </w:r>
      <w:r w:rsidRPr="00F66179">
        <w:rPr>
          <w:rFonts w:ascii="Times New Roman" w:eastAsia="Times New Roman" w:hAnsi="Times New Roman" w:cs="Times New Roman"/>
          <w:lang w:val="en-US"/>
        </w:rPr>
        <w:t>GLD = Glucose lowering drug,</w:t>
      </w:r>
      <w:r w:rsidRPr="00F66179">
        <w:rPr>
          <w:rFonts w:ascii="Times New Roman" w:eastAsia="Times New Roman" w:hAnsi="Times New Roman" w:cs="Times New Roman"/>
          <w:vertAlign w:val="superscript"/>
          <w:lang w:val="en-US"/>
        </w:rPr>
        <w:t xml:space="preserve"> e </w:t>
      </w:r>
      <w:proofErr w:type="spellStart"/>
      <w:r w:rsidRPr="00F66179">
        <w:rPr>
          <w:rFonts w:ascii="Times New Roman" w:eastAsia="Times New Roman" w:hAnsi="Times New Roman" w:cs="Times New Roman"/>
          <w:lang w:val="en-US"/>
        </w:rPr>
        <w:t>NorPD</w:t>
      </w:r>
      <w:proofErr w:type="spellEnd"/>
      <w:r w:rsidRPr="00F66179">
        <w:rPr>
          <w:rFonts w:ascii="Times New Roman" w:eastAsia="Times New Roman" w:hAnsi="Times New Roman" w:cs="Times New Roman"/>
          <w:lang w:val="en-US"/>
        </w:rPr>
        <w:t xml:space="preserve"> = Norwegian Prescription Database. </w:t>
      </w:r>
    </w:p>
    <w:p w14:paraId="4A1B5709" w14:textId="7B0E1BDD" w:rsidR="00F66179" w:rsidRPr="00F66179" w:rsidRDefault="00F66179" w:rsidP="00F66179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F66179">
        <w:rPr>
          <w:rFonts w:ascii="Times New Roman" w:eastAsia="Times New Roman" w:hAnsi="Times New Roman" w:cs="Times New Roman"/>
          <w:lang w:val="en-US"/>
        </w:rPr>
        <w:t>Prescriptions with ATC code A10A (insulins and analogues) is defined as insulin, prescriptions with ATC code A10B (blood glucose lowering drugs, exclusive insulins) is defined as non-insulin glucose lowering drugs (non-insulin GLD) and prescriptions with either ATC code A10A or A10B is defined as glucose lowering drugs (GLD).</w:t>
      </w:r>
    </w:p>
    <w:sectPr w:rsidR="00F66179" w:rsidRPr="00F66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79"/>
    <w:rsid w:val="001F351F"/>
    <w:rsid w:val="00243D02"/>
    <w:rsid w:val="0027560E"/>
    <w:rsid w:val="00305CA6"/>
    <w:rsid w:val="00406E3B"/>
    <w:rsid w:val="00637A7B"/>
    <w:rsid w:val="00B4132C"/>
    <w:rsid w:val="00F6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ED2E"/>
  <w15:chartTrackingRefBased/>
  <w15:docId w15:val="{D4826A4A-FA9B-4CCB-B52C-5D0E6FD7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HVL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Tonje Teigland</dc:creator>
  <cp:keywords/>
  <dc:description/>
  <cp:lastModifiedBy>Tonje Teigland</cp:lastModifiedBy>
  <cp:revision>3</cp:revision>
  <dcterms:created xsi:type="dcterms:W3CDTF">2022-06-10T20:02:00Z</dcterms:created>
  <dcterms:modified xsi:type="dcterms:W3CDTF">2022-06-10T20:17:00Z</dcterms:modified>
</cp:coreProperties>
</file>