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50" w:type="dxa"/>
        <w:tblInd w:w="-540" w:type="dxa"/>
        <w:tblLook w:val="04A0" w:firstRow="1" w:lastRow="0" w:firstColumn="1" w:lastColumn="0" w:noHBand="0" w:noVBand="1"/>
      </w:tblPr>
      <w:tblGrid>
        <w:gridCol w:w="5466"/>
        <w:gridCol w:w="3390"/>
        <w:gridCol w:w="2016"/>
      </w:tblGrid>
      <w:tr w:rsidR="00C5187A" w:rsidTr="00DD0153">
        <w:trPr>
          <w:trHeight w:val="7272"/>
        </w:trPr>
        <w:tc>
          <w:tcPr>
            <w:tcW w:w="5108" w:type="dxa"/>
            <w:tcBorders>
              <w:left w:val="nil"/>
              <w:bottom w:val="nil"/>
            </w:tcBorders>
          </w:tcPr>
          <w:p w:rsidR="00C5187A" w:rsidRDefault="00D13E40" w:rsidP="00A65884">
            <w:bookmarkStart w:id="0" w:name="_GoBack"/>
            <w:bookmarkEnd w:id="0"/>
            <w:r w:rsidRPr="00D13E40">
              <w:rPr>
                <w:noProof/>
              </w:rPr>
              <w:drawing>
                <wp:inline distT="0" distB="0" distL="0" distR="0">
                  <wp:extent cx="3327991" cy="5486400"/>
                  <wp:effectExtent l="0" t="0" r="635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991" cy="54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  <w:gridSpan w:val="2"/>
            <w:tcBorders>
              <w:bottom w:val="nil"/>
              <w:right w:val="single" w:sz="4" w:space="0" w:color="auto"/>
            </w:tcBorders>
          </w:tcPr>
          <w:p w:rsidR="00C5187A" w:rsidRDefault="00D13E40" w:rsidP="00A65884">
            <w:r w:rsidRPr="00D13E40">
              <w:rPr>
                <w:noProof/>
              </w:rPr>
              <w:drawing>
                <wp:inline distT="0" distB="0" distL="0" distR="0">
                  <wp:extent cx="3296093" cy="5486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308" cy="548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87A" w:rsidTr="00DD0153">
        <w:trPr>
          <w:trHeight w:val="1676"/>
        </w:trPr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:rsidR="00C5187A" w:rsidRPr="00D20479" w:rsidRDefault="00C5187A" w:rsidP="00A65884">
            <w:pPr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asciiTheme="majorBidi" w:hAnsiTheme="majorBidi" w:cstheme="majorBidi"/>
              </w:rPr>
              <w:t xml:space="preserve">   </w:t>
            </w:r>
            <w:r w:rsidRPr="00D20479">
              <w:rPr>
                <w:rFonts w:cstheme="minorHAnsi"/>
                <w:sz w:val="20"/>
                <w:szCs w:val="20"/>
              </w:rPr>
              <w:t>Domains: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D1: Random </w:t>
            </w:r>
            <w:r>
              <w:rPr>
                <w:rFonts w:cstheme="minorHAnsi"/>
                <w:sz w:val="20"/>
                <w:szCs w:val="20"/>
              </w:rPr>
              <w:t>Sequence Generation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D2: Allocation Concealment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D3: </w:t>
            </w:r>
            <w:r>
              <w:rPr>
                <w:rFonts w:cstheme="minorHAnsi"/>
                <w:sz w:val="20"/>
                <w:szCs w:val="20"/>
              </w:rPr>
              <w:t>Blinding of Participants and Personal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D4: </w:t>
            </w:r>
            <w:r>
              <w:rPr>
                <w:rFonts w:cstheme="minorHAnsi"/>
                <w:sz w:val="20"/>
                <w:szCs w:val="20"/>
              </w:rPr>
              <w:t xml:space="preserve"> Blinding of Outcome Assessment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  <w:sz w:val="20"/>
                <w:szCs w:val="20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D5: Incomplete Outcome Data</w:t>
            </w:r>
          </w:p>
          <w:p w:rsidR="00C5187A" w:rsidRPr="00D20479" w:rsidRDefault="00C5187A" w:rsidP="00A65884">
            <w:pPr>
              <w:ind w:left="330"/>
              <w:rPr>
                <w:rFonts w:cstheme="minorHAnsi"/>
              </w:rPr>
            </w:pPr>
            <w:r w:rsidRPr="00D20479">
              <w:rPr>
                <w:rFonts w:cstheme="minorHAnsi"/>
                <w:sz w:val="20"/>
                <w:szCs w:val="20"/>
              </w:rPr>
              <w:t xml:space="preserve">   D6: Other Bias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C5187A" w:rsidRPr="00D20479" w:rsidRDefault="00C5187A" w:rsidP="00A65884">
            <w:pPr>
              <w:jc w:val="right"/>
              <w:rPr>
                <w:rFonts w:asciiTheme="majorBidi" w:hAnsiTheme="majorBidi" w:cstheme="majorBidi"/>
                <w:noProof/>
              </w:rPr>
            </w:pPr>
            <w:r w:rsidRPr="00D20479">
              <w:rPr>
                <w:rFonts w:asciiTheme="majorBidi" w:hAnsiTheme="majorBidi" w:cstheme="majorBidi"/>
                <w:noProof/>
              </w:rPr>
              <w:t>Judgement</w:t>
            </w:r>
          </w:p>
          <w:p w:rsidR="00C5187A" w:rsidRPr="00D20479" w:rsidRDefault="00C5187A" w:rsidP="00A65884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  <w:p w:rsidR="00C5187A" w:rsidRPr="00D20479" w:rsidRDefault="00C5187A" w:rsidP="00A65884">
            <w:pPr>
              <w:jc w:val="right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High</w:t>
            </w:r>
          </w:p>
          <w:p w:rsidR="00C5187A" w:rsidRPr="00D20479" w:rsidRDefault="00C5187A" w:rsidP="00A65884">
            <w:pPr>
              <w:jc w:val="right"/>
              <w:rPr>
                <w:rFonts w:cstheme="minorHAnsi"/>
                <w:noProof/>
              </w:rPr>
            </w:pPr>
            <w:r w:rsidRPr="00D20479">
              <w:rPr>
                <w:rFonts w:cstheme="minorHAnsi"/>
                <w:noProof/>
              </w:rPr>
              <w:t>Some Conce</w:t>
            </w:r>
            <w:r>
              <w:rPr>
                <w:rFonts w:cstheme="minorHAnsi"/>
                <w:noProof/>
              </w:rPr>
              <w:t>rn</w:t>
            </w:r>
            <w:r w:rsidRPr="00D20479">
              <w:rPr>
                <w:rFonts w:cstheme="minorHAnsi"/>
                <w:noProof/>
              </w:rPr>
              <w:t>s</w:t>
            </w:r>
          </w:p>
          <w:p w:rsidR="00C5187A" w:rsidRPr="00D20479" w:rsidRDefault="00C5187A" w:rsidP="00A65884">
            <w:pPr>
              <w:jc w:val="right"/>
              <w:rPr>
                <w:rFonts w:cstheme="minorHAnsi"/>
                <w:noProof/>
              </w:rPr>
            </w:pPr>
            <w:r w:rsidRPr="00D20479">
              <w:rPr>
                <w:rFonts w:cstheme="minorHAnsi"/>
                <w:noProof/>
              </w:rPr>
              <w:t>Low</w:t>
            </w:r>
          </w:p>
          <w:p w:rsidR="00C5187A" w:rsidRDefault="00C5187A" w:rsidP="00A65884"/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187A" w:rsidRDefault="00C5187A" w:rsidP="00A65884">
            <w:pPr>
              <w:rPr>
                <w:noProof/>
              </w:rPr>
            </w:pPr>
          </w:p>
          <w:p w:rsidR="00C5187A" w:rsidRDefault="00C5187A" w:rsidP="00A65884">
            <w:pPr>
              <w:rPr>
                <w:noProof/>
              </w:rPr>
            </w:pPr>
          </w:p>
          <w:p w:rsidR="00C5187A" w:rsidRDefault="00C5187A" w:rsidP="00A65884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CA5A4EC" wp14:editId="19B4BD57">
                  <wp:extent cx="190500" cy="531519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66" cy="55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87A" w:rsidTr="00DD0153">
        <w:trPr>
          <w:trHeight w:val="266"/>
        </w:trPr>
        <w:tc>
          <w:tcPr>
            <w:tcW w:w="10350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C5187A" w:rsidRDefault="00C5187A" w:rsidP="00A65884">
            <w:r w:rsidRPr="00224AC8">
              <w:rPr>
                <w:b/>
                <w:bCs/>
              </w:rPr>
              <w:t xml:space="preserve">Supplementary </w:t>
            </w:r>
            <w:r>
              <w:rPr>
                <w:b/>
                <w:bCs/>
              </w:rPr>
              <w:t>F</w:t>
            </w:r>
            <w:r w:rsidRPr="00224AC8">
              <w:rPr>
                <w:b/>
                <w:bCs/>
              </w:rPr>
              <w:t xml:space="preserve">igure </w:t>
            </w:r>
            <w:r>
              <w:rPr>
                <w:b/>
                <w:bCs/>
              </w:rPr>
              <w:t>S</w:t>
            </w:r>
            <w:r w:rsidRPr="00224AC8">
              <w:rPr>
                <w:b/>
                <w:bCs/>
              </w:rPr>
              <w:t>1.</w:t>
            </w:r>
            <w:r>
              <w:t xml:space="preserve"> </w:t>
            </w:r>
            <w:r w:rsidRPr="00224AC8">
              <w:t xml:space="preserve">Risk  of  bias  assessment  </w:t>
            </w:r>
            <w:r>
              <w:t xml:space="preserve">for </w:t>
            </w:r>
            <w:r w:rsidRPr="00224AC8">
              <w:t xml:space="preserve">included  studies  using  the  Cochrane  Collaboration  tool  across </w:t>
            </w:r>
            <w:r>
              <w:t>six</w:t>
            </w:r>
            <w:r w:rsidRPr="00224AC8">
              <w:t xml:space="preserve">  domains.  </w:t>
            </w:r>
          </w:p>
        </w:tc>
      </w:tr>
    </w:tbl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D13E40" w:rsidRDefault="00D13E40" w:rsidP="00C5187A"/>
    <w:tbl>
      <w:tblPr>
        <w:tblStyle w:val="TableGrid"/>
        <w:tblpPr w:leftFromText="180" w:rightFromText="180" w:horzAnchor="margin" w:tblpY="839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1687"/>
        <w:gridCol w:w="955"/>
        <w:gridCol w:w="1950"/>
        <w:gridCol w:w="627"/>
        <w:gridCol w:w="1523"/>
        <w:gridCol w:w="877"/>
      </w:tblGrid>
      <w:tr w:rsidR="00C5187A" w:rsidTr="00A65884">
        <w:tc>
          <w:tcPr>
            <w:tcW w:w="93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47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</w:t>
            </w:r>
            <w:r w:rsidRPr="00CA47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S1.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 Summary table of subgroup analyses; FPG changes.</w:t>
            </w:r>
          </w:p>
          <w:p w:rsidR="00C5187A" w:rsidRPr="00F20933" w:rsidRDefault="00C5187A" w:rsidP="00A65884">
            <w:pPr>
              <w:rPr>
                <w:b/>
                <w:bCs/>
                <w:i/>
                <w:iCs/>
                <w:color w:val="FFFFFF" w:themeColor="background1"/>
              </w:rPr>
            </w:pPr>
          </w:p>
        </w:tc>
      </w:tr>
      <w:tr w:rsidR="00C5187A" w:rsidTr="00A65884"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lastRenderedPageBreak/>
              <w:t>Sub group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Potential factor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Number of studies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WMD </w:t>
            </w:r>
            <w:r w:rsidRPr="00A46979">
              <w:rPr>
                <w:b/>
                <w:bCs/>
                <w:i/>
                <w:iCs/>
                <w:vertAlign w:val="superscript"/>
              </w:rPr>
              <w:t>*</w:t>
            </w:r>
            <w:r w:rsidRPr="00A46979">
              <w:rPr>
                <w:b/>
                <w:bCs/>
                <w:i/>
                <w:iCs/>
              </w:rPr>
              <w:t xml:space="preserve"> (95%CI)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I</w:t>
            </w:r>
            <w:r w:rsidRPr="00A46979">
              <w:rPr>
                <w:b/>
                <w:bCs/>
                <w:i/>
                <w:iCs/>
                <w:vertAlign w:val="superscript"/>
              </w:rPr>
              <w:t xml:space="preserve">2 </w:t>
            </w:r>
            <w:r w:rsidRPr="00A46979">
              <w:rPr>
                <w:b/>
                <w:bCs/>
                <w:i/>
                <w:iCs/>
              </w:rPr>
              <w:t>(%)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</w:t>
            </w:r>
            <w:r w:rsidRPr="00A4697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Heterogeneity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P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Within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Continent 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Asia 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-7.09(-10.62, -3.56)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95.8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Europe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-4.49(-9.25, 0.26)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99.5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0.064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America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25.9(6.81, 0.26)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0.008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Africa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1.81(1.56, 2.06)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0.244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Australia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0.08(-0.32, 0.48)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0.693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Study type 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Double blind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-4.72(-6.45, -2.99)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98.2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Single blind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4.29(-44.00, 52.58)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79.3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0.862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Open labeled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-12.45(-29.63, 4.73)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0.155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Vitamin D 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Sufficient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9.64(-14.52, 33.80)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74.8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0.019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0.434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tabs>
                <w:tab w:val="left" w:pos="634"/>
              </w:tabs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Status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Insufficient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-2.72(-6.76, 1.32)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99.1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0.187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Deficient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-7.37(-9.82, -4.91)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96.8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BMI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Normal weight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-0.80(-1.14, -0.46)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0.909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Over weight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-4.84(-10.79, 1.10)</w:t>
            </w:r>
          </w:p>
        </w:tc>
        <w:tc>
          <w:tcPr>
            <w:tcW w:w="62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97.2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0.110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Obese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-5.90(-8.43, -3.37)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99.1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Supplementation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IM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9.00(-13.04, 31.03)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87.9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0.424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Type </w:t>
            </w: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 xml:space="preserve">Oral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-4.98(-6.76, -3.29)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98.1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Vitamin D 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&gt;2000 IU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-6.56(-8.63, -4.49)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97.4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Dose </w:t>
            </w: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&lt;=2000 IU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2.49(0.73, 4.24)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92.7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0.006</w:t>
            </w:r>
          </w:p>
        </w:tc>
      </w:tr>
      <w:tr w:rsidR="00C5187A" w:rsidTr="00A65884">
        <w:tc>
          <w:tcPr>
            <w:tcW w:w="1731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Study duration </w:t>
            </w:r>
          </w:p>
        </w:tc>
        <w:tc>
          <w:tcPr>
            <w:tcW w:w="168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&lt;= 12 week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-2.37(-4.27, -0.47)</w:t>
            </w:r>
          </w:p>
        </w:tc>
        <w:tc>
          <w:tcPr>
            <w:tcW w:w="62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67.1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0.014</w:t>
            </w:r>
          </w:p>
        </w:tc>
      </w:tr>
      <w:tr w:rsidR="00C5187A" w:rsidTr="00A65884">
        <w:tc>
          <w:tcPr>
            <w:tcW w:w="1731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&gt;12 week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-6.74(-9.02, -4.46)</w:t>
            </w:r>
          </w:p>
        </w:tc>
        <w:tc>
          <w:tcPr>
            <w:tcW w:w="627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99.2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877" w:type="dxa"/>
            <w:tcBorders>
              <w:top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Tr="00A65884"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All study combination 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-5.02(-6.75, -3.28)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98.2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469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&lt;0.001</w:t>
            </w:r>
          </w:p>
        </w:tc>
      </w:tr>
      <w:tr w:rsidR="00C5187A" w:rsidTr="00A65884">
        <w:tc>
          <w:tcPr>
            <w:tcW w:w="935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>Weighted 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ea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n difference, </w:t>
            </w:r>
            <w:r>
              <w:rPr>
                <w:b/>
                <w:bCs/>
                <w:i/>
                <w:iCs/>
                <w:color w:val="FFFFFF" w:themeColor="background1"/>
              </w:rPr>
              <w:t xml:space="preserve"> </w:t>
            </w:r>
            <w:r w:rsidRPr="003B5E34">
              <w:rPr>
                <w:rFonts w:cstheme="minorHAnsi"/>
                <w:b/>
                <w:bCs/>
                <w:color w:val="000000" w:themeColor="text1"/>
                <w:sz w:val="32"/>
                <w:szCs w:val="32"/>
                <w:vertAlign w:val="superscript"/>
              </w:rPr>
              <w:t>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P-value, IM=intramuscular, IU= international units, </w:t>
            </w:r>
          </w:p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FPG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= fasting plasma glucose. </w:t>
            </w:r>
          </w:p>
          <w:p w:rsidR="00C5187A" w:rsidRPr="002134D2" w:rsidRDefault="00C5187A" w:rsidP="00A65884">
            <w:pPr>
              <w:rPr>
                <w:b/>
                <w:bCs/>
              </w:rPr>
            </w:pPr>
          </w:p>
        </w:tc>
      </w:tr>
    </w:tbl>
    <w:p w:rsidR="00C5187A" w:rsidRDefault="00C5187A" w:rsidP="00C5187A"/>
    <w:tbl>
      <w:tblPr>
        <w:tblStyle w:val="TableGrid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1463"/>
        <w:gridCol w:w="955"/>
        <w:gridCol w:w="1948"/>
        <w:gridCol w:w="610"/>
        <w:gridCol w:w="1523"/>
        <w:gridCol w:w="1066"/>
      </w:tblGrid>
      <w:tr w:rsidR="00C5187A" w:rsidRPr="00AA5D74" w:rsidTr="00A65884">
        <w:tc>
          <w:tcPr>
            <w:tcW w:w="93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E54134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S2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8C253E">
              <w:rPr>
                <w:rFonts w:asciiTheme="majorBidi" w:hAnsiTheme="majorBidi" w:cstheme="majorBidi"/>
                <w:sz w:val="24"/>
                <w:szCs w:val="24"/>
              </w:rPr>
              <w:t xml:space="preserve"> Summary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 table of subgroup analyses; HbA1c changes.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tabs>
                <w:tab w:val="center" w:pos="784"/>
              </w:tabs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ab/>
              <w:t>Sub group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Potential factor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Number of studies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WMD </w:t>
            </w:r>
            <w:proofErr w:type="spellStart"/>
            <w:r w:rsidRPr="00A46979">
              <w:rPr>
                <w:b/>
                <w:bCs/>
                <w:i/>
                <w:iCs/>
                <w:vertAlign w:val="superscript"/>
              </w:rPr>
              <w:t>a</w:t>
            </w:r>
            <w:proofErr w:type="spellEnd"/>
            <w:r w:rsidRPr="00A46979">
              <w:rPr>
                <w:b/>
                <w:bCs/>
                <w:i/>
                <w:iCs/>
                <w:vertAlign w:val="superscript"/>
              </w:rPr>
              <w:t xml:space="preserve"> </w:t>
            </w:r>
            <w:r w:rsidRPr="00A46979">
              <w:rPr>
                <w:b/>
                <w:bCs/>
                <w:i/>
                <w:iCs/>
              </w:rPr>
              <w:t>(95%CI)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I</w:t>
            </w:r>
            <w:r w:rsidRPr="00A46979">
              <w:rPr>
                <w:b/>
                <w:bCs/>
                <w:i/>
                <w:iCs/>
                <w:vertAlign w:val="superscript"/>
              </w:rPr>
              <w:t xml:space="preserve">2 </w:t>
            </w:r>
            <w:r w:rsidRPr="00A46979">
              <w:rPr>
                <w:b/>
                <w:bCs/>
                <w:i/>
                <w:iCs/>
              </w:rPr>
              <w:t>(%)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</w:t>
            </w:r>
            <w:r w:rsidRPr="00A4697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Heterogeneity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P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Within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Continent 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Asia 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27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-0.31(-0.61, -0.01)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96.6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0.040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Europe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0.00(0.00, 0.01)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0.96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America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3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0.00(-0.02, 0.02)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0.737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0.970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Africa 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1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-1.04(-2.09, 0.01)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0.052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Australia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1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0.00(-0.32, 0.32)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1.000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Study type 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Double blind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35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-0.14(-0.23, -0.04)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95.8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0.004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Single blind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2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-0.34(-1.54, -0.11)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75.3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0.044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0.572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Open labeled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1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-0.04(-0.41, 0.33)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0.831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Vitamin D 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Sufficient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4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-0.30(-0.59, 0.00)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44.8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0.143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0.051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tabs>
                <w:tab w:val="left" w:pos="634"/>
              </w:tabs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Status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Insufficient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6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-0.02(-0.10, 0.05)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19.6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0.286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0.527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Deficient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30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-0.25(-0.42, -0.08)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96.9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0.004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BMI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rPr>
                <w:sz w:val="20"/>
                <w:szCs w:val="20"/>
              </w:rPr>
              <w:t>Normal weight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3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0.13(-0.09, 0.35)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0.990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0.248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Over weight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17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-0.29(-0.61, 0.03)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96.0</w:t>
            </w:r>
          </w:p>
        </w:tc>
        <w:tc>
          <w:tcPr>
            <w:tcW w:w="1523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0.081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Obese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14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0.02(-0.02, 0.06)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55.9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0.006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0.369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Supplementation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IM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4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-0.25(-0.58, 0.08)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38.8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0.179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0.139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Type </w:t>
            </w: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 xml:space="preserve">Oral 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38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-0.19(-0.29, -0.10)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96.1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Vitamin D 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&gt;2000 IU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31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-0.23(-0.34, -0.13)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96.6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&lt;0.001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Dose </w:t>
            </w:r>
          </w:p>
        </w:tc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&lt;=2000 IU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11</w:t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-0.08(-0.36, 0.19)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88.5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r w:rsidRPr="00A46979">
              <w:t>0.564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Study duration </w:t>
            </w:r>
          </w:p>
        </w:tc>
        <w:tc>
          <w:tcPr>
            <w:tcW w:w="146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&lt;= 12 week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23</w:t>
            </w:r>
          </w:p>
        </w:tc>
        <w:tc>
          <w:tcPr>
            <w:tcW w:w="1948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-0.28(-0.48, -0.09)</w:t>
            </w:r>
          </w:p>
        </w:tc>
        <w:tc>
          <w:tcPr>
            <w:tcW w:w="610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97.4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&lt;0.01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auto"/>
          </w:tcPr>
          <w:p w:rsidR="00C5187A" w:rsidRPr="00A46979" w:rsidRDefault="00C5187A" w:rsidP="00A65884">
            <w:r w:rsidRPr="00A46979">
              <w:t>0.004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</w:tcBorders>
            <w:shd w:val="clear" w:color="auto" w:fill="auto"/>
          </w:tcPr>
          <w:p w:rsidR="00C5187A" w:rsidRPr="00F5502E" w:rsidRDefault="00C5187A" w:rsidP="00A65884">
            <w:pPr>
              <w:rPr>
                <w:b/>
                <w:bCs/>
                <w:i/>
                <w:iCs/>
                <w:color w:val="4472C4" w:themeColor="accent5"/>
              </w:rPr>
            </w:pPr>
          </w:p>
        </w:tc>
        <w:tc>
          <w:tcPr>
            <w:tcW w:w="1463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&gt;12 we</w:t>
            </w:r>
            <w:r>
              <w:t>ek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19</w:t>
            </w:r>
          </w:p>
        </w:tc>
        <w:tc>
          <w:tcPr>
            <w:tcW w:w="1948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-0.12(-0.26, 0.02)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84.8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&lt;0.01</w:t>
            </w:r>
          </w:p>
        </w:tc>
        <w:tc>
          <w:tcPr>
            <w:tcW w:w="1066" w:type="dxa"/>
            <w:tcBorders>
              <w:top w:val="nil"/>
            </w:tcBorders>
            <w:shd w:val="clear" w:color="auto" w:fill="auto"/>
          </w:tcPr>
          <w:p w:rsidR="00C5187A" w:rsidRPr="00E54134" w:rsidRDefault="00C5187A" w:rsidP="00A65884">
            <w:r w:rsidRPr="00E54134">
              <w:t>0.085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 xml:space="preserve">All study combination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-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42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-0.20(-0.29, -0.11)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95.8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&lt;0.01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&lt;0.001</w:t>
            </w:r>
          </w:p>
        </w:tc>
      </w:tr>
      <w:tr w:rsidR="00C5187A" w:rsidRPr="00AA5D74" w:rsidTr="00A65884">
        <w:tc>
          <w:tcPr>
            <w:tcW w:w="935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>Weighted 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ea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n difference, </w:t>
            </w:r>
            <w:r w:rsidRPr="003B5E34">
              <w:rPr>
                <w:rFonts w:cstheme="minorHAnsi"/>
                <w:b/>
                <w:bCs/>
                <w:color w:val="000000" w:themeColor="text1"/>
                <w:sz w:val="32"/>
                <w:szCs w:val="32"/>
                <w:vertAlign w:val="superscript"/>
              </w:rPr>
              <w:t>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P-value, IM=intramuscular, IU= international units,</w:t>
            </w:r>
          </w:p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HbA1c = hemoglobin A1c.</w:t>
            </w:r>
          </w:p>
          <w:p w:rsidR="00C5187A" w:rsidRDefault="00C5187A" w:rsidP="00A65884">
            <w:pPr>
              <w:rPr>
                <w:b/>
                <w:bCs/>
                <w:color w:val="FFFFFF" w:themeColor="background1"/>
              </w:rPr>
            </w:pPr>
          </w:p>
        </w:tc>
      </w:tr>
    </w:tbl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85"/>
        <w:gridCol w:w="1606"/>
        <w:gridCol w:w="955"/>
        <w:gridCol w:w="1857"/>
        <w:gridCol w:w="610"/>
        <w:gridCol w:w="1523"/>
        <w:gridCol w:w="1024"/>
      </w:tblGrid>
      <w:tr w:rsidR="00C5187A" w:rsidRPr="00AA5D74" w:rsidTr="00A65884"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E54134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Supplementary Table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S3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 Summary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table of subgroup analyses; HOMA-IR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 changes.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Sub group</w:t>
            </w: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Potential factor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Number of studies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WMD </w:t>
            </w:r>
            <w:proofErr w:type="spellStart"/>
            <w:r w:rsidRPr="00A46979">
              <w:rPr>
                <w:b/>
                <w:bCs/>
                <w:i/>
                <w:iCs/>
                <w:vertAlign w:val="superscript"/>
              </w:rPr>
              <w:t>a</w:t>
            </w:r>
            <w:proofErr w:type="spellEnd"/>
            <w:r w:rsidRPr="00A46979">
              <w:rPr>
                <w:b/>
                <w:bCs/>
                <w:i/>
                <w:iCs/>
              </w:rPr>
              <w:t xml:space="preserve"> (95%CI)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I</w:t>
            </w:r>
            <w:r w:rsidRPr="00A46979">
              <w:rPr>
                <w:b/>
                <w:bCs/>
                <w:i/>
                <w:iCs/>
                <w:vertAlign w:val="superscript"/>
              </w:rPr>
              <w:t xml:space="preserve">2 </w:t>
            </w:r>
            <w:r w:rsidRPr="00A46979">
              <w:rPr>
                <w:b/>
                <w:bCs/>
                <w:i/>
                <w:iCs/>
              </w:rPr>
              <w:t>(%)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P</w:t>
            </w:r>
            <w:r w:rsidRPr="00A4697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Heterogeneity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P </w:t>
            </w:r>
            <w:r w:rsidRPr="00A46979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ᵻ</w:t>
            </w:r>
          </w:p>
          <w:p w:rsidR="00C5187A" w:rsidRPr="00A46979" w:rsidRDefault="00C5187A" w:rsidP="00A65884">
            <w:pPr>
              <w:jc w:val="center"/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Within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F5502E" w:rsidRDefault="00C5187A" w:rsidP="00A65884">
            <w:pPr>
              <w:rPr>
                <w:b/>
                <w:bCs/>
                <w:i/>
                <w:iCs/>
                <w:color w:val="4472C4" w:themeColor="accent5"/>
              </w:rPr>
            </w:pPr>
            <w:r w:rsidRPr="00A46979">
              <w:rPr>
                <w:b/>
                <w:bCs/>
                <w:i/>
                <w:iCs/>
              </w:rPr>
              <w:t xml:space="preserve">Continent 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Asia 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13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-0.45(-0.85, -0.05)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90.8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&lt;0.01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0.027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5187A" w:rsidRPr="00F5502E" w:rsidRDefault="00C5187A" w:rsidP="00A65884">
            <w:pPr>
              <w:rPr>
                <w:b/>
                <w:bCs/>
                <w:i/>
                <w:iCs/>
                <w:color w:val="4472C4" w:themeColor="accent5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Europe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-0.21(-0.76, 0.34)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0.468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0.453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F5502E" w:rsidRDefault="00C5187A" w:rsidP="00A65884">
            <w:pPr>
              <w:rPr>
                <w:b/>
                <w:bCs/>
                <w:i/>
                <w:iCs/>
                <w:color w:val="4472C4" w:themeColor="accent5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Australia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0.10(-1.55, 1.75)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187A" w:rsidRPr="00121259" w:rsidRDefault="00C5187A" w:rsidP="00A65884">
            <w:r w:rsidRPr="00121259">
              <w:t>0.906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Vitamin D 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Sufficient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2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0.50(-0.77, 1.76)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67.9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0.078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0.442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tabs>
                <w:tab w:val="left" w:pos="634"/>
              </w:tabs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Status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Insufficient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-0.86(-2.71, 1.00)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78.0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0.366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Deficient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-0.56(-0.95, -0.18)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88.6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&lt;0.01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187A" w:rsidRPr="00121259" w:rsidRDefault="00C5187A" w:rsidP="00A65884">
            <w:r w:rsidRPr="00121259">
              <w:t>0.004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BMI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Normal weight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3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-0.21(-0.78, 0.36)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70.0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0.036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0.479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Over weight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-0.45(-0.94, 0.05)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67.2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0.078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Obese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-0.56(-1.46, 0.33)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40.1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0.138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187A" w:rsidRPr="00121259" w:rsidRDefault="00C5187A" w:rsidP="00A65884">
            <w:r w:rsidRPr="00121259">
              <w:t>0.219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>Supplementation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IM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2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0.15(-1.81, 2.11)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84.4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0.011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0.882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Type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 xml:space="preserve">Oral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-0.5(-0.86, -0.14)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87.1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&lt;0.01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187A" w:rsidRPr="00121259" w:rsidRDefault="00C5187A" w:rsidP="00A65884">
            <w:r w:rsidRPr="00121259">
              <w:t>0.006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Vitamin D 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&gt;2000 IU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11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-0.53(-1.01, -0.05)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91.9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&lt;0.01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0.031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lastRenderedPageBreak/>
              <w:t xml:space="preserve">Dose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&lt;=2000 IU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-0.22(-0.62, 0.17)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32.2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0.163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187A" w:rsidRPr="00121259" w:rsidRDefault="00C5187A" w:rsidP="00A65884">
            <w:r w:rsidRPr="00121259">
              <w:t>0.269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nil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Study duration 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&lt;= 12 we</w:t>
            </w:r>
            <w:r>
              <w:t>e</w:t>
            </w:r>
            <w:r w:rsidRPr="00121259">
              <w:t>k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9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-0.37(-0.73, -0.01)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62.4</w:t>
            </w:r>
          </w:p>
        </w:tc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0.006</w:t>
            </w:r>
          </w:p>
        </w:tc>
        <w:tc>
          <w:tcPr>
            <w:tcW w:w="1024" w:type="dxa"/>
            <w:tcBorders>
              <w:left w:val="nil"/>
              <w:bottom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0.045</w:t>
            </w:r>
          </w:p>
        </w:tc>
      </w:tr>
      <w:tr w:rsidR="00C5187A" w:rsidRPr="00AA5D74" w:rsidTr="00A65884">
        <w:tc>
          <w:tcPr>
            <w:tcW w:w="1785" w:type="dxa"/>
            <w:tcBorders>
              <w:top w:val="nil"/>
              <w:right w:val="nil"/>
            </w:tcBorders>
            <w:shd w:val="clear" w:color="auto" w:fill="auto"/>
          </w:tcPr>
          <w:p w:rsidR="00C5187A" w:rsidRPr="00F5502E" w:rsidRDefault="00C5187A" w:rsidP="00A65884">
            <w:pPr>
              <w:rPr>
                <w:b/>
                <w:bCs/>
                <w:i/>
                <w:iCs/>
              </w:rPr>
            </w:pP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&gt;12 we</w:t>
            </w:r>
            <w:r>
              <w:t>e</w:t>
            </w:r>
            <w:r w:rsidRPr="00121259">
              <w:t>k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10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-0.56(-1.23, 0.12)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81.0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&lt;0.01</w:t>
            </w:r>
          </w:p>
        </w:tc>
        <w:tc>
          <w:tcPr>
            <w:tcW w:w="1024" w:type="dxa"/>
            <w:tcBorders>
              <w:top w:val="nil"/>
              <w:left w:val="nil"/>
            </w:tcBorders>
            <w:shd w:val="clear" w:color="auto" w:fill="auto"/>
          </w:tcPr>
          <w:p w:rsidR="00C5187A" w:rsidRPr="00121259" w:rsidRDefault="00C5187A" w:rsidP="00A65884">
            <w:r w:rsidRPr="00121259">
              <w:t>0.106</w:t>
            </w:r>
          </w:p>
        </w:tc>
      </w:tr>
      <w:tr w:rsidR="00C5187A" w:rsidRPr="00AA5D74" w:rsidTr="00A65884">
        <w:tc>
          <w:tcPr>
            <w:tcW w:w="178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  <w:i/>
                <w:iCs/>
              </w:rPr>
            </w:pPr>
            <w:r w:rsidRPr="00A46979">
              <w:rPr>
                <w:b/>
                <w:bCs/>
                <w:i/>
                <w:iCs/>
              </w:rPr>
              <w:t xml:space="preserve">All study combination </w:t>
            </w: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-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19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-0.42(-0.76, -0.07)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86.8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0.00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5187A" w:rsidRPr="00A46979" w:rsidRDefault="00C5187A" w:rsidP="00A65884">
            <w:pPr>
              <w:rPr>
                <w:b/>
                <w:bCs/>
              </w:rPr>
            </w:pPr>
            <w:r w:rsidRPr="00A46979">
              <w:rPr>
                <w:b/>
                <w:bCs/>
              </w:rPr>
              <w:t>-</w:t>
            </w:r>
          </w:p>
        </w:tc>
      </w:tr>
      <w:tr w:rsidR="00C5187A" w:rsidRPr="00AA5D74" w:rsidTr="00A65884">
        <w:tc>
          <w:tcPr>
            <w:tcW w:w="93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187A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>Weighted 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ea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n difference, </w:t>
            </w:r>
            <w:r w:rsidRPr="003B5E34">
              <w:rPr>
                <w:rFonts w:cstheme="minorHAnsi"/>
                <w:b/>
                <w:bCs/>
                <w:color w:val="000000" w:themeColor="text1"/>
                <w:sz w:val="32"/>
                <w:szCs w:val="32"/>
                <w:vertAlign w:val="superscript"/>
              </w:rPr>
              <w:t>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P-value, IM=intramuscular, IU= international units,</w:t>
            </w:r>
          </w:p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HOMA-IR= Homeostasis model assessment for insulin resistance.</w:t>
            </w:r>
          </w:p>
          <w:p w:rsidR="00C5187A" w:rsidRPr="00F5502E" w:rsidRDefault="00C5187A" w:rsidP="00A65884">
            <w:pPr>
              <w:rPr>
                <w:b/>
                <w:bCs/>
                <w:color w:val="FFFFFF" w:themeColor="background1"/>
              </w:rPr>
            </w:pPr>
          </w:p>
        </w:tc>
      </w:tr>
    </w:tbl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5187A" w:rsidTr="00A65884">
        <w:trPr>
          <w:trHeight w:val="6249"/>
        </w:trPr>
        <w:tc>
          <w:tcPr>
            <w:tcW w:w="8810" w:type="dxa"/>
          </w:tcPr>
          <w:p w:rsidR="00C5187A" w:rsidRDefault="00C5187A" w:rsidP="00A65884">
            <w:r w:rsidRPr="0049240D">
              <w:rPr>
                <w:noProof/>
              </w:rPr>
              <w:drawing>
                <wp:inline distT="0" distB="0" distL="0" distR="0" wp14:anchorId="45D070A5" wp14:editId="687E5310">
                  <wp:extent cx="6163310" cy="4721225"/>
                  <wp:effectExtent l="0" t="0" r="8890" b="3175"/>
                  <wp:docPr id="11" name="Picture 11" descr="F:\vitamin d review\analysis data\Funnel- F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vitamin d review\analysis data\Funnel- F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310" cy="472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87A" w:rsidTr="00A65884">
        <w:trPr>
          <w:trHeight w:val="221"/>
        </w:trPr>
        <w:tc>
          <w:tcPr>
            <w:tcW w:w="8810" w:type="dxa"/>
          </w:tcPr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Supplementary Figure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S2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8C253E">
              <w:rPr>
                <w:rFonts w:asciiTheme="majorBidi" w:hAnsiTheme="majorBidi" w:cstheme="majorBidi"/>
                <w:sz w:val="24"/>
                <w:szCs w:val="24"/>
              </w:rPr>
              <w:t xml:space="preserve"> Funnel plot for fasting</w:t>
            </w:r>
            <w:r w:rsidRPr="00CA47F9">
              <w:rPr>
                <w:rFonts w:asciiTheme="majorBidi" w:hAnsiTheme="majorBidi" w:cstheme="majorBidi"/>
                <w:sz w:val="24"/>
                <w:szCs w:val="24"/>
              </w:rPr>
              <w:t xml:space="preserve"> plasma glucose </w:t>
            </w:r>
          </w:p>
        </w:tc>
      </w:tr>
    </w:tbl>
    <w:p w:rsidR="00C5187A" w:rsidRDefault="00C5187A" w:rsidP="00C5187A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5187A" w:rsidTr="00A65884">
        <w:tc>
          <w:tcPr>
            <w:tcW w:w="9350" w:type="dxa"/>
          </w:tcPr>
          <w:p w:rsidR="00C5187A" w:rsidRPr="00CA47F9" w:rsidRDefault="00C5187A" w:rsidP="00A65884">
            <w:pPr>
              <w:rPr>
                <w:highlight w:val="green"/>
              </w:rPr>
            </w:pPr>
            <w:r w:rsidRPr="00CA47F9">
              <w:rPr>
                <w:noProof/>
                <w:highlight w:val="green"/>
              </w:rPr>
              <w:drawing>
                <wp:inline distT="0" distB="0" distL="0" distR="0" wp14:anchorId="514586F2" wp14:editId="7356CE99">
                  <wp:extent cx="6523990" cy="4818380"/>
                  <wp:effectExtent l="0" t="0" r="0" b="1270"/>
                  <wp:docPr id="14" name="Picture 14" descr="F:\vitamin d review\analysis data\funnel- A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vitamin d review\analysis data\funnel- A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990" cy="481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87A" w:rsidRPr="00CA47F9" w:rsidRDefault="00C5187A" w:rsidP="00A65884">
            <w:pPr>
              <w:rPr>
                <w:rFonts w:asciiTheme="majorBidi" w:hAnsiTheme="majorBidi" w:cstheme="majorBidi"/>
                <w:highlight w:val="green"/>
              </w:rPr>
            </w:pP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Figure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S3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8C253E">
              <w:rPr>
                <w:rFonts w:asciiTheme="majorBidi" w:hAnsiTheme="majorBidi" w:cstheme="majorBidi"/>
                <w:sz w:val="24"/>
                <w:szCs w:val="24"/>
              </w:rPr>
              <w:t xml:space="preserve"> Funnel plot for HbA1c</w:t>
            </w:r>
          </w:p>
        </w:tc>
      </w:tr>
    </w:tbl>
    <w:p w:rsidR="00C5187A" w:rsidRDefault="00C5187A" w:rsidP="00C5187A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5187A" w:rsidTr="00A65884">
        <w:tc>
          <w:tcPr>
            <w:tcW w:w="9350" w:type="dxa"/>
            <w:tcBorders>
              <w:bottom w:val="nil"/>
            </w:tcBorders>
          </w:tcPr>
          <w:p w:rsidR="00C5187A" w:rsidRDefault="00C5187A" w:rsidP="00A65884">
            <w:r w:rsidRPr="004233D0">
              <w:rPr>
                <w:noProof/>
              </w:rPr>
              <w:lastRenderedPageBreak/>
              <w:drawing>
                <wp:inline distT="0" distB="0" distL="0" distR="0" wp14:anchorId="6440B7DE" wp14:editId="21DABC42">
                  <wp:extent cx="6400800" cy="4668520"/>
                  <wp:effectExtent l="0" t="0" r="0" b="0"/>
                  <wp:docPr id="15" name="Picture 15" descr="F:\vitamin d review\analysis data\funnel- ho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vitamin d review\analysis data\funnel- ho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466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87A" w:rsidTr="00A65884">
        <w:tc>
          <w:tcPr>
            <w:tcW w:w="9350" w:type="dxa"/>
            <w:tcBorders>
              <w:top w:val="nil"/>
            </w:tcBorders>
          </w:tcPr>
          <w:p w:rsidR="00C5187A" w:rsidRPr="00CA47F9" w:rsidRDefault="00C5187A" w:rsidP="00A65884">
            <w:pPr>
              <w:rPr>
                <w:rFonts w:asciiTheme="majorBidi" w:hAnsiTheme="majorBidi" w:cstheme="majorBidi"/>
                <w:sz w:val="24"/>
                <w:szCs w:val="24"/>
                <w:highlight w:val="green"/>
              </w:rPr>
            </w:pP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Figure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S4</w:t>
            </w:r>
            <w:r w:rsidRPr="008C2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8C253E">
              <w:rPr>
                <w:rFonts w:asciiTheme="majorBidi" w:hAnsiTheme="majorBidi" w:cstheme="majorBidi"/>
                <w:sz w:val="24"/>
                <w:szCs w:val="24"/>
              </w:rPr>
              <w:t>Funnel plot for HOMA-IR</w:t>
            </w:r>
          </w:p>
        </w:tc>
      </w:tr>
    </w:tbl>
    <w:p w:rsidR="00C5187A" w:rsidRDefault="00C5187A" w:rsidP="00C5187A"/>
    <w:p w:rsidR="00C5187A" w:rsidRDefault="00C5187A" w:rsidP="00C5187A"/>
    <w:p w:rsidR="00C5187A" w:rsidRDefault="00C5187A" w:rsidP="00C5187A"/>
    <w:p w:rsidR="00C5187A" w:rsidRDefault="00C5187A" w:rsidP="00C5187A"/>
    <w:p w:rsidR="00027D74" w:rsidRDefault="00027D74"/>
    <w:sectPr w:rsidR="00027D74" w:rsidSect="0086540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65C" w:rsidRDefault="00EC365C">
      <w:pPr>
        <w:spacing w:after="0" w:line="240" w:lineRule="auto"/>
      </w:pPr>
      <w:r>
        <w:separator/>
      </w:r>
    </w:p>
  </w:endnote>
  <w:endnote w:type="continuationSeparator" w:id="0">
    <w:p w:rsidR="00EC365C" w:rsidRDefault="00EC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043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5884" w:rsidRDefault="00A6588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4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5884" w:rsidRDefault="00A6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65C" w:rsidRDefault="00EC365C">
      <w:pPr>
        <w:spacing w:after="0" w:line="240" w:lineRule="auto"/>
      </w:pPr>
      <w:r>
        <w:separator/>
      </w:r>
    </w:p>
  </w:footnote>
  <w:footnote w:type="continuationSeparator" w:id="0">
    <w:p w:rsidR="00EC365C" w:rsidRDefault="00EC3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7A"/>
    <w:rsid w:val="000114D7"/>
    <w:rsid w:val="00025FF1"/>
    <w:rsid w:val="00027D74"/>
    <w:rsid w:val="00111DF3"/>
    <w:rsid w:val="00456DB9"/>
    <w:rsid w:val="00865406"/>
    <w:rsid w:val="00985051"/>
    <w:rsid w:val="00A65884"/>
    <w:rsid w:val="00C5187A"/>
    <w:rsid w:val="00CE6C1C"/>
    <w:rsid w:val="00D13E40"/>
    <w:rsid w:val="00DD0153"/>
    <w:rsid w:val="00E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5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51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87A"/>
  </w:style>
  <w:style w:type="paragraph" w:styleId="BalloonText">
    <w:name w:val="Balloon Text"/>
    <w:basedOn w:val="Normal"/>
    <w:link w:val="BalloonTextChar"/>
    <w:uiPriority w:val="99"/>
    <w:semiHidden/>
    <w:unhideWhenUsed/>
    <w:rsid w:val="0045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5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51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87A"/>
  </w:style>
  <w:style w:type="paragraph" w:styleId="BalloonText">
    <w:name w:val="Balloon Text"/>
    <w:basedOn w:val="Normal"/>
    <w:link w:val="BalloonTextChar"/>
    <w:uiPriority w:val="99"/>
    <w:semiHidden/>
    <w:unhideWhenUsed/>
    <w:rsid w:val="0045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Farahmand</dc:creator>
  <cp:keywords/>
  <dc:description/>
  <cp:lastModifiedBy>Mary Rose Caro</cp:lastModifiedBy>
  <cp:revision>7</cp:revision>
  <dcterms:created xsi:type="dcterms:W3CDTF">2022-06-15T14:17:00Z</dcterms:created>
  <dcterms:modified xsi:type="dcterms:W3CDTF">2022-11-18T13:34:00Z</dcterms:modified>
</cp:coreProperties>
</file>