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120" w:hanging="120" w:hangingChars="50"/>
        <w:jc w:val="center"/>
        <w:rPr>
          <w:b/>
          <w:sz w:val="24"/>
          <w:szCs w:val="28"/>
          <w:highlight w:val="none"/>
        </w:rPr>
      </w:pPr>
      <w:r>
        <w:rPr>
          <w:b/>
          <w:sz w:val="24"/>
          <w:szCs w:val="28"/>
          <w:highlight w:val="none"/>
        </w:rPr>
        <w:t>Table 4: Multivariate logistic regression analysis of osteoporosis</w:t>
      </w:r>
    </w:p>
    <w:tbl>
      <w:tblPr>
        <w:tblStyle w:val="2"/>
        <w:tblpPr w:leftFromText="180" w:rightFromText="180" w:vertAnchor="text" w:horzAnchor="page" w:tblpX="1841" w:tblpY="307"/>
        <w:tblOverlap w:val="never"/>
        <w:tblW w:w="801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1"/>
        <w:gridCol w:w="1576"/>
        <w:gridCol w:w="2998"/>
        <w:gridCol w:w="130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213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rPr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157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2" w:line="290" w:lineRule="exact"/>
              <w:ind w:left="108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SE</w:t>
            </w:r>
          </w:p>
        </w:tc>
        <w:tc>
          <w:tcPr>
            <w:tcW w:w="2998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2" w:line="290" w:lineRule="exact"/>
              <w:ind w:left="108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OR (95% CI)</w:t>
            </w:r>
          </w:p>
        </w:tc>
        <w:tc>
          <w:tcPr>
            <w:tcW w:w="130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spacing w:before="2" w:line="290" w:lineRule="exact"/>
              <w:ind w:firstLine="120" w:firstLineChars="50"/>
              <w:rPr>
                <w:i/>
                <w:iCs/>
                <w:color w:val="000000"/>
                <w:sz w:val="24"/>
                <w:szCs w:val="24"/>
                <w:highlight w:val="none"/>
              </w:rPr>
            </w:pPr>
            <w:r>
              <w:rPr>
                <w:i/>
                <w:iCs/>
                <w:color w:val="000000"/>
                <w:sz w:val="24"/>
                <w:szCs w:val="24"/>
                <w:highlight w:val="none"/>
              </w:rPr>
              <w:t>P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21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before="2" w:line="290" w:lineRule="exact"/>
              <w:ind w:left="107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 xml:space="preserve">GNRI </w:t>
            </w:r>
          </w:p>
        </w:tc>
        <w:tc>
          <w:tcPr>
            <w:tcW w:w="15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before="17" w:line="275" w:lineRule="exact"/>
              <w:ind w:right="96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0.020</w:t>
            </w:r>
          </w:p>
        </w:tc>
        <w:tc>
          <w:tcPr>
            <w:tcW w:w="299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before="17" w:line="275" w:lineRule="exact"/>
              <w:ind w:right="96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0.908 (0.873, 0.94</w:t>
            </w:r>
            <w:r>
              <w:rPr>
                <w:rFonts w:hint="eastAsia"/>
                <w:color w:val="00000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color w:val="000000"/>
                <w:sz w:val="24"/>
                <w:szCs w:val="24"/>
                <w:highlight w:val="none"/>
              </w:rPr>
              <w:t>)</w:t>
            </w:r>
          </w:p>
        </w:tc>
        <w:tc>
          <w:tcPr>
            <w:tcW w:w="130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spacing w:before="17" w:line="275" w:lineRule="exact"/>
              <w:ind w:right="94"/>
              <w:jc w:val="left"/>
              <w:rPr>
                <w:color w:val="000000"/>
                <w:sz w:val="24"/>
                <w:szCs w:val="24"/>
                <w:highlight w:val="none"/>
              </w:rPr>
            </w:pPr>
            <w:r>
              <w:rPr>
                <w:color w:val="000000"/>
                <w:sz w:val="24"/>
                <w:szCs w:val="24"/>
                <w:highlight w:val="none"/>
              </w:rPr>
              <w:t>0.000</w:t>
            </w:r>
          </w:p>
        </w:tc>
      </w:tr>
    </w:tbl>
    <w:p>
      <w:pPr>
        <w:rPr>
          <w:sz w:val="22"/>
          <w:szCs w:val="24"/>
          <w:highlight w:val="none"/>
        </w:rPr>
      </w:pPr>
      <w:r>
        <w:rPr>
          <w:sz w:val="22"/>
          <w:szCs w:val="24"/>
          <w:highlight w:val="none"/>
        </w:rPr>
        <w:t xml:space="preserve">Annotation: Gender, age, diabetes duration, </w:t>
      </w:r>
      <w:r>
        <w:rPr>
          <w:rFonts w:hint="eastAsia"/>
          <w:sz w:val="22"/>
          <w:szCs w:val="24"/>
          <w:highlight w:val="none"/>
        </w:rPr>
        <w:t>FPG</w:t>
      </w:r>
      <w:r>
        <w:rPr>
          <w:rFonts w:hint="eastAsia"/>
          <w:sz w:val="22"/>
          <w:szCs w:val="24"/>
          <w:highlight w:val="none"/>
          <w:lang w:val="en-US" w:eastAsia="zh-CN"/>
        </w:rPr>
        <w:t xml:space="preserve">, </w:t>
      </w:r>
      <w:r>
        <w:rPr>
          <w:sz w:val="22"/>
          <w:szCs w:val="24"/>
          <w:highlight w:val="none"/>
        </w:rPr>
        <w:t xml:space="preserve">25 (OH)D, </w:t>
      </w:r>
      <w:r>
        <w:rPr>
          <w:color w:val="000000"/>
          <w:sz w:val="22"/>
          <w:highlight w:val="none"/>
        </w:rPr>
        <w:t>P1NP, and 24</w:t>
      </w:r>
      <w:r>
        <w:rPr>
          <w:rFonts w:hint="eastAsia"/>
          <w:color w:val="000000"/>
          <w:sz w:val="22"/>
          <w:highlight w:val="none"/>
          <w:lang w:val="en-US" w:eastAsia="zh-CN"/>
        </w:rPr>
        <w:t>h</w:t>
      </w:r>
      <w:r>
        <w:rPr>
          <w:color w:val="000000"/>
          <w:sz w:val="22"/>
          <w:highlight w:val="none"/>
        </w:rPr>
        <w:t>-mAlb</w:t>
      </w:r>
      <w:r>
        <w:rPr>
          <w:sz w:val="22"/>
          <w:szCs w:val="24"/>
          <w:highlight w:val="none"/>
        </w:rPr>
        <w:t xml:space="preserve"> are involved in the logistic multivariate regression analysis. SE, standard error. 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4MGI4YzE3M2ZmZjYwMWNjZmU3MzE2ZmM0OTcyYzIifQ=="/>
  </w:docVars>
  <w:rsids>
    <w:rsidRoot w:val="00000000"/>
    <w:rsid w:val="387A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2022-11-12T04:09:49Z</dcterms:created>
  <dc:creator>hp</dc:creator>
  <cp:lastModifiedBy></cp:lastModifiedBy>
  <dcterms:modified xsi:type="dcterms:W3CDTF">2022-11-12T04:11:16Z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E2A2E3E37F464299ACB269C46083F896</vt:lpwstr>
  </property>
</Properties>
</file>