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70F6F" w14:textId="77777777" w:rsidR="00325075" w:rsidRPr="00620669" w:rsidRDefault="00325075" w:rsidP="00325075">
      <w:pPr>
        <w:spacing w:line="360" w:lineRule="auto"/>
        <w:jc w:val="center"/>
        <w:rPr>
          <w:rFonts w:asciiTheme="majorBidi" w:eastAsia="Times New Roman" w:hAnsiTheme="majorBidi" w:cstheme="majorBidi"/>
          <w:color w:val="000000"/>
          <w:sz w:val="24"/>
          <w:szCs w:val="24"/>
        </w:rPr>
      </w:pPr>
      <w:r w:rsidRPr="00620669">
        <w:rPr>
          <w:rFonts w:asciiTheme="majorBidi" w:eastAsia="Times New Roman" w:hAnsiTheme="majorBidi" w:cstheme="majorBidi"/>
          <w:b/>
          <w:bCs/>
          <w:color w:val="000000"/>
          <w:sz w:val="28"/>
          <w:szCs w:val="28"/>
        </w:rPr>
        <w:t>Supplementary Material</w:t>
      </w:r>
      <w:r w:rsidRPr="00620669">
        <w:rPr>
          <w:rFonts w:asciiTheme="majorBidi" w:eastAsia="Times New Roman" w:hAnsiTheme="majorBidi" w:cstheme="majorBidi"/>
          <w:sz w:val="24"/>
          <w:szCs w:val="24"/>
        </w:rPr>
        <w:br/>
      </w:r>
    </w:p>
    <w:p w14:paraId="4CB795BD" w14:textId="77777777" w:rsidR="00E61103" w:rsidRPr="00620669" w:rsidRDefault="00E61103" w:rsidP="00E61103">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4"/>
          <w:szCs w:val="24"/>
        </w:rPr>
        <w:t xml:space="preserve">Supplementary </w:t>
      </w:r>
      <w:r w:rsidRPr="00620669">
        <w:rPr>
          <w:rFonts w:asciiTheme="majorBidi" w:eastAsia="Times New Roman" w:hAnsiTheme="majorBidi" w:cstheme="majorBidi"/>
          <w:b/>
          <w:bCs/>
          <w:sz w:val="24"/>
          <w:szCs w:val="24"/>
        </w:rPr>
        <w:t>Table 1.</w:t>
      </w:r>
      <w:r w:rsidRPr="00620669">
        <w:rPr>
          <w:rFonts w:asciiTheme="majorBidi" w:eastAsia="Times New Roman" w:hAnsiTheme="majorBidi" w:cstheme="majorBidi"/>
          <w:sz w:val="24"/>
          <w:szCs w:val="24"/>
        </w:rPr>
        <w:t xml:space="preserve"> Search strategy: Detailed queries </w:t>
      </w:r>
    </w:p>
    <w:p w14:paraId="39F8463B" w14:textId="77777777" w:rsidR="00E61103" w:rsidRPr="00620669" w:rsidRDefault="00E61103" w:rsidP="00E61103">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sz w:val="24"/>
          <w:szCs w:val="24"/>
        </w:rPr>
        <w:t xml:space="preserve"> </w:t>
      </w:r>
    </w:p>
    <w:tbl>
      <w:tblPr>
        <w:tblStyle w:val="TableGrid"/>
        <w:tblW w:w="0" w:type="auto"/>
        <w:tblLook w:val="04A0" w:firstRow="1" w:lastRow="0" w:firstColumn="1" w:lastColumn="0" w:noHBand="0" w:noVBand="1"/>
      </w:tblPr>
      <w:tblGrid>
        <w:gridCol w:w="1705"/>
        <w:gridCol w:w="2118"/>
        <w:gridCol w:w="2126"/>
        <w:gridCol w:w="3401"/>
      </w:tblGrid>
      <w:tr w:rsidR="00C61419" w:rsidRPr="00620669" w14:paraId="1F665A95" w14:textId="77777777" w:rsidTr="00C61419">
        <w:tc>
          <w:tcPr>
            <w:tcW w:w="1705" w:type="dxa"/>
            <w:tcBorders>
              <w:bottom w:val="single" w:sz="4" w:space="0" w:color="auto"/>
              <w:right w:val="nil"/>
            </w:tcBorders>
          </w:tcPr>
          <w:p w14:paraId="04AB25B8" w14:textId="77777777" w:rsidR="00E61103" w:rsidRPr="00620669" w:rsidRDefault="00E61103" w:rsidP="00DA039A">
            <w:pPr>
              <w:spacing w:after="0" w:line="360" w:lineRule="auto"/>
              <w:rPr>
                <w:rFonts w:asciiTheme="majorBidi" w:eastAsia="Times New Roman" w:hAnsiTheme="majorBidi" w:cstheme="majorBidi"/>
                <w:b/>
                <w:bCs/>
                <w:sz w:val="24"/>
                <w:szCs w:val="24"/>
              </w:rPr>
            </w:pPr>
            <w:r w:rsidRPr="00620669">
              <w:rPr>
                <w:rFonts w:asciiTheme="majorBidi" w:eastAsia="Times New Roman" w:hAnsiTheme="majorBidi" w:cstheme="majorBidi"/>
                <w:b/>
                <w:bCs/>
                <w:sz w:val="24"/>
                <w:szCs w:val="24"/>
              </w:rPr>
              <w:t>Search engine</w:t>
            </w:r>
          </w:p>
        </w:tc>
        <w:tc>
          <w:tcPr>
            <w:tcW w:w="2118" w:type="dxa"/>
            <w:tcBorders>
              <w:left w:val="nil"/>
              <w:bottom w:val="single" w:sz="4" w:space="0" w:color="auto"/>
              <w:right w:val="nil"/>
            </w:tcBorders>
          </w:tcPr>
          <w:p w14:paraId="34D2C6FB" w14:textId="77777777" w:rsidR="00E61103" w:rsidRPr="00620669" w:rsidRDefault="00E61103" w:rsidP="00DA039A">
            <w:pPr>
              <w:spacing w:after="0" w:line="360" w:lineRule="auto"/>
              <w:rPr>
                <w:rFonts w:asciiTheme="majorBidi" w:eastAsia="Times New Roman" w:hAnsiTheme="majorBidi" w:cstheme="majorBidi"/>
                <w:b/>
                <w:bCs/>
                <w:sz w:val="24"/>
                <w:szCs w:val="24"/>
              </w:rPr>
            </w:pPr>
            <w:r w:rsidRPr="00620669">
              <w:rPr>
                <w:rFonts w:asciiTheme="majorBidi" w:eastAsia="Times New Roman" w:hAnsiTheme="majorBidi" w:cstheme="majorBidi"/>
                <w:b/>
                <w:bCs/>
                <w:sz w:val="24"/>
                <w:szCs w:val="24"/>
              </w:rPr>
              <w:t>Database</w:t>
            </w:r>
          </w:p>
        </w:tc>
        <w:tc>
          <w:tcPr>
            <w:tcW w:w="2126" w:type="dxa"/>
            <w:tcBorders>
              <w:left w:val="nil"/>
              <w:bottom w:val="single" w:sz="4" w:space="0" w:color="auto"/>
              <w:right w:val="nil"/>
            </w:tcBorders>
          </w:tcPr>
          <w:p w14:paraId="15285B6F" w14:textId="77777777" w:rsidR="00E61103" w:rsidRPr="00620669" w:rsidRDefault="00E61103" w:rsidP="00DA039A">
            <w:pPr>
              <w:spacing w:after="0" w:line="360" w:lineRule="auto"/>
              <w:rPr>
                <w:rFonts w:asciiTheme="majorBidi" w:eastAsia="Times New Roman" w:hAnsiTheme="majorBidi" w:cstheme="majorBidi"/>
                <w:b/>
                <w:bCs/>
                <w:sz w:val="24"/>
                <w:szCs w:val="24"/>
              </w:rPr>
            </w:pPr>
            <w:r w:rsidRPr="00620669">
              <w:rPr>
                <w:rFonts w:asciiTheme="majorBidi" w:eastAsia="Times New Roman" w:hAnsiTheme="majorBidi" w:cstheme="majorBidi"/>
                <w:b/>
                <w:bCs/>
                <w:sz w:val="24"/>
                <w:szCs w:val="24"/>
              </w:rPr>
              <w:t>Query</w:t>
            </w:r>
          </w:p>
        </w:tc>
        <w:tc>
          <w:tcPr>
            <w:tcW w:w="3401" w:type="dxa"/>
            <w:tcBorders>
              <w:left w:val="nil"/>
              <w:bottom w:val="single" w:sz="4" w:space="0" w:color="auto"/>
            </w:tcBorders>
          </w:tcPr>
          <w:p w14:paraId="48487968" w14:textId="77777777" w:rsidR="00E61103" w:rsidRPr="00620669" w:rsidRDefault="00E61103" w:rsidP="00DA039A">
            <w:pPr>
              <w:spacing w:after="0" w:line="360" w:lineRule="auto"/>
              <w:rPr>
                <w:rFonts w:asciiTheme="majorBidi" w:eastAsia="Times New Roman" w:hAnsiTheme="majorBidi" w:cstheme="majorBidi"/>
                <w:b/>
                <w:bCs/>
                <w:sz w:val="24"/>
                <w:szCs w:val="24"/>
              </w:rPr>
            </w:pPr>
            <w:r w:rsidRPr="00620669">
              <w:rPr>
                <w:rFonts w:asciiTheme="majorBidi" w:eastAsia="Times New Roman" w:hAnsiTheme="majorBidi" w:cstheme="majorBidi"/>
                <w:b/>
                <w:bCs/>
                <w:sz w:val="24"/>
                <w:szCs w:val="24"/>
              </w:rPr>
              <w:t>Number of articles found (Results from July 2022)</w:t>
            </w:r>
          </w:p>
        </w:tc>
      </w:tr>
      <w:tr w:rsidR="008A4C87" w:rsidRPr="00620669" w14:paraId="7C527713" w14:textId="77777777" w:rsidTr="00C61419">
        <w:tc>
          <w:tcPr>
            <w:tcW w:w="1705" w:type="dxa"/>
            <w:vMerge w:val="restart"/>
            <w:tcBorders>
              <w:bottom w:val="nil"/>
              <w:right w:val="nil"/>
            </w:tcBorders>
          </w:tcPr>
          <w:p w14:paraId="34ADCAC4" w14:textId="77777777" w:rsidR="008A4C87" w:rsidRPr="00620669" w:rsidRDefault="008A4C87" w:rsidP="00DA039A">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sz w:val="24"/>
                <w:szCs w:val="24"/>
              </w:rPr>
              <w:t>Saudi digital library</w:t>
            </w:r>
          </w:p>
        </w:tc>
        <w:tc>
          <w:tcPr>
            <w:tcW w:w="2118" w:type="dxa"/>
            <w:tcBorders>
              <w:left w:val="nil"/>
              <w:bottom w:val="nil"/>
              <w:right w:val="nil"/>
            </w:tcBorders>
          </w:tcPr>
          <w:p w14:paraId="0A48835E" w14:textId="77777777" w:rsidR="008A4C87" w:rsidRPr="00620669" w:rsidRDefault="008A4C87" w:rsidP="00DA039A">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sz w:val="24"/>
                <w:szCs w:val="24"/>
              </w:rPr>
              <w:t>MEDLINE</w:t>
            </w:r>
          </w:p>
        </w:tc>
        <w:tc>
          <w:tcPr>
            <w:tcW w:w="2126" w:type="dxa"/>
            <w:vMerge w:val="restart"/>
            <w:tcBorders>
              <w:left w:val="nil"/>
              <w:right w:val="nil"/>
            </w:tcBorders>
          </w:tcPr>
          <w:p w14:paraId="1AE46F8A" w14:textId="258EE599" w:rsidR="008A4C87" w:rsidRPr="00620669" w:rsidRDefault="008A4C87" w:rsidP="00DA039A">
            <w:pPr>
              <w:spacing w:after="0" w:line="360" w:lineRule="auto"/>
              <w:rPr>
                <w:rFonts w:asciiTheme="majorBidi" w:eastAsia="Times New Roman" w:hAnsiTheme="majorBidi" w:cstheme="majorBidi"/>
                <w:sz w:val="24"/>
                <w:szCs w:val="24"/>
              </w:rPr>
            </w:pPr>
            <w:r w:rsidRPr="00620669">
              <w:rPr>
                <w:rFonts w:asciiTheme="majorBidi" w:hAnsiTheme="majorBidi" w:cstheme="majorBidi"/>
                <w:color w:val="000000"/>
              </w:rPr>
              <w:t>(‘COVID-19’ OR ‘SARS-CoV-2’) AND (‘Autoimmune Diseases’ OR ‘Type 1 Diabetes Mellitus’ OR ‘Autoimmune Disorder’ OR ‘Autoimmunity’) AND (‘Vaccines’ OR ‘COVID-19 Vaccines’ OR ‘Immunization’)</w:t>
            </w:r>
          </w:p>
        </w:tc>
        <w:tc>
          <w:tcPr>
            <w:tcW w:w="3401" w:type="dxa"/>
            <w:tcBorders>
              <w:left w:val="nil"/>
              <w:bottom w:val="nil"/>
            </w:tcBorders>
          </w:tcPr>
          <w:p w14:paraId="4897B210" w14:textId="77777777" w:rsidR="008A4C87" w:rsidRPr="00620669" w:rsidRDefault="008A4C87" w:rsidP="00DA039A">
            <w:pPr>
              <w:shd w:val="clear" w:color="auto" w:fill="FFFFFF"/>
              <w:spacing w:after="120" w:line="240" w:lineRule="auto"/>
              <w:jc w:val="center"/>
              <w:outlineLvl w:val="2"/>
              <w:rPr>
                <w:rFonts w:asciiTheme="majorBidi" w:eastAsia="Times New Roman" w:hAnsiTheme="majorBidi" w:cstheme="majorBidi"/>
              </w:rPr>
            </w:pPr>
            <w:r w:rsidRPr="00620669">
              <w:rPr>
                <w:rFonts w:asciiTheme="majorBidi" w:hAnsiTheme="majorBidi" w:cstheme="majorBidi"/>
                <w:color w:val="000000" w:themeColor="text1"/>
              </w:rPr>
              <w:t>198</w:t>
            </w:r>
          </w:p>
          <w:p w14:paraId="7E96DABD" w14:textId="77777777" w:rsidR="008A4C87" w:rsidRPr="00620669" w:rsidRDefault="008A4C87" w:rsidP="00DA039A">
            <w:pPr>
              <w:spacing w:after="0" w:line="360" w:lineRule="auto"/>
              <w:jc w:val="center"/>
              <w:rPr>
                <w:rFonts w:asciiTheme="majorBidi" w:eastAsia="Times New Roman" w:hAnsiTheme="majorBidi" w:cstheme="majorBidi"/>
              </w:rPr>
            </w:pPr>
          </w:p>
        </w:tc>
      </w:tr>
      <w:tr w:rsidR="008A4C87" w:rsidRPr="00620669" w14:paraId="7E68CAAF" w14:textId="77777777" w:rsidTr="00C61419">
        <w:tc>
          <w:tcPr>
            <w:tcW w:w="1705" w:type="dxa"/>
            <w:vMerge/>
            <w:tcBorders>
              <w:top w:val="nil"/>
              <w:bottom w:val="nil"/>
              <w:right w:val="nil"/>
            </w:tcBorders>
          </w:tcPr>
          <w:p w14:paraId="02AEFBD5" w14:textId="77777777" w:rsidR="008A4C87" w:rsidRPr="00620669" w:rsidRDefault="008A4C87" w:rsidP="00DA039A">
            <w:pPr>
              <w:spacing w:after="0" w:line="360" w:lineRule="auto"/>
              <w:rPr>
                <w:rFonts w:asciiTheme="majorBidi" w:eastAsia="Times New Roman" w:hAnsiTheme="majorBidi" w:cstheme="majorBidi"/>
                <w:sz w:val="24"/>
                <w:szCs w:val="24"/>
              </w:rPr>
            </w:pPr>
          </w:p>
        </w:tc>
        <w:tc>
          <w:tcPr>
            <w:tcW w:w="2118" w:type="dxa"/>
            <w:tcBorders>
              <w:top w:val="nil"/>
              <w:left w:val="nil"/>
              <w:bottom w:val="nil"/>
              <w:right w:val="nil"/>
            </w:tcBorders>
          </w:tcPr>
          <w:p w14:paraId="0DFFCB76" w14:textId="77777777" w:rsidR="008A4C87" w:rsidRPr="00620669" w:rsidRDefault="008A4C87" w:rsidP="00DA039A">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sz w:val="24"/>
                <w:szCs w:val="24"/>
              </w:rPr>
              <w:t>Scopus</w:t>
            </w:r>
          </w:p>
        </w:tc>
        <w:tc>
          <w:tcPr>
            <w:tcW w:w="2126" w:type="dxa"/>
            <w:vMerge/>
            <w:tcBorders>
              <w:left w:val="nil"/>
              <w:right w:val="nil"/>
            </w:tcBorders>
          </w:tcPr>
          <w:p w14:paraId="292D205F" w14:textId="77777777" w:rsidR="008A4C87" w:rsidRPr="00620669" w:rsidRDefault="008A4C87" w:rsidP="00DA039A">
            <w:pPr>
              <w:spacing w:after="0" w:line="360" w:lineRule="auto"/>
              <w:rPr>
                <w:rFonts w:asciiTheme="majorBidi" w:eastAsia="Times New Roman" w:hAnsiTheme="majorBidi" w:cstheme="majorBidi"/>
                <w:sz w:val="24"/>
                <w:szCs w:val="24"/>
              </w:rPr>
            </w:pPr>
          </w:p>
        </w:tc>
        <w:tc>
          <w:tcPr>
            <w:tcW w:w="3401" w:type="dxa"/>
            <w:tcBorders>
              <w:top w:val="nil"/>
              <w:left w:val="nil"/>
              <w:bottom w:val="nil"/>
            </w:tcBorders>
          </w:tcPr>
          <w:p w14:paraId="433FB753" w14:textId="77777777" w:rsidR="008A4C87" w:rsidRPr="00620669" w:rsidRDefault="008A4C87" w:rsidP="00DA039A">
            <w:pPr>
              <w:spacing w:after="0" w:line="360" w:lineRule="auto"/>
              <w:jc w:val="center"/>
              <w:rPr>
                <w:rFonts w:asciiTheme="majorBidi" w:eastAsia="Times New Roman" w:hAnsiTheme="majorBidi" w:cstheme="majorBidi"/>
              </w:rPr>
            </w:pPr>
            <w:r w:rsidRPr="00620669">
              <w:rPr>
                <w:rFonts w:asciiTheme="majorBidi" w:hAnsiTheme="majorBidi" w:cstheme="majorBidi"/>
                <w:color w:val="000000" w:themeColor="text1"/>
              </w:rPr>
              <w:t>5</w:t>
            </w:r>
          </w:p>
        </w:tc>
      </w:tr>
      <w:tr w:rsidR="008A4C87" w:rsidRPr="00620669" w14:paraId="3C9D5973" w14:textId="77777777" w:rsidTr="00C61419">
        <w:tc>
          <w:tcPr>
            <w:tcW w:w="1705" w:type="dxa"/>
            <w:vMerge/>
            <w:tcBorders>
              <w:top w:val="nil"/>
              <w:bottom w:val="nil"/>
              <w:right w:val="nil"/>
            </w:tcBorders>
          </w:tcPr>
          <w:p w14:paraId="15348C1F" w14:textId="77777777" w:rsidR="008A4C87" w:rsidRPr="00620669" w:rsidRDefault="008A4C87" w:rsidP="00DA039A">
            <w:pPr>
              <w:spacing w:after="0" w:line="360" w:lineRule="auto"/>
              <w:rPr>
                <w:rFonts w:asciiTheme="majorBidi" w:eastAsia="Times New Roman" w:hAnsiTheme="majorBidi" w:cstheme="majorBidi"/>
                <w:sz w:val="24"/>
                <w:szCs w:val="24"/>
              </w:rPr>
            </w:pPr>
          </w:p>
        </w:tc>
        <w:tc>
          <w:tcPr>
            <w:tcW w:w="2118" w:type="dxa"/>
            <w:tcBorders>
              <w:top w:val="nil"/>
              <w:left w:val="nil"/>
              <w:bottom w:val="nil"/>
              <w:right w:val="nil"/>
            </w:tcBorders>
          </w:tcPr>
          <w:p w14:paraId="1BF02E25" w14:textId="77777777" w:rsidR="008A4C87" w:rsidRPr="00620669" w:rsidRDefault="008A4C87" w:rsidP="00DA039A">
            <w:pPr>
              <w:spacing w:after="0" w:line="360" w:lineRule="auto"/>
              <w:rPr>
                <w:rFonts w:asciiTheme="majorBidi" w:eastAsia="Times New Roman" w:hAnsiTheme="majorBidi" w:cstheme="majorBidi"/>
                <w:sz w:val="24"/>
                <w:szCs w:val="24"/>
              </w:rPr>
            </w:pPr>
            <w:r w:rsidRPr="00620669">
              <w:rPr>
                <w:rFonts w:asciiTheme="majorBidi" w:hAnsiTheme="majorBidi" w:cstheme="majorBidi"/>
                <w:color w:val="000000"/>
              </w:rPr>
              <w:t>The Directory of Open Access Journal</w:t>
            </w:r>
          </w:p>
        </w:tc>
        <w:tc>
          <w:tcPr>
            <w:tcW w:w="2126" w:type="dxa"/>
            <w:vMerge/>
            <w:tcBorders>
              <w:left w:val="nil"/>
              <w:right w:val="nil"/>
            </w:tcBorders>
          </w:tcPr>
          <w:p w14:paraId="682713B6" w14:textId="77777777" w:rsidR="008A4C87" w:rsidRPr="00620669" w:rsidRDefault="008A4C87" w:rsidP="00DA039A">
            <w:pPr>
              <w:spacing w:after="0" w:line="360" w:lineRule="auto"/>
              <w:rPr>
                <w:rFonts w:asciiTheme="majorBidi" w:eastAsia="Times New Roman" w:hAnsiTheme="majorBidi" w:cstheme="majorBidi"/>
                <w:sz w:val="24"/>
                <w:szCs w:val="24"/>
              </w:rPr>
            </w:pPr>
          </w:p>
        </w:tc>
        <w:tc>
          <w:tcPr>
            <w:tcW w:w="3401" w:type="dxa"/>
            <w:tcBorders>
              <w:top w:val="nil"/>
              <w:left w:val="nil"/>
              <w:bottom w:val="nil"/>
            </w:tcBorders>
          </w:tcPr>
          <w:p w14:paraId="3E2C17E4" w14:textId="77777777" w:rsidR="008A4C87" w:rsidRPr="00620669" w:rsidRDefault="008A4C87" w:rsidP="00DA039A">
            <w:pPr>
              <w:spacing w:after="0" w:line="360" w:lineRule="auto"/>
              <w:jc w:val="center"/>
              <w:rPr>
                <w:rFonts w:asciiTheme="majorBidi" w:eastAsia="Times New Roman" w:hAnsiTheme="majorBidi" w:cstheme="majorBidi"/>
              </w:rPr>
            </w:pPr>
            <w:r w:rsidRPr="00620669">
              <w:rPr>
                <w:rFonts w:asciiTheme="majorBidi" w:hAnsiTheme="majorBidi" w:cstheme="majorBidi"/>
                <w:color w:val="000000" w:themeColor="text1"/>
              </w:rPr>
              <w:t>859</w:t>
            </w:r>
          </w:p>
        </w:tc>
      </w:tr>
      <w:tr w:rsidR="008A4C87" w:rsidRPr="00620669" w14:paraId="0BA1A389" w14:textId="77777777" w:rsidTr="00C61419">
        <w:tc>
          <w:tcPr>
            <w:tcW w:w="1705" w:type="dxa"/>
            <w:tcBorders>
              <w:top w:val="nil"/>
              <w:right w:val="nil"/>
            </w:tcBorders>
          </w:tcPr>
          <w:p w14:paraId="7B7D5F86" w14:textId="77777777" w:rsidR="008A4C87" w:rsidRPr="00620669" w:rsidRDefault="008A4C87" w:rsidP="00DA039A">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sz w:val="24"/>
                <w:szCs w:val="24"/>
              </w:rPr>
              <w:t xml:space="preserve">Google scholar </w:t>
            </w:r>
          </w:p>
        </w:tc>
        <w:tc>
          <w:tcPr>
            <w:tcW w:w="2118" w:type="dxa"/>
            <w:tcBorders>
              <w:top w:val="nil"/>
              <w:left w:val="nil"/>
              <w:right w:val="nil"/>
            </w:tcBorders>
          </w:tcPr>
          <w:p w14:paraId="13C69437" w14:textId="77777777" w:rsidR="008A4C87" w:rsidRPr="00620669" w:rsidRDefault="008A4C87" w:rsidP="00DA039A">
            <w:pPr>
              <w:spacing w:after="0" w:line="360" w:lineRule="auto"/>
              <w:rPr>
                <w:rFonts w:asciiTheme="majorBidi" w:eastAsia="Times New Roman" w:hAnsiTheme="majorBidi" w:cstheme="majorBidi"/>
                <w:sz w:val="24"/>
                <w:szCs w:val="24"/>
              </w:rPr>
            </w:pPr>
          </w:p>
        </w:tc>
        <w:tc>
          <w:tcPr>
            <w:tcW w:w="2126" w:type="dxa"/>
            <w:vMerge/>
            <w:tcBorders>
              <w:left w:val="nil"/>
              <w:right w:val="nil"/>
            </w:tcBorders>
          </w:tcPr>
          <w:p w14:paraId="4430B143" w14:textId="6C9CE36D" w:rsidR="008A4C87" w:rsidRPr="00620669" w:rsidRDefault="008A4C87" w:rsidP="00DA039A">
            <w:pPr>
              <w:spacing w:after="0" w:line="360" w:lineRule="auto"/>
              <w:rPr>
                <w:rFonts w:asciiTheme="majorBidi" w:eastAsia="Times New Roman" w:hAnsiTheme="majorBidi" w:cstheme="majorBidi"/>
                <w:sz w:val="24"/>
                <w:szCs w:val="24"/>
              </w:rPr>
            </w:pPr>
          </w:p>
        </w:tc>
        <w:tc>
          <w:tcPr>
            <w:tcW w:w="3401" w:type="dxa"/>
            <w:tcBorders>
              <w:top w:val="nil"/>
              <w:left w:val="nil"/>
            </w:tcBorders>
          </w:tcPr>
          <w:p w14:paraId="1B0D226C" w14:textId="77777777" w:rsidR="008A4C87" w:rsidRPr="00620669" w:rsidRDefault="008A4C87" w:rsidP="00DA039A">
            <w:pPr>
              <w:spacing w:after="0" w:line="360" w:lineRule="auto"/>
              <w:jc w:val="center"/>
              <w:rPr>
                <w:rFonts w:asciiTheme="majorBidi" w:eastAsia="Times New Roman" w:hAnsiTheme="majorBidi" w:cstheme="majorBidi"/>
              </w:rPr>
            </w:pPr>
            <w:r w:rsidRPr="00620669">
              <w:rPr>
                <w:rFonts w:asciiTheme="majorBidi" w:eastAsia="Times New Roman" w:hAnsiTheme="majorBidi" w:cstheme="majorBidi"/>
              </w:rPr>
              <w:t xml:space="preserve">15,900 </w:t>
            </w:r>
          </w:p>
          <w:p w14:paraId="61EE3CDC" w14:textId="5C3D406E" w:rsidR="008A4C87" w:rsidRPr="00620669" w:rsidRDefault="008A4C87" w:rsidP="00DA039A">
            <w:pPr>
              <w:spacing w:after="0" w:line="360" w:lineRule="auto"/>
              <w:jc w:val="center"/>
              <w:rPr>
                <w:rFonts w:asciiTheme="majorBidi" w:eastAsia="Times New Roman" w:hAnsiTheme="majorBidi" w:cstheme="majorBidi"/>
              </w:rPr>
            </w:pPr>
            <w:r w:rsidRPr="00620669">
              <w:rPr>
                <w:rFonts w:asciiTheme="majorBidi" w:eastAsia="Times New Roman" w:hAnsiTheme="majorBidi" w:cstheme="majorBidi"/>
              </w:rPr>
              <w:t xml:space="preserve">(From which we </w:t>
            </w:r>
            <w:r w:rsidR="00DE03E2" w:rsidRPr="00620669">
              <w:rPr>
                <w:rFonts w:asciiTheme="majorBidi" w:eastAsia="Times New Roman" w:hAnsiTheme="majorBidi" w:cstheme="majorBidi"/>
              </w:rPr>
              <w:t>considered</w:t>
            </w:r>
            <w:r w:rsidRPr="00620669">
              <w:rPr>
                <w:rFonts w:asciiTheme="majorBidi" w:eastAsia="Times New Roman" w:hAnsiTheme="majorBidi" w:cstheme="majorBidi"/>
              </w:rPr>
              <w:t xml:space="preserve"> the first 10 pages </w:t>
            </w:r>
            <w:r w:rsidR="00DE03E2" w:rsidRPr="00620669">
              <w:rPr>
                <w:rFonts w:asciiTheme="majorBidi" w:eastAsia="Times New Roman" w:hAnsiTheme="majorBidi" w:cstheme="majorBidi"/>
              </w:rPr>
              <w:t>“</w:t>
            </w:r>
            <w:r w:rsidR="00AD347C" w:rsidRPr="00620669">
              <w:rPr>
                <w:rFonts w:asciiTheme="majorBidi" w:eastAsia="Times New Roman" w:hAnsiTheme="majorBidi" w:cstheme="majorBidi"/>
              </w:rPr>
              <w:t>m</w:t>
            </w:r>
            <w:r w:rsidRPr="00620669">
              <w:rPr>
                <w:rFonts w:asciiTheme="majorBidi" w:eastAsia="Times New Roman" w:hAnsiTheme="majorBidi" w:cstheme="majorBidi"/>
              </w:rPr>
              <w:t>ost relevant topics</w:t>
            </w:r>
            <w:r w:rsidR="00DE03E2" w:rsidRPr="00620669">
              <w:rPr>
                <w:rFonts w:asciiTheme="majorBidi" w:eastAsia="Times New Roman" w:hAnsiTheme="majorBidi" w:cstheme="majorBidi"/>
              </w:rPr>
              <w:t>”</w:t>
            </w:r>
            <w:r w:rsidRPr="00620669">
              <w:rPr>
                <w:rFonts w:asciiTheme="majorBidi" w:eastAsia="Times New Roman" w:hAnsiTheme="majorBidi" w:cstheme="majorBidi"/>
              </w:rPr>
              <w:t xml:space="preserve"> accounting for 200 articles</w:t>
            </w:r>
            <w:r w:rsidR="00DE03E2" w:rsidRPr="00620669">
              <w:rPr>
                <w:rFonts w:asciiTheme="majorBidi" w:eastAsia="Times New Roman" w:hAnsiTheme="majorBidi" w:cstheme="majorBidi"/>
              </w:rPr>
              <w:t>)</w:t>
            </w:r>
          </w:p>
        </w:tc>
      </w:tr>
    </w:tbl>
    <w:p w14:paraId="49B8AC52" w14:textId="77777777" w:rsidR="00E61103" w:rsidRPr="00620669" w:rsidRDefault="00E61103" w:rsidP="00325075">
      <w:pPr>
        <w:spacing w:after="0" w:line="360" w:lineRule="auto"/>
        <w:rPr>
          <w:rFonts w:asciiTheme="majorBidi" w:eastAsia="Times New Roman" w:hAnsiTheme="majorBidi" w:cstheme="majorBidi"/>
          <w:b/>
          <w:bCs/>
          <w:color w:val="000000"/>
          <w:sz w:val="24"/>
          <w:szCs w:val="24"/>
        </w:rPr>
      </w:pPr>
    </w:p>
    <w:p w14:paraId="16D80FFC" w14:textId="06005763" w:rsidR="00325075" w:rsidRPr="00620669" w:rsidRDefault="00325075" w:rsidP="00325075">
      <w:pPr>
        <w:spacing w:after="0" w:line="360" w:lineRule="auto"/>
        <w:rPr>
          <w:rFonts w:asciiTheme="majorBidi" w:eastAsia="Times New Roman" w:hAnsiTheme="majorBidi" w:cstheme="majorBidi"/>
          <w:b/>
          <w:bCs/>
          <w:color w:val="000000"/>
          <w:sz w:val="24"/>
          <w:szCs w:val="24"/>
        </w:rPr>
      </w:pPr>
      <w:r w:rsidRPr="00620669">
        <w:rPr>
          <w:rFonts w:asciiTheme="majorBidi" w:eastAsia="Times New Roman" w:hAnsiTheme="majorBidi" w:cstheme="majorBidi"/>
          <w:b/>
          <w:bCs/>
          <w:color w:val="000000"/>
          <w:sz w:val="24"/>
          <w:szCs w:val="24"/>
        </w:rPr>
        <w:t xml:space="preserve">Supplementary Table </w:t>
      </w:r>
      <w:r w:rsidR="00E61103" w:rsidRPr="00620669">
        <w:rPr>
          <w:rFonts w:asciiTheme="majorBidi" w:eastAsia="Times New Roman" w:hAnsiTheme="majorBidi" w:cstheme="majorBidi"/>
          <w:b/>
          <w:bCs/>
          <w:color w:val="000000"/>
          <w:sz w:val="24"/>
          <w:szCs w:val="24"/>
        </w:rPr>
        <w:t>2</w:t>
      </w:r>
      <w:r w:rsidRPr="00620669">
        <w:rPr>
          <w:rFonts w:asciiTheme="majorBidi" w:eastAsia="Times New Roman" w:hAnsiTheme="majorBidi" w:cstheme="majorBidi"/>
          <w:b/>
          <w:bCs/>
          <w:color w:val="000000"/>
          <w:sz w:val="24"/>
          <w:szCs w:val="24"/>
        </w:rPr>
        <w:t xml:space="preserve">. </w:t>
      </w:r>
      <w:r w:rsidRPr="00620669">
        <w:rPr>
          <w:rFonts w:asciiTheme="majorBidi" w:eastAsia="Times New Roman" w:hAnsiTheme="majorBidi" w:cstheme="majorBidi"/>
          <w:color w:val="000000"/>
          <w:sz w:val="24"/>
          <w:szCs w:val="24"/>
        </w:rPr>
        <w:t>Signs, symptoms</w:t>
      </w:r>
      <w:r w:rsidRPr="00620669">
        <w:rPr>
          <w:rFonts w:asciiTheme="majorBidi" w:eastAsia="Times New Roman" w:hAnsiTheme="majorBidi" w:cstheme="majorBidi"/>
          <w:b/>
          <w:bCs/>
          <w:color w:val="000000"/>
          <w:sz w:val="24"/>
          <w:szCs w:val="24"/>
        </w:rPr>
        <w:t xml:space="preserve">, </w:t>
      </w:r>
      <w:r w:rsidRPr="00620669">
        <w:rPr>
          <w:rFonts w:asciiTheme="majorBidi" w:eastAsia="Times New Roman" w:hAnsiTheme="majorBidi" w:cstheme="majorBidi"/>
          <w:color w:val="000000"/>
          <w:sz w:val="24"/>
          <w:szCs w:val="24"/>
        </w:rPr>
        <w:t>and</w:t>
      </w:r>
      <w:r w:rsidRPr="00620669">
        <w:rPr>
          <w:rFonts w:asciiTheme="majorBidi" w:eastAsia="Times New Roman" w:hAnsiTheme="majorBidi" w:cstheme="majorBidi"/>
          <w:b/>
          <w:bCs/>
          <w:color w:val="000000"/>
          <w:sz w:val="24"/>
          <w:szCs w:val="24"/>
        </w:rPr>
        <w:t xml:space="preserve"> </w:t>
      </w:r>
      <w:r w:rsidRPr="00620669">
        <w:rPr>
          <w:rFonts w:asciiTheme="majorBidi" w:eastAsia="Times New Roman" w:hAnsiTheme="majorBidi" w:cstheme="majorBidi"/>
          <w:color w:val="000000"/>
          <w:sz w:val="24"/>
          <w:szCs w:val="24"/>
        </w:rPr>
        <w:t xml:space="preserve">management, </w:t>
      </w:r>
    </w:p>
    <w:p w14:paraId="79E9F75B" w14:textId="77777777" w:rsidR="00325075" w:rsidRPr="00620669" w:rsidRDefault="00325075" w:rsidP="00325075">
      <w:pPr>
        <w:spacing w:after="0" w:line="360" w:lineRule="auto"/>
        <w:rPr>
          <w:rFonts w:asciiTheme="majorBidi" w:eastAsia="Times New Roman" w:hAnsiTheme="majorBidi" w:cstheme="majorBidi"/>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tblBorders>
        <w:tblCellMar>
          <w:top w:w="15" w:type="dxa"/>
          <w:left w:w="15" w:type="dxa"/>
          <w:bottom w:w="15" w:type="dxa"/>
          <w:right w:w="15" w:type="dxa"/>
        </w:tblCellMar>
        <w:tblLook w:val="04A0" w:firstRow="1" w:lastRow="0" w:firstColumn="1" w:lastColumn="0" w:noHBand="0" w:noVBand="1"/>
      </w:tblPr>
      <w:tblGrid>
        <w:gridCol w:w="1319"/>
        <w:gridCol w:w="2124"/>
        <w:gridCol w:w="3093"/>
        <w:gridCol w:w="2804"/>
      </w:tblGrid>
      <w:tr w:rsidR="00325075" w:rsidRPr="00620669" w14:paraId="6FF489FA" w14:textId="77777777" w:rsidTr="001F1155">
        <w:trPr>
          <w:trHeight w:val="133"/>
        </w:trPr>
        <w:tc>
          <w:tcPr>
            <w:tcW w:w="1253" w:type="dxa"/>
            <w:shd w:val="clear" w:color="auto" w:fill="auto"/>
            <w:tcMar>
              <w:top w:w="100" w:type="dxa"/>
              <w:left w:w="100" w:type="dxa"/>
              <w:bottom w:w="100" w:type="dxa"/>
              <w:right w:w="100" w:type="dxa"/>
            </w:tcMar>
            <w:hideMark/>
          </w:tcPr>
          <w:p w14:paraId="1FC362D5" w14:textId="77777777" w:rsidR="00325075" w:rsidRPr="00620669" w:rsidRDefault="00325075" w:rsidP="00C546DE">
            <w:pPr>
              <w:spacing w:after="0" w:line="360" w:lineRule="auto"/>
              <w:rPr>
                <w:rFonts w:asciiTheme="majorBidi" w:eastAsia="Times New Roman" w:hAnsiTheme="majorBidi" w:cstheme="majorBidi"/>
                <w:b/>
                <w:bCs/>
                <w:sz w:val="24"/>
                <w:szCs w:val="24"/>
              </w:rPr>
            </w:pPr>
            <w:r w:rsidRPr="00620669">
              <w:rPr>
                <w:rFonts w:asciiTheme="majorBidi" w:eastAsia="Times New Roman" w:hAnsiTheme="majorBidi" w:cstheme="majorBidi"/>
                <w:b/>
                <w:bCs/>
                <w:color w:val="000000"/>
                <w:sz w:val="24"/>
                <w:szCs w:val="24"/>
              </w:rPr>
              <w:t>First author (reference)</w:t>
            </w:r>
          </w:p>
        </w:tc>
        <w:tc>
          <w:tcPr>
            <w:tcW w:w="2139" w:type="dxa"/>
          </w:tcPr>
          <w:p w14:paraId="25B35A20" w14:textId="77777777" w:rsidR="00325075" w:rsidRPr="00620669" w:rsidRDefault="00325075" w:rsidP="00C546DE">
            <w:pPr>
              <w:spacing w:after="0" w:line="360" w:lineRule="auto"/>
              <w:rPr>
                <w:rFonts w:asciiTheme="majorBidi" w:eastAsia="Times New Roman" w:hAnsiTheme="majorBidi" w:cstheme="majorBidi"/>
                <w:b/>
                <w:bCs/>
                <w:color w:val="000000"/>
              </w:rPr>
            </w:pPr>
            <w:r w:rsidRPr="00620669">
              <w:rPr>
                <w:rFonts w:asciiTheme="majorBidi" w:eastAsia="Times New Roman" w:hAnsiTheme="majorBidi" w:cstheme="majorBidi"/>
                <w:b/>
                <w:bCs/>
                <w:color w:val="000000"/>
                <w:sz w:val="24"/>
                <w:szCs w:val="24"/>
              </w:rPr>
              <w:t>Signs and symptoms </w:t>
            </w:r>
          </w:p>
        </w:tc>
        <w:tc>
          <w:tcPr>
            <w:tcW w:w="3119" w:type="dxa"/>
            <w:shd w:val="clear" w:color="auto" w:fill="auto"/>
            <w:tcMar>
              <w:top w:w="100" w:type="dxa"/>
              <w:left w:w="100" w:type="dxa"/>
              <w:bottom w:w="100" w:type="dxa"/>
              <w:right w:w="100" w:type="dxa"/>
            </w:tcMar>
            <w:hideMark/>
          </w:tcPr>
          <w:p w14:paraId="6C9541CF" w14:textId="77777777" w:rsidR="00325075" w:rsidRPr="00620669" w:rsidRDefault="00325075" w:rsidP="00C546DE">
            <w:pPr>
              <w:spacing w:after="0" w:line="360" w:lineRule="auto"/>
              <w:rPr>
                <w:rFonts w:asciiTheme="majorBidi" w:eastAsia="Times New Roman" w:hAnsiTheme="majorBidi" w:cstheme="majorBidi"/>
                <w:b/>
                <w:bCs/>
                <w:sz w:val="24"/>
                <w:szCs w:val="24"/>
              </w:rPr>
            </w:pPr>
            <w:r w:rsidRPr="00620669">
              <w:rPr>
                <w:rFonts w:asciiTheme="majorBidi" w:eastAsia="Times New Roman" w:hAnsiTheme="majorBidi" w:cstheme="majorBidi"/>
                <w:b/>
                <w:bCs/>
                <w:color w:val="000000"/>
              </w:rPr>
              <w:t>Management </w:t>
            </w:r>
          </w:p>
        </w:tc>
        <w:tc>
          <w:tcPr>
            <w:tcW w:w="2829" w:type="dxa"/>
            <w:shd w:val="clear" w:color="auto" w:fill="auto"/>
            <w:tcMar>
              <w:top w:w="100" w:type="dxa"/>
              <w:left w:w="100" w:type="dxa"/>
              <w:bottom w:w="100" w:type="dxa"/>
              <w:right w:w="100" w:type="dxa"/>
            </w:tcMar>
            <w:hideMark/>
          </w:tcPr>
          <w:p w14:paraId="350A8747" w14:textId="77777777" w:rsidR="00325075" w:rsidRPr="00620669" w:rsidRDefault="00325075" w:rsidP="00C546DE">
            <w:pPr>
              <w:spacing w:after="0" w:line="360" w:lineRule="auto"/>
              <w:rPr>
                <w:rFonts w:asciiTheme="majorBidi" w:eastAsia="Times New Roman" w:hAnsiTheme="majorBidi" w:cstheme="majorBidi"/>
                <w:b/>
                <w:bCs/>
                <w:sz w:val="24"/>
                <w:szCs w:val="24"/>
              </w:rPr>
            </w:pPr>
            <w:r w:rsidRPr="00620669">
              <w:rPr>
                <w:rFonts w:asciiTheme="majorBidi" w:eastAsia="Times New Roman" w:hAnsiTheme="majorBidi" w:cstheme="majorBidi"/>
                <w:b/>
                <w:bCs/>
                <w:color w:val="000000"/>
              </w:rPr>
              <w:t>Response</w:t>
            </w:r>
          </w:p>
        </w:tc>
      </w:tr>
      <w:tr w:rsidR="00761827" w:rsidRPr="00620669" w14:paraId="529E7B13" w14:textId="77777777" w:rsidTr="001F1155">
        <w:tc>
          <w:tcPr>
            <w:tcW w:w="1253" w:type="dxa"/>
            <w:shd w:val="clear" w:color="auto" w:fill="auto"/>
            <w:tcMar>
              <w:top w:w="100" w:type="dxa"/>
              <w:left w:w="100" w:type="dxa"/>
              <w:bottom w:w="100" w:type="dxa"/>
              <w:right w:w="100" w:type="dxa"/>
            </w:tcMar>
            <w:hideMark/>
          </w:tcPr>
          <w:p w14:paraId="135E3E33" w14:textId="462C64E9"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 xml:space="preserve">Yano 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{"citationItems":[{"id":"ITEM-1","itemData":{"DOI":"10.2169/INTERNALMEDICINE.9004-21","ISSN":"1349-7235","PMID":"35135929","abstract":"During the ongoing coronavirus disease 2019 (COVID-19) pandemic, it is critical to ensure the safety of COVID-19 vaccines. We herein report a 51-year-old Japanese woman who developed acute-onset type 1 diabetes with diabetic ketoacidosis six weeks after receiving the first dose of a COVID-19 messenger ribonucleic acid (mRNA) vaccine. Laboratory tests indicated exhaustion of endogenous insulin secretion, a positive result for insulin autoantibody, and latent thyroid autoimmunity. Human leukocyte antigen typing was homozygous for DRB1*09:01-DQB1*03:03 haplotypes. This case suggests that COVID-19 vaccination can induce type 1 diabetes in some individuals with a genetic predisposition.","author":[{"dropping-particle":"","family":"Yano","given":"Masahiro","non-dropping-particle":"","parse-names":false,"suffix":""},{"dropping-particle":"","family":"Morioka","given":"Tomoaki","non-dropping-particle":"","parse-names":false,"suffix":""},{"dropping-particle":"","family":"Natsuki","given":"Yuka","non-dropping-particle":"","parse-names":false,"suffix":""},{"dropping-particle":"","family":"Sasaki","given":"Keyaki","non-dropping-particle":"","parse-names":false,"suffix":""},{"dropping-particle":"","family":"Kakutani","given":"Yoshinori","non-dropping-particle":"","parse-names":false,"suffix":""},{"dropping-particle":"","family":"Ochi","given":"Akinobu","non-dropping-particle":"","parse-names":false,"suffix":""},{"dropping-particle":"","family":"Yamazaki","given":"Yuko","non-dropping-particle":"","parse-names":false,"suffix":""},{"dropping-particle":"","family":"Shoji","given":"Tetsuo","non-dropping-particle":"","parse-names":false,"suffix":""},{"dropping-particle":"","family":"Emoto","given":"Masanori","non-dropping-particle":"","parse-names":false,"suffix":""}],"container-title":"Internal medicine (Tokyo, Japan)","id":"ITEM-1","issue":"8","issued":{"date-parts":[["2022"]]},"page":"1197-1200","publisher":"Intern Med","title":"New-onset Type 1 Diabetes after COVID-19 mRNA Vaccination","type":"article-journal","volume":"61"},"uris":["http://www.mendeley.com/documents/?uuid=a68919cc-673f-3f75-9a73-cd21f44e8c7e"]}],"mendeley":{"formattedCitation":"(11)","plainTextFormattedCitation":"(11)","previouslyFormattedCitation":"(11)"},"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(11)</w:t>
            </w:r>
            <w:r w:rsidRPr="00620669">
              <w:rPr>
                <w:rFonts w:asciiTheme="majorBidi" w:eastAsia="Times New Roman" w:hAnsiTheme="majorBidi" w:cstheme="majorBidi"/>
                <w:color w:val="000000"/>
              </w:rPr>
              <w:fldChar w:fldCharType="end"/>
            </w:r>
            <w:r w:rsidRPr="00620669">
              <w:rPr>
                <w:rFonts w:asciiTheme="majorBidi" w:eastAsia="Times New Roman" w:hAnsiTheme="majorBidi" w:cstheme="majorBidi"/>
                <w:color w:val="000000"/>
              </w:rPr>
              <w:t xml:space="preserve"> </w:t>
            </w:r>
          </w:p>
        </w:tc>
        <w:tc>
          <w:tcPr>
            <w:tcW w:w="2139" w:type="dxa"/>
          </w:tcPr>
          <w:p w14:paraId="2184E01A"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After 28 days of the first dose, and got worse after the second dose:</w:t>
            </w:r>
            <w:r w:rsidRPr="00620669">
              <w:rPr>
                <w:rFonts w:asciiTheme="majorBidi" w:eastAsia="Times New Roman" w:hAnsiTheme="majorBidi" w:cstheme="majorBidi"/>
                <w:color w:val="000000"/>
                <w:sz w:val="20"/>
                <w:szCs w:val="20"/>
              </w:rPr>
              <w:t> </w:t>
            </w:r>
          </w:p>
          <w:p w14:paraId="01961A6B"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Thirst</w:t>
            </w:r>
          </w:p>
          <w:p w14:paraId="76802D98"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Fatigue</w:t>
            </w:r>
          </w:p>
          <w:p w14:paraId="2E621F4D"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Polyuria</w:t>
            </w:r>
          </w:p>
          <w:p w14:paraId="05578E64"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Polydipsia</w:t>
            </w:r>
          </w:p>
          <w:p w14:paraId="0AFE3566"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lastRenderedPageBreak/>
              <w:t>- Increased intake of soda</w:t>
            </w:r>
          </w:p>
          <w:p w14:paraId="55533DD4"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Weight loss (3kg)</w:t>
            </w:r>
          </w:p>
          <w:p w14:paraId="7577DB8F"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Hyperglycemia</w:t>
            </w:r>
          </w:p>
          <w:p w14:paraId="122EEC39"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Tachycardia</w:t>
            </w:r>
          </w:p>
          <w:p w14:paraId="2D28F025" w14:textId="77777777" w:rsidR="00761827" w:rsidRPr="00620669" w:rsidRDefault="00761827" w:rsidP="00761827">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sz w:val="20"/>
                <w:szCs w:val="20"/>
              </w:rPr>
              <w:t>- Mild dehydration </w:t>
            </w:r>
          </w:p>
        </w:tc>
        <w:tc>
          <w:tcPr>
            <w:tcW w:w="3119" w:type="dxa"/>
            <w:shd w:val="clear" w:color="auto" w:fill="auto"/>
            <w:tcMar>
              <w:top w:w="100" w:type="dxa"/>
              <w:left w:w="100" w:type="dxa"/>
              <w:bottom w:w="100" w:type="dxa"/>
              <w:right w:w="100" w:type="dxa"/>
            </w:tcMar>
            <w:hideMark/>
          </w:tcPr>
          <w:p w14:paraId="16918014" w14:textId="77777777" w:rsidR="00761827" w:rsidRPr="00620669" w:rsidRDefault="00761827" w:rsidP="00761827">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rPr>
              <w:lastRenderedPageBreak/>
              <w:t>4.0 L of intravenous saline</w:t>
            </w:r>
          </w:p>
          <w:p w14:paraId="66EB416D"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Intravenous infusion of regular insulin </w:t>
            </w:r>
          </w:p>
          <w:p w14:paraId="6A39DB58"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started at 0.1 unit/kg/h and then was adjusted afterwards. Eventually, patient complied to subcutaneous insulin therapy:</w:t>
            </w:r>
          </w:p>
          <w:p w14:paraId="48A0BCA0" w14:textId="77777777" w:rsidR="00761827" w:rsidRPr="00620669" w:rsidRDefault="00761827" w:rsidP="00761827">
            <w:pPr>
              <w:numPr>
                <w:ilvl w:val="0"/>
                <w:numId w:val="1"/>
              </w:numPr>
              <w:spacing w:after="0" w:line="360" w:lineRule="auto"/>
              <w:ind w:left="450"/>
              <w:textAlignment w:val="baseline"/>
              <w:rPr>
                <w:rFonts w:asciiTheme="majorBidi" w:eastAsia="Times New Roman" w:hAnsiTheme="majorBidi" w:cstheme="majorBidi"/>
                <w:color w:val="000000"/>
              </w:rPr>
            </w:pPr>
            <w:r w:rsidRPr="00620669">
              <w:rPr>
                <w:rFonts w:asciiTheme="majorBidi" w:eastAsia="Times New Roman" w:hAnsiTheme="majorBidi" w:cstheme="majorBidi"/>
                <w:color w:val="000000"/>
              </w:rPr>
              <w:lastRenderedPageBreak/>
              <w:t>Insulin Glargine U-300 (14 units) before supper</w:t>
            </w:r>
          </w:p>
          <w:p w14:paraId="5971110D" w14:textId="77777777" w:rsidR="00761827" w:rsidRPr="00620669" w:rsidRDefault="00761827" w:rsidP="00761827">
            <w:pPr>
              <w:numPr>
                <w:ilvl w:val="0"/>
                <w:numId w:val="1"/>
              </w:numPr>
              <w:spacing w:after="0" w:line="360" w:lineRule="auto"/>
              <w:ind w:left="450"/>
              <w:textAlignment w:val="baseline"/>
              <w:rPr>
                <w:rFonts w:asciiTheme="majorBidi" w:eastAsia="Times New Roman" w:hAnsiTheme="majorBidi" w:cstheme="majorBidi"/>
                <w:color w:val="000000"/>
              </w:rPr>
            </w:pPr>
            <w:r w:rsidRPr="00620669">
              <w:rPr>
                <w:rFonts w:asciiTheme="majorBidi" w:eastAsia="Times New Roman" w:hAnsiTheme="majorBidi" w:cstheme="majorBidi"/>
                <w:color w:val="000000"/>
              </w:rPr>
              <w:t>Insulin lispro before meals (6 units, 4 units, and 6 units before breakfast, lunch, and supper, respectively)</w:t>
            </w:r>
          </w:p>
        </w:tc>
        <w:tc>
          <w:tcPr>
            <w:tcW w:w="2829" w:type="dxa"/>
            <w:shd w:val="clear" w:color="auto" w:fill="auto"/>
            <w:tcMar>
              <w:top w:w="100" w:type="dxa"/>
              <w:left w:w="100" w:type="dxa"/>
              <w:bottom w:w="100" w:type="dxa"/>
              <w:right w:w="100" w:type="dxa"/>
            </w:tcMar>
            <w:hideMark/>
          </w:tcPr>
          <w:p w14:paraId="61A81223"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lastRenderedPageBreak/>
              <w:t xml:space="preserve">Patient’s acute condition has improved, and diabetic ketoacidosis has completely resolved. Patient has achieved adequate glycemic control with subcutaneous insulin therapy. However, no </w:t>
            </w:r>
            <w:r w:rsidRPr="00620669">
              <w:rPr>
                <w:rFonts w:asciiTheme="majorBidi" w:eastAsia="Times New Roman" w:hAnsiTheme="majorBidi" w:cstheme="majorBidi"/>
                <w:color w:val="000000"/>
              </w:rPr>
              <w:lastRenderedPageBreak/>
              <w:t>information available on post-discharge glycemic control.</w:t>
            </w:r>
          </w:p>
          <w:p w14:paraId="07CCB092" w14:textId="77777777" w:rsidR="00761827" w:rsidRPr="00620669" w:rsidRDefault="00761827" w:rsidP="00761827">
            <w:pPr>
              <w:spacing w:after="0" w:line="360" w:lineRule="auto"/>
              <w:rPr>
                <w:rFonts w:asciiTheme="majorBidi" w:eastAsia="Times New Roman" w:hAnsiTheme="majorBidi" w:cstheme="majorBidi"/>
                <w:sz w:val="24"/>
                <w:szCs w:val="24"/>
              </w:rPr>
            </w:pPr>
          </w:p>
        </w:tc>
      </w:tr>
      <w:tr w:rsidR="00761827" w:rsidRPr="00620669" w14:paraId="5318045F" w14:textId="77777777" w:rsidTr="001F1155">
        <w:tc>
          <w:tcPr>
            <w:tcW w:w="1253" w:type="dxa"/>
            <w:vMerge w:val="restart"/>
            <w:shd w:val="clear" w:color="auto" w:fill="auto"/>
            <w:tcMar>
              <w:top w:w="100" w:type="dxa"/>
              <w:left w:w="100" w:type="dxa"/>
              <w:bottom w:w="100" w:type="dxa"/>
              <w:right w:w="100" w:type="dxa"/>
            </w:tcMar>
            <w:hideMark/>
          </w:tcPr>
          <w:p w14:paraId="24E45DEC" w14:textId="0D5FBD4D" w:rsidR="00761827" w:rsidRPr="00620669" w:rsidRDefault="00761827" w:rsidP="00761827">
            <w:pPr>
              <w:spacing w:after="0" w:line="360" w:lineRule="auto"/>
              <w:rPr>
                <w:rFonts w:asciiTheme="majorBidi" w:eastAsia="Times New Roman" w:hAnsiTheme="majorBidi" w:cstheme="majorBidi"/>
                <w:sz w:val="24"/>
                <w:szCs w:val="24"/>
              </w:rPr>
            </w:pPr>
            <w:proofErr w:type="spellStart"/>
            <w:r w:rsidRPr="00620669">
              <w:rPr>
                <w:rFonts w:asciiTheme="majorBidi" w:eastAsia="Times New Roman" w:hAnsiTheme="majorBidi" w:cstheme="majorBidi"/>
                <w:color w:val="000000"/>
              </w:rPr>
              <w:lastRenderedPageBreak/>
              <w:t>Bleve</w:t>
            </w:r>
            <w:proofErr w:type="spellEnd"/>
            <w:r w:rsidRPr="00620669">
              <w:rPr>
                <w:rFonts w:asciiTheme="majorBidi" w:eastAsia="Times New Roman" w:hAnsiTheme="majorBidi" w:cstheme="majorBidi"/>
                <w:color w:val="000000"/>
              </w:rPr>
              <w:t xml:space="preserve"> 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10.1007/S40618-022-01796-5","ISSN":"1720-8386","PMID":"35349113","author":[{"dropping-particle":"","family":"Bleve","given":"E.","non-dropping-particle":"","parse-names":false,"suffix":""},{"dropping-particle":"","family":"Venditti","given":"V.","non-dropping-particle":"","parse-names":false,"suffix":""},{"dropping-particle":"","family":"Lenzi","given":"A.","non-dropping-particle":"","parse-names":false,"suffix":""},{"dropping-particle":"","family":"Morano","given":"S.","non-dropping-particle":"","parse-names":false,"suffix":""},{"dropping-particle":"","family":"Filardi","given":"T.","non-dropping-particle":"","parse-names":false,"suffix":""}],"container-title":"Journal of endocrinological investigation","id":"ITEM-1","issue":"6","issued":{"date-parts":[["2022","6","1"]]},"page":"1269-1270","publisher":"J Endocrinol Invest","title":"COVID-19 vaccine and autoimmune diabetes in adults: report of two cases","type":"article-journal","volume":"45"},"uris":["http://www.mendeley.com/documents/?uuid=c1126a5f-70d1-35ea-871d-591f1bd7cc2b"]}],"mendeley":{"formattedCitation":"(12)","plainTextFormattedCitation":"(12)","previouslyFormattedCitation":"(12)"},"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(12)</w:t>
            </w:r>
            <w:r w:rsidRPr="00620669">
              <w:rPr>
                <w:rFonts w:asciiTheme="majorBidi" w:eastAsia="Times New Roman" w:hAnsiTheme="majorBidi" w:cstheme="majorBidi"/>
                <w:color w:val="000000"/>
              </w:rPr>
              <w:fldChar w:fldCharType="end"/>
            </w:r>
          </w:p>
        </w:tc>
        <w:tc>
          <w:tcPr>
            <w:tcW w:w="2139" w:type="dxa"/>
          </w:tcPr>
          <w:p w14:paraId="67F3EE4A"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After 8 days of the first dose:</w:t>
            </w:r>
          </w:p>
          <w:p w14:paraId="140978A2"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Polydipsia</w:t>
            </w:r>
          </w:p>
          <w:p w14:paraId="4A6599F8"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Hyperglycemia</w:t>
            </w:r>
          </w:p>
          <w:p w14:paraId="36D0A4FF"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Glycosuria</w:t>
            </w:r>
          </w:p>
          <w:p w14:paraId="7D56A5AC"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Ketonuria</w:t>
            </w:r>
          </w:p>
          <w:p w14:paraId="001EABED" w14:textId="77777777" w:rsidR="00761827" w:rsidRPr="00620669" w:rsidRDefault="00761827" w:rsidP="00761827">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sz w:val="20"/>
                <w:szCs w:val="20"/>
              </w:rPr>
              <w:t>- Asthenia</w:t>
            </w:r>
          </w:p>
        </w:tc>
        <w:tc>
          <w:tcPr>
            <w:tcW w:w="3119" w:type="dxa"/>
            <w:shd w:val="clear" w:color="auto" w:fill="auto"/>
            <w:tcMar>
              <w:top w:w="100" w:type="dxa"/>
              <w:left w:w="100" w:type="dxa"/>
              <w:bottom w:w="100" w:type="dxa"/>
              <w:right w:w="100" w:type="dxa"/>
            </w:tcMar>
            <w:hideMark/>
          </w:tcPr>
          <w:p w14:paraId="33B66110"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1</w:t>
            </w:r>
            <w:r w:rsidRPr="00620669">
              <w:rPr>
                <w:rFonts w:asciiTheme="majorBidi" w:eastAsia="Times New Roman" w:hAnsiTheme="majorBidi" w:cstheme="majorBidi"/>
                <w:color w:val="000000"/>
                <w:sz w:val="13"/>
                <w:szCs w:val="13"/>
                <w:vertAlign w:val="superscript"/>
              </w:rPr>
              <w:t>st</w:t>
            </w:r>
            <w:r w:rsidRPr="00620669">
              <w:rPr>
                <w:rFonts w:asciiTheme="majorBidi" w:eastAsia="Times New Roman" w:hAnsiTheme="majorBidi" w:cstheme="majorBidi"/>
                <w:color w:val="000000"/>
              </w:rPr>
              <w:t xml:space="preserve"> Patient: 0.9% NaCl solution and rapid insulin administration to correct the acute condition. Basal-bolus insulin therapy regimen was initiated upon discharge.</w:t>
            </w:r>
          </w:p>
        </w:tc>
        <w:tc>
          <w:tcPr>
            <w:tcW w:w="2829" w:type="dxa"/>
            <w:shd w:val="clear" w:color="auto" w:fill="auto"/>
            <w:tcMar>
              <w:top w:w="100" w:type="dxa"/>
              <w:left w:w="100" w:type="dxa"/>
              <w:bottom w:w="100" w:type="dxa"/>
              <w:right w:w="100" w:type="dxa"/>
            </w:tcMar>
            <w:hideMark/>
          </w:tcPr>
          <w:p w14:paraId="76B684F8"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Hyperglycemic state was corrected. No other information</w:t>
            </w:r>
          </w:p>
        </w:tc>
      </w:tr>
      <w:tr w:rsidR="00761827" w:rsidRPr="00620669" w14:paraId="13A3076B" w14:textId="77777777" w:rsidTr="001E5524">
        <w:tc>
          <w:tcPr>
            <w:tcW w:w="1253" w:type="dxa"/>
            <w:vMerge/>
            <w:shd w:val="clear" w:color="auto" w:fill="auto"/>
            <w:hideMark/>
          </w:tcPr>
          <w:p w14:paraId="5B6C881A" w14:textId="77777777" w:rsidR="00761827" w:rsidRPr="00620669" w:rsidRDefault="00761827" w:rsidP="00761827">
            <w:pPr>
              <w:spacing w:after="0" w:line="360" w:lineRule="auto"/>
              <w:rPr>
                <w:rFonts w:asciiTheme="majorBidi" w:eastAsia="Times New Roman" w:hAnsiTheme="majorBidi" w:cstheme="majorBidi"/>
                <w:sz w:val="24"/>
                <w:szCs w:val="24"/>
              </w:rPr>
            </w:pPr>
          </w:p>
        </w:tc>
        <w:tc>
          <w:tcPr>
            <w:tcW w:w="2139" w:type="dxa"/>
          </w:tcPr>
          <w:p w14:paraId="6DAE343F"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Since administration of the second dose: </w:t>
            </w:r>
          </w:p>
          <w:p w14:paraId="4F1736D1"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Polyuria</w:t>
            </w:r>
          </w:p>
          <w:p w14:paraId="489ED95A"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Polydipsia</w:t>
            </w:r>
          </w:p>
          <w:p w14:paraId="11051AFA"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Asthenia</w:t>
            </w:r>
          </w:p>
          <w:p w14:paraId="0BE8B507"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After 26 days of receiving the second dose: </w:t>
            </w:r>
          </w:p>
          <w:p w14:paraId="7975769A"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Severe dyspnea</w:t>
            </w:r>
          </w:p>
          <w:p w14:paraId="2A53E077"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Nausea</w:t>
            </w:r>
          </w:p>
          <w:p w14:paraId="6ED70C12"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Abdominal pain</w:t>
            </w:r>
          </w:p>
          <w:p w14:paraId="4AF6FC62" w14:textId="77777777" w:rsidR="00761827" w:rsidRPr="00620669" w:rsidRDefault="00761827" w:rsidP="00761827">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sz w:val="20"/>
                <w:szCs w:val="20"/>
              </w:rPr>
              <w:t>- Metabolic acidosis </w:t>
            </w:r>
          </w:p>
        </w:tc>
        <w:tc>
          <w:tcPr>
            <w:tcW w:w="3119" w:type="dxa"/>
            <w:shd w:val="clear" w:color="auto" w:fill="auto"/>
            <w:tcMar>
              <w:top w:w="100" w:type="dxa"/>
              <w:left w:w="100" w:type="dxa"/>
              <w:bottom w:w="100" w:type="dxa"/>
              <w:right w:w="100" w:type="dxa"/>
            </w:tcMar>
            <w:hideMark/>
          </w:tcPr>
          <w:p w14:paraId="003D2089"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2</w:t>
            </w:r>
            <w:r w:rsidRPr="00620669">
              <w:rPr>
                <w:rFonts w:asciiTheme="majorBidi" w:eastAsia="Times New Roman" w:hAnsiTheme="majorBidi" w:cstheme="majorBidi"/>
                <w:color w:val="000000"/>
                <w:sz w:val="13"/>
                <w:szCs w:val="13"/>
                <w:vertAlign w:val="superscript"/>
              </w:rPr>
              <w:t>nd</w:t>
            </w:r>
            <w:r w:rsidRPr="00620669">
              <w:rPr>
                <w:rFonts w:asciiTheme="majorBidi" w:eastAsia="Times New Roman" w:hAnsiTheme="majorBidi" w:cstheme="majorBidi"/>
                <w:color w:val="000000"/>
              </w:rPr>
              <w:t xml:space="preserve"> Patient: 0.9% NaCl solution and rapid insulin administration to correct the acute condition. Basal-bolus insulin therapy regimen was initiated upon discharge.</w:t>
            </w:r>
          </w:p>
        </w:tc>
        <w:tc>
          <w:tcPr>
            <w:tcW w:w="2829" w:type="dxa"/>
            <w:shd w:val="clear" w:color="auto" w:fill="auto"/>
            <w:tcMar>
              <w:top w:w="100" w:type="dxa"/>
              <w:left w:w="100" w:type="dxa"/>
              <w:bottom w:w="100" w:type="dxa"/>
              <w:right w:w="100" w:type="dxa"/>
            </w:tcMar>
            <w:hideMark/>
          </w:tcPr>
          <w:p w14:paraId="4415CE95"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Hyperglycemic state was corrected. No other information</w:t>
            </w:r>
          </w:p>
        </w:tc>
      </w:tr>
      <w:tr w:rsidR="00761827" w:rsidRPr="00620669" w14:paraId="1EFA5BFA" w14:textId="77777777" w:rsidTr="001F1155">
        <w:tc>
          <w:tcPr>
            <w:tcW w:w="1253" w:type="dxa"/>
            <w:shd w:val="clear" w:color="auto" w:fill="auto"/>
            <w:tcMar>
              <w:top w:w="100" w:type="dxa"/>
              <w:left w:w="100" w:type="dxa"/>
              <w:bottom w:w="100" w:type="dxa"/>
              <w:right w:w="100" w:type="dxa"/>
            </w:tcMar>
            <w:hideMark/>
          </w:tcPr>
          <w:p w14:paraId="70605B33" w14:textId="45F26E0E"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 xml:space="preserve">Sasaki 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{"citationItems":[{"id":"ITEM-1","itemData":{"DOI":"10.1111/JDI.13757","ISSN":"2040-1124","PMID":"35088548","abstract":"The vaccine for the coronavirus disease 2019 (COVID-19) has been reported to potentially cause or worsen diabetes. A 73-year-old Japanese woman received two doses of Moderna COVID-19 vaccine. Four weeks after the second vaccination, her glycemic control began to deteriorate, and 8 weeks after the second vaccination, the patient was diagnosed with new-onset type 1 diabetes that was strongly positive for autoantibodies and showed a disease-susceptible human leukocyte antigen haplotype, DRB1*04:05:01-DQB1*04:01:01. The glucagon stimulation test suggested an insulin-dependent state, and induction of intensive insulin therapy brought about fair glycemic control. The time period from the COVID-19 vaccination to the development of type 1 diabetes was relatively longer than to the onset or exacerbation of type 2 diabetes, as previously reported, suggesting the complicated immunological mechanisms for the destruction of β-cells associated with the vaccination. In recipients with the disease-susceptible haplotypes, one should be cautious about autoimmune responses for several months after the vaccination.","author":[{"dropping-particle":"","family":"Sasaki","given":"Hironobu","non-dropping-particle":"","parse-names":false,"suffix":""},{"dropping-particle":"","family":"Itoh","given":"Arata","non-dropping-particle":"","parse-names":false,"suffix":""},{"dropping-particle":"","family":"Watanabe","given":"Yasuhiro","non-dropping-particle":"","parse-names":false,"suffix":""},{"dropping-particle":"","family":"Nakajima","given":"Yuya","non-dropping-particle":"","parse-names":false,"suffix":""},{"dropping-particle":"","family":"Saisho","given":"Yoshifumi","non-dropping-particle":"","parse-names":false,"suffix":""},{"dropping-particle":"","family":"Irie","given":"Junichiro","non-dropping-particle":"","parse-names":false,"suffix":""},{"dropping-particle":"","family":"Meguro","given":"Shu","non-dropping-particle":"","parse-names":false,"suffix":""},{"dropping-particle":"","family":"Itoh","given":"Hiroshi","non-dropping-particle":"","parse-names":false,"suffix":""}],"container-title":"Journal of Diabetes Investigation","id":"ITEM-1","issue":"6","issued":{"date-parts":[["2022","6","1"]]},"page":"1105-1108","publisher":"John Wiley and Sons Inc","title":"Newly developed type 1 diabetes after coronavirus disease 2019 vaccination: A case report","type":"article-journal","volume":"13"},"uris":["http://www.mendeley.com/documents/?uuid=6273bda3-ad23-3ec1-81ed-4c3a0d359dc3"]}],"mendeley":{"formattedCitation":"(13)","plainTextFormattedCitation":"(13)","previouslyFormattedCitation":"(13)"},"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(13)</w:t>
            </w:r>
            <w:r w:rsidRPr="00620669">
              <w:rPr>
                <w:rFonts w:asciiTheme="majorBidi" w:eastAsia="Times New Roman" w:hAnsiTheme="majorBidi" w:cstheme="majorBidi"/>
                <w:color w:val="000000"/>
              </w:rPr>
              <w:fldChar w:fldCharType="end"/>
            </w:r>
          </w:p>
        </w:tc>
        <w:tc>
          <w:tcPr>
            <w:tcW w:w="2139" w:type="dxa"/>
          </w:tcPr>
          <w:p w14:paraId="3B97B0BC"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Four weeks after 2</w:t>
            </w:r>
            <w:r w:rsidRPr="00620669">
              <w:rPr>
                <w:rFonts w:asciiTheme="majorBidi" w:eastAsia="Times New Roman" w:hAnsiTheme="majorBidi" w:cstheme="majorBidi"/>
                <w:b/>
                <w:bCs/>
                <w:color w:val="000000"/>
                <w:sz w:val="12"/>
                <w:szCs w:val="12"/>
                <w:vertAlign w:val="superscript"/>
              </w:rPr>
              <w:t>nd</w:t>
            </w:r>
            <w:r w:rsidRPr="00620669">
              <w:rPr>
                <w:rFonts w:asciiTheme="majorBidi" w:eastAsia="Times New Roman" w:hAnsiTheme="majorBidi" w:cstheme="majorBidi"/>
                <w:b/>
                <w:bCs/>
                <w:color w:val="000000"/>
                <w:sz w:val="20"/>
                <w:szCs w:val="20"/>
              </w:rPr>
              <w:t xml:space="preserve"> dose: </w:t>
            </w:r>
          </w:p>
          <w:p w14:paraId="4563E3DA"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Anorexia</w:t>
            </w:r>
          </w:p>
          <w:p w14:paraId="24290DF2"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Hyperglycemia</w:t>
            </w:r>
          </w:p>
          <w:p w14:paraId="5608B808"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Fatigue</w:t>
            </w:r>
          </w:p>
          <w:p w14:paraId="2788F0CF" w14:textId="77777777" w:rsidR="00761827" w:rsidRPr="00620669" w:rsidRDefault="00761827" w:rsidP="00761827">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sz w:val="20"/>
                <w:szCs w:val="20"/>
              </w:rPr>
              <w:t>- Nausea and vomiting </w:t>
            </w:r>
          </w:p>
        </w:tc>
        <w:tc>
          <w:tcPr>
            <w:tcW w:w="3119" w:type="dxa"/>
            <w:shd w:val="clear" w:color="auto" w:fill="auto"/>
            <w:tcMar>
              <w:top w:w="100" w:type="dxa"/>
              <w:left w:w="100" w:type="dxa"/>
              <w:bottom w:w="100" w:type="dxa"/>
              <w:right w:w="100" w:type="dxa"/>
            </w:tcMar>
            <w:hideMark/>
          </w:tcPr>
          <w:p w14:paraId="4B8B103D"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rPr>
              <w:t>Initiation of intensive insulin therapy</w:t>
            </w:r>
          </w:p>
        </w:tc>
        <w:tc>
          <w:tcPr>
            <w:tcW w:w="2829" w:type="dxa"/>
            <w:shd w:val="clear" w:color="auto" w:fill="auto"/>
            <w:tcMar>
              <w:top w:w="100" w:type="dxa"/>
              <w:left w:w="100" w:type="dxa"/>
              <w:bottom w:w="100" w:type="dxa"/>
              <w:right w:w="100" w:type="dxa"/>
            </w:tcMar>
            <w:hideMark/>
          </w:tcPr>
          <w:p w14:paraId="30FAC23D" w14:textId="77777777" w:rsidR="00761827" w:rsidRPr="00620669" w:rsidRDefault="00761827" w:rsidP="00761827">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rPr>
              <w:t>Patient has achieved adequate glycemic control. Blood test done 12 weeks after her 2nd vaccine dose showed that he is still insulin-dependent with low C-peptide. </w:t>
            </w:r>
          </w:p>
        </w:tc>
      </w:tr>
      <w:tr w:rsidR="00761827" w:rsidRPr="00620669" w14:paraId="09C70800" w14:textId="77777777" w:rsidTr="001F1155">
        <w:tc>
          <w:tcPr>
            <w:tcW w:w="1253" w:type="dxa"/>
            <w:shd w:val="clear" w:color="auto" w:fill="auto"/>
            <w:tcMar>
              <w:top w:w="100" w:type="dxa"/>
              <w:left w:w="100" w:type="dxa"/>
              <w:bottom w:w="100" w:type="dxa"/>
              <w:right w:w="100" w:type="dxa"/>
            </w:tcMar>
            <w:hideMark/>
          </w:tcPr>
          <w:p w14:paraId="05A75A0B" w14:textId="605524A8"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lastRenderedPageBreak/>
              <w:t xml:space="preserve">Sakura 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{"citationItems":[{"id":"ITEM-1","itemData":{"DOI":"10.1111/JDI.13781","ISSN":"2040-1124","PMID":"35220662","abstract":"The epidemic of coronavirus disease-2019 (COVID-19) is the major public health issue in the world. COVID-19 vaccines are one of the most effective strategies against COVID-19. Here we report a 36-year-old female patient who had thirst, polydipsia, polyuria, palpitations, loss of appetite, and fatigue 3 days after the first dose of COVID-19 RNA-based vaccines without a prior history of diabetes. Ten days after vaccination, she visited our hospital with diabetic ketoacidosis and was diagnosed with type 1 diabetes. Hyperglycemia (501 mg/dL), anion gap metabolic acidosis and ketonuria were observed. The glycated hemoglobin level was 7.0%. Islet-related autoantibodies were all negative. The glucagon tolerance test revealed attenuated secretion of insulin. Human leukocyte antigen was haplotype DRB1*0405-DQB1*0401, which was associated with type 1 diabetes in Japan. The present case suggests that COVID-19 RNA-based vaccines might trigger the onset of type 1 diabetes, even in subjects without prior histories of diabetes.","author":[{"dropping-particle":"","family":"Sakurai","given":"Kanako","non-dropping-particle":"","parse-names":false,"suffix":""},{"dropping-particle":"","family":"Narita","given":"Daiki","non-dropping-particle":"","parse-names":false,"suffix":""},{"dropping-particle":"","family":"Saito","given":"Naomi","non-dropping-particle":"","parse-names":false,"suffix":""},{"dropping-particle":"","family":"Ueno","given":"Takayuki","non-dropping-particle":"","parse-names":false,"suffix":""},{"dropping-particle":"","family":"Sato","given":"Ryota","non-dropping-particle":"","parse-names":false,"suffix":""},{"dropping-particle":"","family":"Niitsuma","given":"Satsuki","non-dropping-particle":"","parse-names":false,"suffix":""},{"dropping-particle":"","family":"Takahashi","given":"Kazuhiro","non-dropping-particle":"","parse-names":false,"suffix":""},{"dropping-particle":"","family":"Arihara","given":"Zenei","non-dropping-particle":"","parse-names":false,"suffix":""}],"container-title":"Journal of diabetes investigation","id":"ITEM-1","issue":"7","issued":{"date-parts":[["2022","7","1"]]},"page":"1290-1292","publisher":"J Diabetes Investig","title":"Type 1 diabetes mellitus following COVID-19 RNA-based vaccine","type":"article-journal","volume":"13"},"uris":["http://www.mendeley.com/documents/?uuid=aad82a92-7e66-3709-8d09-43352d9a22ad"]}],"mendeley":{"formattedCitation":"(14)","plainTextFormattedCitation":"(14)","previouslyFormattedCitation":"(14)"},"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(14)</w:t>
            </w:r>
            <w:r w:rsidRPr="00620669">
              <w:rPr>
                <w:rFonts w:asciiTheme="majorBidi" w:eastAsia="Times New Roman" w:hAnsiTheme="majorBidi" w:cstheme="majorBidi"/>
                <w:color w:val="000000"/>
              </w:rPr>
              <w:fldChar w:fldCharType="end"/>
            </w:r>
          </w:p>
        </w:tc>
        <w:tc>
          <w:tcPr>
            <w:tcW w:w="2139" w:type="dxa"/>
          </w:tcPr>
          <w:p w14:paraId="003611C5"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After 3 days from the first dose: </w:t>
            </w:r>
          </w:p>
          <w:p w14:paraId="355467C4"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Thirst</w:t>
            </w:r>
          </w:p>
          <w:p w14:paraId="021DA2B3"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Polydipsia </w:t>
            </w:r>
          </w:p>
          <w:p w14:paraId="45F75C62"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Polyuria</w:t>
            </w:r>
          </w:p>
          <w:p w14:paraId="3D9FEDA7"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Palpitations</w:t>
            </w:r>
          </w:p>
          <w:p w14:paraId="3B6CE62D"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Loss of appetite</w:t>
            </w:r>
          </w:p>
          <w:p w14:paraId="5BC72343" w14:textId="77777777" w:rsidR="00761827" w:rsidRPr="00620669" w:rsidRDefault="00761827" w:rsidP="00761827">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sz w:val="20"/>
                <w:szCs w:val="20"/>
              </w:rPr>
              <w:t>- Fatigue</w:t>
            </w:r>
          </w:p>
        </w:tc>
        <w:tc>
          <w:tcPr>
            <w:tcW w:w="3119" w:type="dxa"/>
            <w:shd w:val="clear" w:color="auto" w:fill="auto"/>
            <w:tcMar>
              <w:top w:w="100" w:type="dxa"/>
              <w:left w:w="100" w:type="dxa"/>
              <w:bottom w:w="100" w:type="dxa"/>
              <w:right w:w="100" w:type="dxa"/>
            </w:tcMar>
            <w:hideMark/>
          </w:tcPr>
          <w:p w14:paraId="01A0B628"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Intravenous fluids and rapid insulin infusion to correct the acute condition. Afterwards, started on subcutaneous multiple injections of insulin during the admission.</w:t>
            </w:r>
          </w:p>
        </w:tc>
        <w:tc>
          <w:tcPr>
            <w:tcW w:w="2829" w:type="dxa"/>
            <w:shd w:val="clear" w:color="auto" w:fill="auto"/>
            <w:tcMar>
              <w:top w:w="100" w:type="dxa"/>
              <w:left w:w="100" w:type="dxa"/>
              <w:bottom w:w="100" w:type="dxa"/>
              <w:right w:w="100" w:type="dxa"/>
            </w:tcMar>
            <w:hideMark/>
          </w:tcPr>
          <w:p w14:paraId="0D78D6D4"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Patient’s acute condition has been stabilized. After the subcutaneous insulin therapy, patient was discharged in a stable condition. No information available on post-discharge glycemic control.</w:t>
            </w:r>
          </w:p>
          <w:p w14:paraId="6FD642A1" w14:textId="77777777" w:rsidR="00761827" w:rsidRPr="00620669" w:rsidRDefault="00761827" w:rsidP="00761827">
            <w:pPr>
              <w:spacing w:after="0" w:line="360" w:lineRule="auto"/>
              <w:rPr>
                <w:rFonts w:asciiTheme="majorBidi" w:eastAsia="Times New Roman" w:hAnsiTheme="majorBidi" w:cstheme="majorBidi"/>
                <w:sz w:val="24"/>
                <w:szCs w:val="24"/>
              </w:rPr>
            </w:pPr>
          </w:p>
        </w:tc>
      </w:tr>
      <w:tr w:rsidR="00761827" w:rsidRPr="00620669" w14:paraId="40AFD10E" w14:textId="77777777" w:rsidTr="001F1155">
        <w:tc>
          <w:tcPr>
            <w:tcW w:w="1253" w:type="dxa"/>
            <w:shd w:val="clear" w:color="auto" w:fill="auto"/>
            <w:tcMar>
              <w:top w:w="100" w:type="dxa"/>
              <w:left w:w="100" w:type="dxa"/>
              <w:bottom w:w="100" w:type="dxa"/>
              <w:right w:w="100" w:type="dxa"/>
            </w:tcMar>
            <w:hideMark/>
          </w:tcPr>
          <w:p w14:paraId="338A9A47" w14:textId="78B41EA5"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 xml:space="preserve">Sasaki 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{"citationItems":[{"id":"ITEM-1","itemData":{"DOI":"10.1111/JDI.13771","ISSN":"2040-1124","PMID":"35167186","abstract":"Fulminant type 1 diabetes is characterized by a rapid progression of insulin deficiency triggered by viral infection. Here, we report a case of a 45-year-old Japanese woman with fulminant type 1 diabetes that developed 8 days after receiving messenger ribonucleic acid vaccine against severe acute respiratory syndrome coronavirus 2. She had been healthy and had no symptoms suggestive of viral infection before the vaccination. Laboratory tests showed exhaustion of insulin secretion and negative results for islet autoantibodies. Human leukocyte antigen genotype analysis showed the DRB1*04:05 and DQB1*04:01 alleles. This is the first case report of new-onset fulminant type 1 diabetes after severe acute respiratory syndrome coronavirus 2 vaccination, and suggests that a severe acute respiratory syndrome coronavirus 2 vaccine might trigger the onset of fulminant type 1 diabetes in susceptible individuals. However, a causal relationship remains to be identified, and further studies are required to determine the incidence of such cases.","author":[{"dropping-particle":"","family":"Sasaki","given":"Keyaki","non-dropping-particle":"","parse-names":false,"suffix":""},{"dropping-particle":"","family":"Morioka","given":"Tomoaki","non-dropping-particle":"","parse-names":false,"suffix":""},{"dropping-particle":"","family":"Okada","given":"Natsumi","non-dropping-particle":"","parse-names":false,"suffix":""},{"dropping-particle":"","family":"Natsuki","given":"Yuka","non-dropping-particle":"","parse-names":false,"suffix":""},{"dropping-particle":"","family":"Kakutani","given":"Yoshinori","non-dropping-particle":"","parse-names":false,"suffix":""},{"dropping-particle":"","family":"Ochi","given":"Akinobu","non-dropping-particle":"","parse-names":false,"suffix":""},{"dropping-particle":"","family":"Yamazaki","given":"Yuko","non-dropping-particle":"","parse-names":false,"suffix":""},{"dropping-particle":"","family":"Shoji","given":"Tetsuo","non-dropping-particle":"","parse-names":false,"suffix":""},{"dropping-particle":"","family":"Ohmura","given":"Takashi","non-dropping-particle":"","parse-names":false,"suffix":""},{"dropping-particle":"","family":"Emoto","given":"Masanori","non-dropping-particle":"","parse-names":false,"suffix":""}],"container-title":"Journal of Diabetes Investigation","id":"ITEM-1","issue":"7","issued":{"date-parts":[["2022","7","1"]]},"page":"1286-1289","publisher":"John Wiley and Sons Inc","title":"New-onset fulminant type 1 diabetes after severe acute respiratory syndrome coronavirus 2 vaccination: A case report","type":"article-journal","volume":"13"},"uris":["http://www.mendeley.com/documents/?uuid=5369d6c0-4cea-378e-b5cf-14c8d2f44c82"]}],"mendeley":{"formattedCitation":"(15)","plainTextFormattedCitation":"(15)","previouslyFormattedCitation":"(15)"},"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(15)</w:t>
            </w:r>
            <w:r w:rsidRPr="00620669">
              <w:rPr>
                <w:rFonts w:asciiTheme="majorBidi" w:eastAsia="Times New Roman" w:hAnsiTheme="majorBidi" w:cstheme="majorBidi"/>
                <w:color w:val="000000"/>
              </w:rPr>
              <w:fldChar w:fldCharType="end"/>
            </w:r>
          </w:p>
        </w:tc>
        <w:tc>
          <w:tcPr>
            <w:tcW w:w="2139" w:type="dxa"/>
          </w:tcPr>
          <w:p w14:paraId="674D6B0F"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After 6 days from the first dose: </w:t>
            </w:r>
          </w:p>
          <w:p w14:paraId="2011136A"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Nausea</w:t>
            </w:r>
          </w:p>
          <w:p w14:paraId="4A2291BD"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Abdominal pain</w:t>
            </w:r>
          </w:p>
          <w:p w14:paraId="2B3DDD66"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Hyperglycemia</w:t>
            </w:r>
          </w:p>
          <w:p w14:paraId="7F634E71"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Weight loss (6kg)</w:t>
            </w:r>
          </w:p>
          <w:p w14:paraId="1FC554B1" w14:textId="77777777" w:rsidR="00761827" w:rsidRPr="00620669" w:rsidRDefault="00761827" w:rsidP="00761827">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sz w:val="20"/>
                <w:szCs w:val="20"/>
              </w:rPr>
              <w:t>- Metabolic acidosis</w:t>
            </w:r>
          </w:p>
        </w:tc>
        <w:tc>
          <w:tcPr>
            <w:tcW w:w="3119" w:type="dxa"/>
            <w:shd w:val="clear" w:color="auto" w:fill="auto"/>
            <w:tcMar>
              <w:top w:w="100" w:type="dxa"/>
              <w:left w:w="100" w:type="dxa"/>
              <w:bottom w:w="100" w:type="dxa"/>
              <w:right w:w="100" w:type="dxa"/>
            </w:tcMar>
            <w:hideMark/>
          </w:tcPr>
          <w:p w14:paraId="704EC5B7"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Intensive insulin therapy with Basal-bolus insulin therapy regimen was promptly initiated to correct the acute condition.</w:t>
            </w:r>
          </w:p>
          <w:p w14:paraId="1903FF42"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patient complied to subcutaneous insulin therapy:</w:t>
            </w:r>
          </w:p>
          <w:p w14:paraId="49645188" w14:textId="77777777" w:rsidR="00761827" w:rsidRPr="00620669" w:rsidRDefault="00761827" w:rsidP="00761827">
            <w:pPr>
              <w:numPr>
                <w:ilvl w:val="0"/>
                <w:numId w:val="2"/>
              </w:numPr>
              <w:spacing w:after="0" w:line="360" w:lineRule="auto"/>
              <w:ind w:left="450"/>
              <w:textAlignment w:val="baseline"/>
              <w:rPr>
                <w:rFonts w:asciiTheme="majorBidi" w:eastAsia="Times New Roman" w:hAnsiTheme="majorBidi" w:cstheme="majorBidi"/>
                <w:color w:val="000000"/>
              </w:rPr>
            </w:pPr>
            <w:r w:rsidRPr="00620669">
              <w:rPr>
                <w:rFonts w:asciiTheme="majorBidi" w:eastAsia="Times New Roman" w:hAnsiTheme="majorBidi" w:cstheme="majorBidi"/>
                <w:color w:val="000000"/>
              </w:rPr>
              <w:t>Insulin Glargine U-300 (14 units) before supper</w:t>
            </w:r>
          </w:p>
          <w:p w14:paraId="28989DFB" w14:textId="77777777" w:rsidR="00761827" w:rsidRPr="00620669" w:rsidRDefault="00761827" w:rsidP="00761827">
            <w:pPr>
              <w:numPr>
                <w:ilvl w:val="0"/>
                <w:numId w:val="2"/>
              </w:numPr>
              <w:spacing w:after="0" w:line="360" w:lineRule="auto"/>
              <w:ind w:left="450"/>
              <w:textAlignment w:val="baseline"/>
              <w:rPr>
                <w:rFonts w:asciiTheme="majorBidi" w:eastAsia="Times New Roman" w:hAnsiTheme="majorBidi" w:cstheme="majorBidi"/>
                <w:color w:val="000000"/>
              </w:rPr>
            </w:pPr>
            <w:r w:rsidRPr="00620669">
              <w:rPr>
                <w:rFonts w:asciiTheme="majorBidi" w:eastAsia="Times New Roman" w:hAnsiTheme="majorBidi" w:cstheme="majorBidi"/>
                <w:color w:val="000000"/>
              </w:rPr>
              <w:t>Insulin lispro before meals (8 units, 10 units, and 8 units breakfast, lunch, and supper, respectively)</w:t>
            </w:r>
          </w:p>
        </w:tc>
        <w:tc>
          <w:tcPr>
            <w:tcW w:w="2829" w:type="dxa"/>
            <w:shd w:val="clear" w:color="auto" w:fill="auto"/>
            <w:tcMar>
              <w:top w:w="100" w:type="dxa"/>
              <w:left w:w="100" w:type="dxa"/>
              <w:bottom w:w="100" w:type="dxa"/>
              <w:right w:w="100" w:type="dxa"/>
            </w:tcMar>
            <w:hideMark/>
          </w:tcPr>
          <w:p w14:paraId="01F17C48"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Patient’s acute condition has improved, and diabetic ketoacidosis has completely resolved. Patient has achieved adequate glycemic control with subcutaneous insulin therapy. No information available on post-discharge glycemic control.</w:t>
            </w:r>
          </w:p>
          <w:p w14:paraId="28397E52" w14:textId="77777777" w:rsidR="00761827" w:rsidRPr="00620669" w:rsidRDefault="00761827" w:rsidP="00761827">
            <w:pPr>
              <w:spacing w:after="240" w:line="360" w:lineRule="auto"/>
              <w:rPr>
                <w:rFonts w:asciiTheme="majorBidi" w:eastAsia="Times New Roman" w:hAnsiTheme="majorBidi" w:cstheme="majorBidi"/>
                <w:sz w:val="24"/>
                <w:szCs w:val="24"/>
              </w:rPr>
            </w:pPr>
          </w:p>
        </w:tc>
      </w:tr>
      <w:tr w:rsidR="00761827" w:rsidRPr="00620669" w14:paraId="63D4DB39" w14:textId="77777777" w:rsidTr="001F1155">
        <w:tc>
          <w:tcPr>
            <w:tcW w:w="1253" w:type="dxa"/>
            <w:shd w:val="clear" w:color="auto" w:fill="auto"/>
            <w:tcMar>
              <w:top w:w="100" w:type="dxa"/>
              <w:left w:w="100" w:type="dxa"/>
              <w:bottom w:w="100" w:type="dxa"/>
              <w:right w:w="100" w:type="dxa"/>
            </w:tcMar>
            <w:hideMark/>
          </w:tcPr>
          <w:p w14:paraId="33F3D895" w14:textId="0D260455"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 xml:space="preserve">Tang 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10.1016/J.DIABET.2022.101324","ISSN":"1878-1780","PMID":"35091092","author":[{"dropping-particle":"","family":"Tang","given":"Xiaohan","non-dropping-particle":"","parse-names":false,"suffix":""},{"dropping-particle":"","family":"He","given":"Binbin","non-dropping-particle":"","parse-names":false,"suffix":""},{"dropping-particle":"","family":"Liu","given":"Zhenqi","non-dropping-particle":"","parse-names":false,"suffix":""},{"dropping-particle":"","family":"Zhou","given":"Zhiguang","non-dropping-particle":"","parse-names":false,"suffix":""},{"dropping-particle":"","family":"Li","given":"Xia","non-dropping-particle":"","parse-names":false,"suffix":""}],"container-title":"Diabetes &amp; metabolism","id":"ITEM-1","issue":"2","issued":{"date-parts":[["2022","3","1"]]},"publisher":"Diabetes Metab","title":"Fulminant type 1 diabetes after COVID-19 vaccination","type":"article-journal","volume":"48"},"uris":["http://www.mendeley.com/documents/?uuid=1ab3cd70-8223-3922-ab17-b43c3dc191d9"]}],"mendeley":{"formattedCitation":"(16)","plainTextFormattedCitation":"(16)","previouslyFormattedCitation":"(16)"},"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(16)</w:t>
            </w:r>
            <w:r w:rsidRPr="00620669">
              <w:rPr>
                <w:rFonts w:asciiTheme="majorBidi" w:eastAsia="Times New Roman" w:hAnsiTheme="majorBidi" w:cstheme="majorBidi"/>
                <w:color w:val="000000"/>
              </w:rPr>
              <w:fldChar w:fldCharType="end"/>
            </w:r>
            <w:r w:rsidRPr="00620669">
              <w:rPr>
                <w:rFonts w:asciiTheme="majorBidi" w:eastAsia="Times New Roman" w:hAnsiTheme="majorBidi" w:cstheme="majorBidi"/>
                <w:color w:val="000000"/>
              </w:rPr>
              <w:t xml:space="preserve"> </w:t>
            </w:r>
          </w:p>
        </w:tc>
        <w:tc>
          <w:tcPr>
            <w:tcW w:w="2139" w:type="dxa"/>
          </w:tcPr>
          <w:p w14:paraId="2CC8A572"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Five days after receiving the first dose:</w:t>
            </w:r>
          </w:p>
          <w:p w14:paraId="287FCDAC"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Fever</w:t>
            </w:r>
          </w:p>
          <w:p w14:paraId="4A020F5C"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Polydipsia</w:t>
            </w:r>
          </w:p>
          <w:p w14:paraId="4C140806"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Polyuria</w:t>
            </w:r>
          </w:p>
          <w:p w14:paraId="3784B296"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Hyperglycemia</w:t>
            </w:r>
          </w:p>
          <w:p w14:paraId="78C3E740" w14:textId="77777777" w:rsidR="00761827" w:rsidRPr="00620669" w:rsidRDefault="00761827" w:rsidP="00761827">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sz w:val="20"/>
                <w:szCs w:val="20"/>
              </w:rPr>
              <w:t>- Diabetic ketoacidosis</w:t>
            </w:r>
          </w:p>
        </w:tc>
        <w:tc>
          <w:tcPr>
            <w:tcW w:w="3119" w:type="dxa"/>
            <w:shd w:val="clear" w:color="auto" w:fill="auto"/>
            <w:tcMar>
              <w:top w:w="100" w:type="dxa"/>
              <w:left w:w="100" w:type="dxa"/>
              <w:bottom w:w="100" w:type="dxa"/>
              <w:right w:w="100" w:type="dxa"/>
            </w:tcMar>
            <w:hideMark/>
          </w:tcPr>
          <w:p w14:paraId="0E8B7C63"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rPr>
              <w:t>Intravenous fluids and insulin infusion for the acute condition. Afterwards, subcutaneous insulin therapy was initiated to maintain the glycemic control</w:t>
            </w:r>
          </w:p>
        </w:tc>
        <w:tc>
          <w:tcPr>
            <w:tcW w:w="2829" w:type="dxa"/>
            <w:shd w:val="clear" w:color="auto" w:fill="auto"/>
            <w:tcMar>
              <w:top w:w="100" w:type="dxa"/>
              <w:left w:w="100" w:type="dxa"/>
              <w:bottom w:w="100" w:type="dxa"/>
              <w:right w:w="100" w:type="dxa"/>
            </w:tcMar>
            <w:hideMark/>
          </w:tcPr>
          <w:p w14:paraId="182F9871"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Two weeks after the acute presentation, serum ketone bodies became negative but slightly elevated HbA1c and low serum C-peptide levels. Four weeks after acute presentation, he was still insulin-dependent with low serum C-peptide levels. </w:t>
            </w:r>
          </w:p>
          <w:p w14:paraId="74F7DC8C" w14:textId="77777777" w:rsidR="00761827" w:rsidRPr="00620669" w:rsidRDefault="00761827" w:rsidP="00761827">
            <w:pPr>
              <w:spacing w:after="0" w:line="360" w:lineRule="auto"/>
              <w:rPr>
                <w:rFonts w:asciiTheme="majorBidi" w:eastAsia="Times New Roman" w:hAnsiTheme="majorBidi" w:cstheme="majorBidi"/>
                <w:sz w:val="24"/>
                <w:szCs w:val="24"/>
              </w:rPr>
            </w:pPr>
          </w:p>
        </w:tc>
      </w:tr>
      <w:tr w:rsidR="00761827" w:rsidRPr="00620669" w14:paraId="2815E553" w14:textId="77777777" w:rsidTr="007512E6">
        <w:tc>
          <w:tcPr>
            <w:tcW w:w="1253" w:type="dxa"/>
            <w:shd w:val="clear" w:color="auto" w:fill="auto"/>
            <w:tcMar>
              <w:top w:w="100" w:type="dxa"/>
              <w:left w:w="100" w:type="dxa"/>
              <w:bottom w:w="100" w:type="dxa"/>
              <w:right w:w="100" w:type="dxa"/>
            </w:tcMar>
            <w:hideMark/>
          </w:tcPr>
          <w:p w14:paraId="77EAF6FD" w14:textId="170CFBF8"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lastRenderedPageBreak/>
              <w:t xml:space="preserve">Patrizio et al. 2021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{"citationItems":[{"id":"ITEM-1","itemData":{"DOI":"10.1016/J.JAUT.2021.102738","ISSN":"1095-9157","PMID":"34653776","abstract":"Autoimmune diseases, including autoimmune endocrine diseases (AIED), are thought to develop following environmental exposure in patients with genetic predisposition. The severe acute respiratory syndrome coronavirus 2 (SARS-CoV-2) and vaccines against it could represent new environmental triggers for AIED. We report a patient, with history of vitiligo vulgaris and 8 years of type 2 diabetes, who came to our institution because of fever, weight loss, asthenia and thyrotoxicosis occurred 4 weeks later the administration of BNT162B2 (Pfizer-BioNTech) SARS-CoV-2 vaccine. Clinical, biochemical and instrumental work-up demonstrated Graves’ disease and autoimmune diabetes mellitus. The occurrence of these disorders could be explained through different mechanism such as autoimmune/inflammatory syndrome induced by adjuvants (ASIA syndrome), mRNA “self-adjuvant” effect, molecular mimicry between human and viral proteins and immune disruption from external stimuli. However further studies are needed to better understand the underlying pathogenesis of AIED following SARS-CoV-2 vaccine.","author":[{"dropping-particle":"","family":"Patrizio","given":"Armando","non-dropping-particle":"","parse-names":false,"suffix":""},{"dropping-particle":"","family":"Ferrari","given":"Silvia Martina","non-dropping-particle":"","parse-names":false,"suffix":""},{"dropping-particle":"","family":"Antonelli","given":"Alessandro","non-dropping-particle":"","parse-names":false,"suffix":""},{"dropping-particle":"","family":"Fallahi","given":"Poupak","non-dropping-particle":"","parse-names":false,"suffix":""}],"container-title":"Journal of autoimmunity","id":"ITEM-1","issued":{"date-parts":[["2021","12","1"]]},"publisher":"J Autoimmun","title":"A case of Graves' disease and type 1 diabetes mellitus following SARS-CoV-2 vaccination","type":"article-journal","volume":"125"},"uris":["http://www.mendeley.com/documents/?uuid=628ab84c-8a83-397a-a6f1-f2d41f6804f4"]}],"mendeley":{"formattedCitation":"(17)","plainTextFormattedCitation":"(17)","previouslyFormattedCitation":"(17)"},"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(17)</w:t>
            </w:r>
            <w:r w:rsidRPr="00620669">
              <w:rPr>
                <w:rFonts w:asciiTheme="majorBidi" w:eastAsia="Times New Roman" w:hAnsiTheme="majorBidi" w:cstheme="majorBidi"/>
                <w:color w:val="000000"/>
              </w:rPr>
              <w:fldChar w:fldCharType="end"/>
            </w:r>
          </w:p>
        </w:tc>
        <w:tc>
          <w:tcPr>
            <w:tcW w:w="2139" w:type="dxa"/>
          </w:tcPr>
          <w:p w14:paraId="0C124D96"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Four weeks after 2</w:t>
            </w:r>
            <w:r w:rsidRPr="00620669">
              <w:rPr>
                <w:rFonts w:asciiTheme="majorBidi" w:eastAsia="Times New Roman" w:hAnsiTheme="majorBidi" w:cstheme="majorBidi"/>
                <w:b/>
                <w:bCs/>
                <w:color w:val="000000"/>
                <w:sz w:val="12"/>
                <w:szCs w:val="12"/>
                <w:vertAlign w:val="superscript"/>
              </w:rPr>
              <w:t>nd</w:t>
            </w:r>
            <w:r w:rsidRPr="00620669">
              <w:rPr>
                <w:rFonts w:asciiTheme="majorBidi" w:eastAsia="Times New Roman" w:hAnsiTheme="majorBidi" w:cstheme="majorBidi"/>
                <w:b/>
                <w:bCs/>
                <w:color w:val="000000"/>
                <w:sz w:val="20"/>
                <w:szCs w:val="20"/>
              </w:rPr>
              <w:t xml:space="preserve"> dose: </w:t>
            </w:r>
          </w:p>
          <w:p w14:paraId="353728C4"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Night fever</w:t>
            </w:r>
          </w:p>
          <w:p w14:paraId="2023C6AA"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Weight loss (7kg)</w:t>
            </w:r>
          </w:p>
          <w:p w14:paraId="17892AF9"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Asthenia</w:t>
            </w:r>
          </w:p>
          <w:p w14:paraId="04424350"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Thyromegaly</w:t>
            </w:r>
          </w:p>
          <w:p w14:paraId="7D1D1805"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Overt hyperthyroidism</w:t>
            </w:r>
          </w:p>
          <w:p w14:paraId="602F6E5A" w14:textId="77777777" w:rsidR="00761827" w:rsidRPr="00620669" w:rsidRDefault="00761827" w:rsidP="00761827">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sz w:val="20"/>
                <w:szCs w:val="20"/>
              </w:rPr>
              <w:t>- Graves features on ultrasound </w:t>
            </w:r>
          </w:p>
        </w:tc>
        <w:tc>
          <w:tcPr>
            <w:tcW w:w="3119" w:type="dxa"/>
            <w:shd w:val="clear" w:color="auto" w:fill="auto"/>
            <w:tcMar>
              <w:top w:w="100" w:type="dxa"/>
              <w:left w:w="100" w:type="dxa"/>
              <w:bottom w:w="100" w:type="dxa"/>
              <w:right w:w="100" w:type="dxa"/>
            </w:tcMar>
            <w:hideMark/>
          </w:tcPr>
          <w:p w14:paraId="16A95A53"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rPr>
              <w:t>Insulin therapy was initiated</w:t>
            </w:r>
          </w:p>
        </w:tc>
        <w:tc>
          <w:tcPr>
            <w:tcW w:w="2829" w:type="dxa"/>
            <w:tcBorders>
              <w:bottom w:val="single" w:sz="8" w:space="0" w:color="000000"/>
            </w:tcBorders>
            <w:shd w:val="clear" w:color="auto" w:fill="auto"/>
            <w:tcMar>
              <w:top w:w="100" w:type="dxa"/>
              <w:left w:w="100" w:type="dxa"/>
              <w:bottom w:w="100" w:type="dxa"/>
              <w:right w:w="100" w:type="dxa"/>
            </w:tcMar>
            <w:hideMark/>
          </w:tcPr>
          <w:p w14:paraId="79FADDA4"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4"/>
                <w:szCs w:val="24"/>
              </w:rPr>
              <w:t>N/A</w:t>
            </w:r>
          </w:p>
        </w:tc>
      </w:tr>
      <w:tr w:rsidR="00761827" w:rsidRPr="00620669" w14:paraId="4672A5DB" w14:textId="77777777" w:rsidTr="001F1155">
        <w:tc>
          <w:tcPr>
            <w:tcW w:w="1253" w:type="dxa"/>
            <w:vMerge w:val="restart"/>
            <w:shd w:val="clear" w:color="auto" w:fill="auto"/>
            <w:tcMar>
              <w:top w:w="100" w:type="dxa"/>
              <w:left w:w="100" w:type="dxa"/>
              <w:bottom w:w="100" w:type="dxa"/>
              <w:right w:w="100" w:type="dxa"/>
            </w:tcMar>
            <w:hideMark/>
          </w:tcPr>
          <w:p w14:paraId="6B0B67A8" w14:textId="56D2EC3C" w:rsidR="00761827" w:rsidRPr="00620669" w:rsidRDefault="00761827" w:rsidP="00761827">
            <w:pPr>
              <w:spacing w:after="0" w:line="360" w:lineRule="auto"/>
              <w:rPr>
                <w:rFonts w:asciiTheme="majorBidi" w:eastAsia="Times New Roman" w:hAnsiTheme="majorBidi" w:cstheme="majorBidi"/>
                <w:sz w:val="24"/>
                <w:szCs w:val="24"/>
              </w:rPr>
            </w:pPr>
            <w:proofErr w:type="spellStart"/>
            <w:r w:rsidRPr="00620669">
              <w:rPr>
                <w:rFonts w:asciiTheme="majorBidi" w:eastAsia="Times New Roman" w:hAnsiTheme="majorBidi" w:cstheme="majorBidi"/>
                <w:color w:val="000000"/>
              </w:rPr>
              <w:t>Aydoğan</w:t>
            </w:r>
            <w:proofErr w:type="spellEnd"/>
            <w:r w:rsidRPr="00620669">
              <w:rPr>
                <w:rFonts w:asciiTheme="majorBidi" w:eastAsia="Times New Roman" w:hAnsiTheme="majorBidi" w:cstheme="majorBidi"/>
                <w:color w:val="000000"/>
              </w:rPr>
              <w:t xml:space="preserve"> 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{"citationItems":[{"id":"ITEM-1","itemData":{"DOI":"10.1007/S12020-022-03130-8","ISSN":"15590100","PMID":"35809159","abstract":"Purpose: Severe Acute Respiratory Syndrome Coronavirus 2 (SARS-CoV-2) vaccines have been reported to trigger immune side effects. Type 1 diabetes as a manifestation of autoimmune/inflammatory syndrome induced by adjuvants has been reported in a limited number of cases after vaccinations. A few type 1 diabetes cases after SARS-CoV-2 vaccination have been reported. This study aims to report type 1 diabetes cases associated with the mRNA-based SARS-CoV-2 vaccination. Methods: We report four cases of type 1 diabetes mellitus after mRNA-based SARS-CoV-2 vaccine, BNT162b2 (Pfizer–BioNTech). In the medical history, one subject had autoimmune thyroid disease. All patients had autoantibodies against glutamate decarboxylase. Results: In the presented case series, type 1 diabetes developed a few weeks after BNT162b2 vaccination. After developing type 1 diabetes, the insulin dose requirements of all patients decreased rapidly, and the need for insulin therapy in three patients disappeared during follow-up. Acute deterioration of glucose regulation in a patient followed by BNT162b2 administration may be due to vaccine-induced autoimmune diabetes. Conclusion: Vaccination with BNT162b2 may trigger type 1 diabetes.","author":[{"dropping-particle":"","family":"Aydoğan","given":"Berna İmge","non-dropping-particle":"","parse-names":false,"suffix":""},{"dropping-particle":"","family":"Ünlütürk","given":"Uğur","non-dropping-particle":"","parse-names":false,"suffix":""},{"dropping-particle":"","family":"Cesur","given":"Mustafa","non-dropping-particle":"","parse-names":false,"suffix":""}],"container-title":"Endocrine","id":"ITEM-1","issue":"1","issued":{"date-parts":[["2022","10","1"]]},"page":"42","publisher":"Nature Publishing Group","title":"Type 1 diabetes mellitus following SARS-CoV-2 mRNA vaccination","type":"article-journal","volume":"78"},"uris":["http://www.mendeley.com/documents/?uuid=0fd0306e-1f41-32ff-9e28-d7e1fa815d8e"]}],"mendeley":{"formattedCitation":"(18)","plainTextFormattedCitation":"(18)","previouslyFormattedCitation":"(18)"},"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(18)</w:t>
            </w:r>
            <w:r w:rsidRPr="00620669">
              <w:rPr>
                <w:rFonts w:asciiTheme="majorBidi" w:eastAsia="Times New Roman" w:hAnsiTheme="majorBidi" w:cstheme="majorBidi"/>
                <w:color w:val="000000"/>
              </w:rPr>
              <w:fldChar w:fldCharType="end"/>
            </w:r>
          </w:p>
        </w:tc>
        <w:tc>
          <w:tcPr>
            <w:tcW w:w="2139" w:type="dxa"/>
          </w:tcPr>
          <w:p w14:paraId="2F949550"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Fifteen days after 2</w:t>
            </w:r>
            <w:r w:rsidRPr="00620669">
              <w:rPr>
                <w:rFonts w:asciiTheme="majorBidi" w:eastAsia="Times New Roman" w:hAnsiTheme="majorBidi" w:cstheme="majorBidi"/>
                <w:b/>
                <w:bCs/>
                <w:color w:val="000000"/>
                <w:sz w:val="12"/>
                <w:szCs w:val="12"/>
                <w:vertAlign w:val="superscript"/>
              </w:rPr>
              <w:t>nd</w:t>
            </w:r>
            <w:r w:rsidRPr="00620669">
              <w:rPr>
                <w:rFonts w:asciiTheme="majorBidi" w:eastAsia="Times New Roman" w:hAnsiTheme="majorBidi" w:cstheme="majorBidi"/>
                <w:b/>
                <w:bCs/>
                <w:color w:val="000000"/>
                <w:sz w:val="20"/>
                <w:szCs w:val="20"/>
              </w:rPr>
              <w:t xml:space="preserve"> dose: </w:t>
            </w:r>
          </w:p>
          <w:p w14:paraId="7230EC82"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Fatigue</w:t>
            </w:r>
          </w:p>
          <w:p w14:paraId="59EE3E3F"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Dry mouth</w:t>
            </w:r>
          </w:p>
          <w:p w14:paraId="23D6DD04"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Polyuria</w:t>
            </w:r>
          </w:p>
          <w:p w14:paraId="04E9AC09" w14:textId="77777777" w:rsidR="00761827" w:rsidRPr="00620669" w:rsidRDefault="00761827" w:rsidP="00761827">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sz w:val="20"/>
                <w:szCs w:val="20"/>
              </w:rPr>
              <w:t>- Wight loss (5kg in a week) </w:t>
            </w:r>
          </w:p>
        </w:tc>
        <w:tc>
          <w:tcPr>
            <w:tcW w:w="3119" w:type="dxa"/>
            <w:shd w:val="clear" w:color="auto" w:fill="auto"/>
            <w:tcMar>
              <w:top w:w="100" w:type="dxa"/>
              <w:left w:w="100" w:type="dxa"/>
              <w:bottom w:w="100" w:type="dxa"/>
              <w:right w:w="100" w:type="dxa"/>
            </w:tcMar>
            <w:hideMark/>
          </w:tcPr>
          <w:p w14:paraId="137996FC"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1</w:t>
            </w:r>
            <w:r w:rsidRPr="00620669">
              <w:rPr>
                <w:rFonts w:asciiTheme="majorBidi" w:eastAsia="Times New Roman" w:hAnsiTheme="majorBidi" w:cstheme="majorBidi"/>
                <w:color w:val="000000"/>
                <w:sz w:val="13"/>
                <w:szCs w:val="13"/>
                <w:vertAlign w:val="superscript"/>
              </w:rPr>
              <w:t>st</w:t>
            </w:r>
            <w:r w:rsidRPr="00620669">
              <w:rPr>
                <w:rFonts w:asciiTheme="majorBidi" w:eastAsia="Times New Roman" w:hAnsiTheme="majorBidi" w:cstheme="majorBidi"/>
                <w:color w:val="000000"/>
              </w:rPr>
              <w:t xml:space="preserve"> Patient: Rapid insulin administration to correct the acute condition. Then Basal-bolus insulin therapy regimen was initiated.</w:t>
            </w:r>
          </w:p>
        </w:tc>
        <w:tc>
          <w:tcPr>
            <w:tcW w:w="2829" w:type="dxa"/>
            <w:shd w:val="clear" w:color="auto" w:fill="auto"/>
            <w:tcMar>
              <w:top w:w="100" w:type="dxa"/>
              <w:left w:w="100" w:type="dxa"/>
              <w:bottom w:w="100" w:type="dxa"/>
              <w:right w:w="100" w:type="dxa"/>
            </w:tcMar>
            <w:hideMark/>
          </w:tcPr>
          <w:p w14:paraId="3AA2007D"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Patient’s acute condition has improved.</w:t>
            </w:r>
            <w:r w:rsidRPr="00620669">
              <w:rPr>
                <w:rFonts w:asciiTheme="majorBidi" w:eastAsia="Times New Roman" w:hAnsiTheme="majorBidi" w:cstheme="majorBidi"/>
                <w:color w:val="000000"/>
                <w:sz w:val="24"/>
                <w:szCs w:val="24"/>
              </w:rPr>
              <w:t xml:space="preserve"> During 3-months period follow up, patient </w:t>
            </w:r>
            <w:r w:rsidRPr="00620669">
              <w:rPr>
                <w:rFonts w:asciiTheme="majorBidi" w:eastAsia="Times New Roman" w:hAnsiTheme="majorBidi" w:cstheme="majorBidi"/>
                <w:color w:val="000000"/>
              </w:rPr>
              <w:t xml:space="preserve">insulin requirements </w:t>
            </w:r>
            <w:proofErr w:type="gramStart"/>
            <w:r w:rsidRPr="00620669">
              <w:rPr>
                <w:rFonts w:asciiTheme="majorBidi" w:eastAsia="Times New Roman" w:hAnsiTheme="majorBidi" w:cstheme="majorBidi"/>
                <w:color w:val="000000"/>
              </w:rPr>
              <w:t>were</w:t>
            </w:r>
            <w:proofErr w:type="gramEnd"/>
          </w:p>
          <w:p w14:paraId="73F98510" w14:textId="77777777" w:rsidR="00761827" w:rsidRPr="00620669" w:rsidRDefault="00761827" w:rsidP="00761827">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 xml:space="preserve">steadily reduced and </w:t>
            </w:r>
            <w:r w:rsidRPr="00620669">
              <w:rPr>
                <w:rFonts w:asciiTheme="majorBidi" w:eastAsia="Times New Roman" w:hAnsiTheme="majorBidi" w:cstheme="majorBidi"/>
                <w:color w:val="000000"/>
                <w:sz w:val="24"/>
                <w:szCs w:val="24"/>
              </w:rPr>
              <w:t>discontinued insulin treatment at the 3-month visit due to recurrent hypoglycemic episodes. (Honeymoon phase)</w:t>
            </w:r>
          </w:p>
        </w:tc>
      </w:tr>
      <w:tr w:rsidR="00325075" w:rsidRPr="00620669" w14:paraId="50DB6BDB" w14:textId="77777777" w:rsidTr="001F1155">
        <w:tc>
          <w:tcPr>
            <w:tcW w:w="1253" w:type="dxa"/>
            <w:vMerge/>
            <w:shd w:val="clear" w:color="auto" w:fill="auto"/>
            <w:vAlign w:val="center"/>
            <w:hideMark/>
          </w:tcPr>
          <w:p w14:paraId="3751A3E4" w14:textId="77777777" w:rsidR="00325075" w:rsidRPr="00620669" w:rsidRDefault="00325075" w:rsidP="00C546DE">
            <w:pPr>
              <w:spacing w:after="0" w:line="360" w:lineRule="auto"/>
              <w:rPr>
                <w:rFonts w:asciiTheme="majorBidi" w:eastAsia="Times New Roman" w:hAnsiTheme="majorBidi" w:cstheme="majorBidi"/>
                <w:sz w:val="24"/>
                <w:szCs w:val="24"/>
              </w:rPr>
            </w:pPr>
          </w:p>
        </w:tc>
        <w:tc>
          <w:tcPr>
            <w:tcW w:w="2139" w:type="dxa"/>
          </w:tcPr>
          <w:p w14:paraId="520939CB"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Eight weeks after 2</w:t>
            </w:r>
            <w:r w:rsidRPr="00620669">
              <w:rPr>
                <w:rFonts w:asciiTheme="majorBidi" w:eastAsia="Times New Roman" w:hAnsiTheme="majorBidi" w:cstheme="majorBidi"/>
                <w:b/>
                <w:bCs/>
                <w:color w:val="000000"/>
                <w:sz w:val="12"/>
                <w:szCs w:val="12"/>
                <w:vertAlign w:val="superscript"/>
              </w:rPr>
              <w:t>nd</w:t>
            </w:r>
            <w:r w:rsidRPr="00620669">
              <w:rPr>
                <w:rFonts w:asciiTheme="majorBidi" w:eastAsia="Times New Roman" w:hAnsiTheme="majorBidi" w:cstheme="majorBidi"/>
                <w:b/>
                <w:bCs/>
                <w:color w:val="000000"/>
                <w:sz w:val="20"/>
                <w:szCs w:val="20"/>
              </w:rPr>
              <w:t xml:space="preserve"> dose: </w:t>
            </w:r>
          </w:p>
          <w:p w14:paraId="46FB0407"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Fatigue </w:t>
            </w:r>
          </w:p>
          <w:p w14:paraId="26D64DDF" w14:textId="77777777" w:rsidR="00325075" w:rsidRPr="00620669" w:rsidRDefault="00325075" w:rsidP="00C546DE">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sz w:val="20"/>
                <w:szCs w:val="20"/>
              </w:rPr>
              <w:t>- Hyperglycemia</w:t>
            </w:r>
          </w:p>
        </w:tc>
        <w:tc>
          <w:tcPr>
            <w:tcW w:w="3119" w:type="dxa"/>
            <w:shd w:val="clear" w:color="auto" w:fill="auto"/>
            <w:tcMar>
              <w:top w:w="100" w:type="dxa"/>
              <w:left w:w="100" w:type="dxa"/>
              <w:bottom w:w="100" w:type="dxa"/>
              <w:right w:w="100" w:type="dxa"/>
            </w:tcMar>
            <w:hideMark/>
          </w:tcPr>
          <w:p w14:paraId="067628E0"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2</w:t>
            </w:r>
            <w:r w:rsidRPr="00620669">
              <w:rPr>
                <w:rFonts w:asciiTheme="majorBidi" w:eastAsia="Times New Roman" w:hAnsiTheme="majorBidi" w:cstheme="majorBidi"/>
                <w:color w:val="000000"/>
                <w:sz w:val="13"/>
                <w:szCs w:val="13"/>
                <w:vertAlign w:val="superscript"/>
              </w:rPr>
              <w:t>nd</w:t>
            </w:r>
            <w:r w:rsidRPr="00620669">
              <w:rPr>
                <w:rFonts w:asciiTheme="majorBidi" w:eastAsia="Times New Roman" w:hAnsiTheme="majorBidi" w:cstheme="majorBidi"/>
                <w:color w:val="000000"/>
              </w:rPr>
              <w:t xml:space="preserve"> Patient: Patient refused to initiate insulin treatment but </w:t>
            </w:r>
            <w:proofErr w:type="gramStart"/>
            <w:r w:rsidRPr="00620669">
              <w:rPr>
                <w:rFonts w:asciiTheme="majorBidi" w:eastAsia="Times New Roman" w:hAnsiTheme="majorBidi" w:cstheme="majorBidi"/>
                <w:color w:val="000000"/>
              </w:rPr>
              <w:t>adopted</w:t>
            </w:r>
            <w:proofErr w:type="gramEnd"/>
          </w:p>
          <w:p w14:paraId="7E0ACA13"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 xml:space="preserve">low-carbohydrate diet that resulted in frequent hypoglycemic events in </w:t>
            </w:r>
            <w:proofErr w:type="gramStart"/>
            <w:r w:rsidRPr="00620669">
              <w:rPr>
                <w:rFonts w:asciiTheme="majorBidi" w:eastAsia="Times New Roman" w:hAnsiTheme="majorBidi" w:cstheme="majorBidi"/>
                <w:color w:val="000000"/>
              </w:rPr>
              <w:t>continuous</w:t>
            </w:r>
            <w:proofErr w:type="gramEnd"/>
          </w:p>
          <w:p w14:paraId="7EF73DA6"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glucose monitoring.</w:t>
            </w:r>
          </w:p>
        </w:tc>
        <w:tc>
          <w:tcPr>
            <w:tcW w:w="2829" w:type="dxa"/>
            <w:shd w:val="clear" w:color="auto" w:fill="auto"/>
            <w:tcMar>
              <w:top w:w="100" w:type="dxa"/>
              <w:left w:w="100" w:type="dxa"/>
              <w:bottom w:w="100" w:type="dxa"/>
              <w:right w:w="100" w:type="dxa"/>
            </w:tcMar>
            <w:hideMark/>
          </w:tcPr>
          <w:p w14:paraId="6E050828"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Frequent hypoglycemic episodes in continuous glucose monitoring with low-carbohydrate diet</w:t>
            </w:r>
          </w:p>
          <w:p w14:paraId="5216D44D" w14:textId="77777777" w:rsidR="00325075" w:rsidRPr="00620669" w:rsidRDefault="00325075" w:rsidP="00C546DE">
            <w:pPr>
              <w:spacing w:after="0" w:line="360" w:lineRule="auto"/>
              <w:rPr>
                <w:rFonts w:asciiTheme="majorBidi" w:eastAsia="Times New Roman" w:hAnsiTheme="majorBidi" w:cstheme="majorBidi"/>
                <w:sz w:val="24"/>
                <w:szCs w:val="24"/>
              </w:rPr>
            </w:pPr>
          </w:p>
        </w:tc>
      </w:tr>
      <w:tr w:rsidR="00325075" w:rsidRPr="00620669" w14:paraId="7A944222" w14:textId="77777777" w:rsidTr="001F1155">
        <w:tc>
          <w:tcPr>
            <w:tcW w:w="1253" w:type="dxa"/>
            <w:vMerge/>
            <w:shd w:val="clear" w:color="auto" w:fill="auto"/>
            <w:vAlign w:val="center"/>
            <w:hideMark/>
          </w:tcPr>
          <w:p w14:paraId="0CC5A141" w14:textId="77777777" w:rsidR="00325075" w:rsidRPr="00620669" w:rsidRDefault="00325075" w:rsidP="00C546DE">
            <w:pPr>
              <w:spacing w:after="0" w:line="360" w:lineRule="auto"/>
              <w:rPr>
                <w:rFonts w:asciiTheme="majorBidi" w:eastAsia="Times New Roman" w:hAnsiTheme="majorBidi" w:cstheme="majorBidi"/>
                <w:sz w:val="24"/>
                <w:szCs w:val="24"/>
              </w:rPr>
            </w:pPr>
          </w:p>
        </w:tc>
        <w:tc>
          <w:tcPr>
            <w:tcW w:w="2139" w:type="dxa"/>
          </w:tcPr>
          <w:p w14:paraId="14C7F549"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Three weeks after 2</w:t>
            </w:r>
            <w:r w:rsidRPr="00620669">
              <w:rPr>
                <w:rFonts w:asciiTheme="majorBidi" w:eastAsia="Times New Roman" w:hAnsiTheme="majorBidi" w:cstheme="majorBidi"/>
                <w:b/>
                <w:bCs/>
                <w:color w:val="000000"/>
                <w:sz w:val="12"/>
                <w:szCs w:val="12"/>
                <w:vertAlign w:val="superscript"/>
              </w:rPr>
              <w:t>nd</w:t>
            </w:r>
            <w:r w:rsidRPr="00620669">
              <w:rPr>
                <w:rFonts w:asciiTheme="majorBidi" w:eastAsia="Times New Roman" w:hAnsiTheme="majorBidi" w:cstheme="majorBidi"/>
                <w:b/>
                <w:bCs/>
                <w:color w:val="000000"/>
                <w:sz w:val="20"/>
                <w:szCs w:val="20"/>
              </w:rPr>
              <w:t xml:space="preserve"> dose: </w:t>
            </w:r>
          </w:p>
          <w:p w14:paraId="5619AD9C"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Blurred vision</w:t>
            </w:r>
          </w:p>
          <w:p w14:paraId="32262D70"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Polyuria</w:t>
            </w:r>
          </w:p>
          <w:p w14:paraId="7DA9ED83"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lastRenderedPageBreak/>
              <w:t>- Polydipsia </w:t>
            </w:r>
          </w:p>
          <w:p w14:paraId="7B09B3E5"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Weight loss</w:t>
            </w:r>
          </w:p>
          <w:p w14:paraId="3E475B64" w14:textId="77777777" w:rsidR="00325075" w:rsidRPr="00620669" w:rsidRDefault="00325075" w:rsidP="00C546DE">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sz w:val="20"/>
                <w:szCs w:val="20"/>
              </w:rPr>
              <w:t>- Vaginal candidiasis</w:t>
            </w:r>
          </w:p>
        </w:tc>
        <w:tc>
          <w:tcPr>
            <w:tcW w:w="3119" w:type="dxa"/>
            <w:shd w:val="clear" w:color="auto" w:fill="auto"/>
            <w:tcMar>
              <w:top w:w="100" w:type="dxa"/>
              <w:left w:w="100" w:type="dxa"/>
              <w:bottom w:w="100" w:type="dxa"/>
              <w:right w:w="100" w:type="dxa"/>
            </w:tcMar>
            <w:hideMark/>
          </w:tcPr>
          <w:p w14:paraId="5289E744"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lastRenderedPageBreak/>
              <w:t>3</w:t>
            </w:r>
            <w:r w:rsidRPr="00620669">
              <w:rPr>
                <w:rFonts w:asciiTheme="majorBidi" w:eastAsia="Times New Roman" w:hAnsiTheme="majorBidi" w:cstheme="majorBidi"/>
                <w:color w:val="000000"/>
                <w:sz w:val="13"/>
                <w:szCs w:val="13"/>
                <w:vertAlign w:val="superscript"/>
              </w:rPr>
              <w:t>rd</w:t>
            </w:r>
            <w:r w:rsidRPr="00620669">
              <w:rPr>
                <w:rFonts w:asciiTheme="majorBidi" w:eastAsia="Times New Roman" w:hAnsiTheme="majorBidi" w:cstheme="majorBidi"/>
                <w:color w:val="000000"/>
              </w:rPr>
              <w:t xml:space="preserve"> Patient: Medical nutrition therapy and a basal-bolus insulin therapy regimen was </w:t>
            </w:r>
            <w:r w:rsidRPr="00620669">
              <w:rPr>
                <w:rFonts w:asciiTheme="majorBidi" w:eastAsia="Times New Roman" w:hAnsiTheme="majorBidi" w:cstheme="majorBidi"/>
                <w:color w:val="000000"/>
              </w:rPr>
              <w:lastRenderedPageBreak/>
              <w:t xml:space="preserve">initiated. Her insulin requirements </w:t>
            </w:r>
            <w:proofErr w:type="gramStart"/>
            <w:r w:rsidRPr="00620669">
              <w:rPr>
                <w:rFonts w:asciiTheme="majorBidi" w:eastAsia="Times New Roman" w:hAnsiTheme="majorBidi" w:cstheme="majorBidi"/>
                <w:color w:val="000000"/>
              </w:rPr>
              <w:t>were</w:t>
            </w:r>
            <w:proofErr w:type="gramEnd"/>
          </w:p>
          <w:p w14:paraId="0F79F0AD"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gradually reduced, and she discontinued insulin treatment.</w:t>
            </w:r>
          </w:p>
          <w:p w14:paraId="5412CF93" w14:textId="77777777" w:rsidR="00325075" w:rsidRPr="00620669" w:rsidRDefault="00325075" w:rsidP="00C546DE">
            <w:pPr>
              <w:spacing w:after="0" w:line="360" w:lineRule="auto"/>
              <w:rPr>
                <w:rFonts w:asciiTheme="majorBidi" w:eastAsia="Times New Roman" w:hAnsiTheme="majorBidi" w:cstheme="majorBidi"/>
                <w:sz w:val="24"/>
                <w:szCs w:val="24"/>
              </w:rPr>
            </w:pPr>
          </w:p>
        </w:tc>
        <w:tc>
          <w:tcPr>
            <w:tcW w:w="2829" w:type="dxa"/>
            <w:shd w:val="clear" w:color="auto" w:fill="auto"/>
            <w:tcMar>
              <w:top w:w="100" w:type="dxa"/>
              <w:left w:w="100" w:type="dxa"/>
              <w:bottom w:w="100" w:type="dxa"/>
              <w:right w:w="100" w:type="dxa"/>
            </w:tcMar>
            <w:hideMark/>
          </w:tcPr>
          <w:p w14:paraId="70B2131D"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4"/>
                <w:szCs w:val="24"/>
              </w:rPr>
              <w:lastRenderedPageBreak/>
              <w:t xml:space="preserve">During follow up, patient </w:t>
            </w:r>
            <w:r w:rsidRPr="00620669">
              <w:rPr>
                <w:rFonts w:asciiTheme="majorBidi" w:eastAsia="Times New Roman" w:hAnsiTheme="majorBidi" w:cstheme="majorBidi"/>
                <w:color w:val="000000"/>
              </w:rPr>
              <w:t xml:space="preserve">insulin requirements were steadily reduced, and she </w:t>
            </w:r>
            <w:r w:rsidRPr="00620669">
              <w:rPr>
                <w:rFonts w:asciiTheme="majorBidi" w:eastAsia="Times New Roman" w:hAnsiTheme="majorBidi" w:cstheme="majorBidi"/>
                <w:color w:val="000000"/>
                <w:sz w:val="24"/>
                <w:szCs w:val="24"/>
              </w:rPr>
              <w:lastRenderedPageBreak/>
              <w:t>discontinued insulin treatment.</w:t>
            </w:r>
          </w:p>
        </w:tc>
      </w:tr>
      <w:tr w:rsidR="00325075" w:rsidRPr="00620669" w14:paraId="75402132" w14:textId="77777777" w:rsidTr="001F1155">
        <w:trPr>
          <w:trHeight w:val="835"/>
        </w:trPr>
        <w:tc>
          <w:tcPr>
            <w:tcW w:w="1253" w:type="dxa"/>
            <w:vMerge/>
            <w:shd w:val="clear" w:color="auto" w:fill="auto"/>
            <w:vAlign w:val="center"/>
            <w:hideMark/>
          </w:tcPr>
          <w:p w14:paraId="24BA0345" w14:textId="77777777" w:rsidR="00325075" w:rsidRPr="00620669" w:rsidRDefault="00325075" w:rsidP="00C546DE">
            <w:pPr>
              <w:spacing w:after="0" w:line="360" w:lineRule="auto"/>
              <w:rPr>
                <w:rFonts w:asciiTheme="majorBidi" w:eastAsia="Times New Roman" w:hAnsiTheme="majorBidi" w:cstheme="majorBidi"/>
                <w:sz w:val="24"/>
                <w:szCs w:val="24"/>
              </w:rPr>
            </w:pPr>
          </w:p>
        </w:tc>
        <w:tc>
          <w:tcPr>
            <w:tcW w:w="2139" w:type="dxa"/>
          </w:tcPr>
          <w:p w14:paraId="0F1C3DB8"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0"/>
                <w:szCs w:val="20"/>
              </w:rPr>
              <w:t>Three weeks after 4</w:t>
            </w:r>
            <w:r w:rsidRPr="00620669">
              <w:rPr>
                <w:rFonts w:asciiTheme="majorBidi" w:eastAsia="Times New Roman" w:hAnsiTheme="majorBidi" w:cstheme="majorBidi"/>
                <w:b/>
                <w:bCs/>
                <w:color w:val="000000"/>
                <w:sz w:val="12"/>
                <w:szCs w:val="12"/>
                <w:vertAlign w:val="superscript"/>
              </w:rPr>
              <w:t>th</w:t>
            </w:r>
            <w:r w:rsidRPr="00620669">
              <w:rPr>
                <w:rFonts w:asciiTheme="majorBidi" w:eastAsia="Times New Roman" w:hAnsiTheme="majorBidi" w:cstheme="majorBidi"/>
                <w:b/>
                <w:bCs/>
                <w:color w:val="000000"/>
                <w:sz w:val="20"/>
                <w:szCs w:val="20"/>
              </w:rPr>
              <w:t xml:space="preserve"> dose: </w:t>
            </w:r>
          </w:p>
          <w:p w14:paraId="4978728B"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Fatigue</w:t>
            </w:r>
          </w:p>
          <w:p w14:paraId="2CCF08E7"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Dizziness</w:t>
            </w:r>
          </w:p>
          <w:p w14:paraId="1D95478F"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Unintentional weight loss</w:t>
            </w:r>
          </w:p>
          <w:p w14:paraId="02E6F0ED"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sz w:val="20"/>
                <w:szCs w:val="20"/>
              </w:rPr>
              <w:t>- Decreased skin turgor </w:t>
            </w:r>
          </w:p>
          <w:p w14:paraId="70B55B82" w14:textId="77777777" w:rsidR="00325075" w:rsidRPr="00620669" w:rsidRDefault="00325075" w:rsidP="00C546DE">
            <w:p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sz w:val="20"/>
                <w:szCs w:val="20"/>
              </w:rPr>
              <w:t>- Dry mouth</w:t>
            </w:r>
          </w:p>
        </w:tc>
        <w:tc>
          <w:tcPr>
            <w:tcW w:w="3119" w:type="dxa"/>
            <w:shd w:val="clear" w:color="auto" w:fill="auto"/>
            <w:tcMar>
              <w:top w:w="100" w:type="dxa"/>
              <w:left w:w="100" w:type="dxa"/>
              <w:bottom w:w="100" w:type="dxa"/>
              <w:right w:w="100" w:type="dxa"/>
            </w:tcMar>
            <w:hideMark/>
          </w:tcPr>
          <w:p w14:paraId="788478E5"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4</w:t>
            </w:r>
            <w:r w:rsidRPr="00620669">
              <w:rPr>
                <w:rFonts w:asciiTheme="majorBidi" w:eastAsia="Times New Roman" w:hAnsiTheme="majorBidi" w:cstheme="majorBidi"/>
                <w:color w:val="000000"/>
                <w:sz w:val="13"/>
                <w:szCs w:val="13"/>
                <w:vertAlign w:val="superscript"/>
              </w:rPr>
              <w:t>th</w:t>
            </w:r>
            <w:r w:rsidRPr="00620669">
              <w:rPr>
                <w:rFonts w:asciiTheme="majorBidi" w:eastAsia="Times New Roman" w:hAnsiTheme="majorBidi" w:cstheme="majorBidi"/>
                <w:color w:val="000000"/>
              </w:rPr>
              <w:t xml:space="preserve"> Patient: Intravenous fluids and rapid insulin administration to correct the acute condition. Basal-bolus insulin therapy regimen was initiated upon discharge.</w:t>
            </w:r>
          </w:p>
        </w:tc>
        <w:tc>
          <w:tcPr>
            <w:tcW w:w="2829" w:type="dxa"/>
            <w:shd w:val="clear" w:color="auto" w:fill="auto"/>
            <w:tcMar>
              <w:top w:w="100" w:type="dxa"/>
              <w:left w:w="100" w:type="dxa"/>
              <w:bottom w:w="100" w:type="dxa"/>
              <w:right w:w="100" w:type="dxa"/>
            </w:tcMar>
            <w:hideMark/>
          </w:tcPr>
          <w:p w14:paraId="0D1EE4E7" w14:textId="77777777" w:rsidR="00325075" w:rsidRPr="00620669" w:rsidRDefault="00325075" w:rsidP="00C546DE">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color w:val="000000"/>
              </w:rPr>
              <w:t>Patient’s acute condition has improved. At the 2</w:t>
            </w:r>
            <w:r w:rsidRPr="00620669">
              <w:rPr>
                <w:rFonts w:asciiTheme="majorBidi" w:eastAsia="Times New Roman" w:hAnsiTheme="majorBidi" w:cstheme="majorBidi"/>
                <w:color w:val="000000"/>
                <w:vertAlign w:val="superscript"/>
              </w:rPr>
              <w:t>nd</w:t>
            </w:r>
            <w:r w:rsidRPr="00620669">
              <w:rPr>
                <w:rFonts w:asciiTheme="majorBidi" w:eastAsia="Times New Roman" w:hAnsiTheme="majorBidi" w:cstheme="majorBidi"/>
                <w:color w:val="000000"/>
              </w:rPr>
              <w:t xml:space="preserve"> month follow up, basal bolus insulin dose was reduced.</w:t>
            </w:r>
          </w:p>
        </w:tc>
      </w:tr>
    </w:tbl>
    <w:p w14:paraId="4514C8A8" w14:textId="77777777" w:rsidR="00325075" w:rsidRPr="00620669" w:rsidRDefault="00325075" w:rsidP="00325075">
      <w:pPr>
        <w:spacing w:after="240" w:line="360" w:lineRule="auto"/>
        <w:rPr>
          <w:rFonts w:asciiTheme="majorBidi" w:eastAsia="Times New Roman" w:hAnsiTheme="majorBidi" w:cstheme="majorBidi"/>
          <w:sz w:val="24"/>
          <w:szCs w:val="24"/>
        </w:rPr>
      </w:pPr>
    </w:p>
    <w:p w14:paraId="2B029EC1" w14:textId="27390890" w:rsidR="00325075" w:rsidRPr="00620669" w:rsidRDefault="00325075" w:rsidP="00325075">
      <w:pPr>
        <w:spacing w:after="0" w:line="360" w:lineRule="auto"/>
        <w:rPr>
          <w:rFonts w:asciiTheme="majorBidi" w:eastAsia="Times New Roman" w:hAnsiTheme="majorBidi" w:cstheme="majorBidi"/>
          <w:sz w:val="24"/>
          <w:szCs w:val="24"/>
        </w:rPr>
      </w:pPr>
      <w:r w:rsidRPr="00620669">
        <w:rPr>
          <w:rFonts w:asciiTheme="majorBidi" w:eastAsia="Times New Roman" w:hAnsiTheme="majorBidi" w:cstheme="majorBidi"/>
          <w:b/>
          <w:bCs/>
          <w:color w:val="000000"/>
          <w:sz w:val="24"/>
          <w:szCs w:val="24"/>
        </w:rPr>
        <w:t xml:space="preserve">Supplementary Table </w:t>
      </w:r>
      <w:r w:rsidR="00E61103" w:rsidRPr="00620669">
        <w:rPr>
          <w:rFonts w:asciiTheme="majorBidi" w:eastAsia="Times New Roman" w:hAnsiTheme="majorBidi" w:cstheme="majorBidi"/>
          <w:b/>
          <w:bCs/>
          <w:color w:val="000000"/>
          <w:sz w:val="24"/>
          <w:szCs w:val="24"/>
        </w:rPr>
        <w:t>3</w:t>
      </w:r>
      <w:r w:rsidRPr="00620669">
        <w:rPr>
          <w:rFonts w:asciiTheme="majorBidi" w:eastAsia="Times New Roman" w:hAnsiTheme="majorBidi" w:cstheme="majorBidi"/>
          <w:b/>
          <w:bCs/>
          <w:color w:val="000000"/>
          <w:sz w:val="24"/>
          <w:szCs w:val="24"/>
        </w:rPr>
        <w:t xml:space="preserve">. </w:t>
      </w:r>
      <w:r w:rsidRPr="00620669">
        <w:rPr>
          <w:rFonts w:asciiTheme="majorBidi" w:eastAsia="Times New Roman" w:hAnsiTheme="majorBidi" w:cstheme="majorBidi"/>
          <w:color w:val="000000"/>
          <w:sz w:val="24"/>
          <w:szCs w:val="24"/>
        </w:rPr>
        <w:t>Risk of bias assessment</w:t>
      </w:r>
      <w:r w:rsidR="000545AF" w:rsidRPr="00620669">
        <w:rPr>
          <w:rFonts w:asciiTheme="majorBidi" w:eastAsia="Times New Roman" w:hAnsiTheme="majorBidi" w:cstheme="majorBidi"/>
          <w:color w:val="000000"/>
          <w:sz w:val="24"/>
          <w:szCs w:val="24"/>
        </w:rPr>
        <w:t>.</w:t>
      </w:r>
      <w:r w:rsidRPr="00620669">
        <w:rPr>
          <w:rFonts w:asciiTheme="majorBidi" w:eastAsia="Times New Roman" w:hAnsiTheme="majorBidi" w:cstheme="majorBidi"/>
          <w:b/>
          <w:bCs/>
          <w:color w:val="000000"/>
          <w:sz w:val="24"/>
          <w:szCs w:val="24"/>
        </w:rPr>
        <w:t> </w:t>
      </w:r>
    </w:p>
    <w:p w14:paraId="1E912942" w14:textId="77777777" w:rsidR="00325075" w:rsidRPr="00620669" w:rsidRDefault="00325075" w:rsidP="00325075">
      <w:pPr>
        <w:spacing w:after="0" w:line="360" w:lineRule="auto"/>
        <w:rPr>
          <w:rFonts w:asciiTheme="majorBidi" w:eastAsia="Times New Roman" w:hAnsiTheme="majorBidi" w:cstheme="majorBid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tblBorders>
        <w:tblCellMar>
          <w:top w:w="15" w:type="dxa"/>
          <w:left w:w="15" w:type="dxa"/>
          <w:bottom w:w="15" w:type="dxa"/>
          <w:right w:w="15" w:type="dxa"/>
        </w:tblCellMar>
        <w:tblLook w:val="04A0" w:firstRow="1" w:lastRow="0" w:firstColumn="1" w:lastColumn="0" w:noHBand="0" w:noVBand="1"/>
      </w:tblPr>
      <w:tblGrid>
        <w:gridCol w:w="2436"/>
        <w:gridCol w:w="573"/>
        <w:gridCol w:w="573"/>
        <w:gridCol w:w="573"/>
        <w:gridCol w:w="573"/>
        <w:gridCol w:w="573"/>
        <w:gridCol w:w="573"/>
        <w:gridCol w:w="609"/>
        <w:gridCol w:w="573"/>
      </w:tblGrid>
      <w:tr w:rsidR="00325075" w:rsidRPr="00620669" w14:paraId="02C4A593" w14:textId="77777777" w:rsidTr="001F1155">
        <w:trPr>
          <w:jc w:val="center"/>
        </w:trPr>
        <w:tc>
          <w:tcPr>
            <w:tcW w:w="0" w:type="auto"/>
            <w:shd w:val="clear" w:color="auto" w:fill="auto"/>
            <w:tcMar>
              <w:top w:w="0" w:type="dxa"/>
              <w:left w:w="115" w:type="dxa"/>
              <w:bottom w:w="0" w:type="dxa"/>
              <w:right w:w="115" w:type="dxa"/>
            </w:tcMar>
            <w:hideMark/>
          </w:tcPr>
          <w:p w14:paraId="41E885F8" w14:textId="77777777" w:rsidR="00325075" w:rsidRPr="00620669" w:rsidRDefault="00325075" w:rsidP="00C546DE">
            <w:pPr>
              <w:spacing w:after="0" w:line="360" w:lineRule="auto"/>
              <w:rPr>
                <w:rFonts w:asciiTheme="majorBidi" w:eastAsia="Times New Roman" w:hAnsiTheme="majorBidi" w:cstheme="majorBidi"/>
                <w:b/>
                <w:bCs/>
              </w:rPr>
            </w:pPr>
            <w:r w:rsidRPr="00620669">
              <w:rPr>
                <w:rFonts w:asciiTheme="majorBidi" w:eastAsia="Times New Roman" w:hAnsiTheme="majorBidi" w:cstheme="majorBidi"/>
                <w:b/>
                <w:bCs/>
                <w:color w:val="000000"/>
              </w:rPr>
              <w:t>Authors (reference)</w:t>
            </w:r>
          </w:p>
        </w:tc>
        <w:tc>
          <w:tcPr>
            <w:tcW w:w="0" w:type="auto"/>
            <w:shd w:val="clear" w:color="auto" w:fill="auto"/>
            <w:tcMar>
              <w:top w:w="0" w:type="dxa"/>
              <w:left w:w="115" w:type="dxa"/>
              <w:bottom w:w="0" w:type="dxa"/>
              <w:right w:w="115" w:type="dxa"/>
            </w:tcMar>
            <w:hideMark/>
          </w:tcPr>
          <w:p w14:paraId="10684F64" w14:textId="6DF79401" w:rsidR="00325075" w:rsidRPr="00620669" w:rsidRDefault="00AA3049" w:rsidP="00C546DE">
            <w:pPr>
              <w:spacing w:after="0" w:line="360" w:lineRule="auto"/>
              <w:rPr>
                <w:rFonts w:asciiTheme="majorBidi" w:eastAsia="Times New Roman" w:hAnsiTheme="majorBidi" w:cstheme="majorBidi"/>
                <w:b/>
                <w:bCs/>
              </w:rPr>
            </w:pPr>
            <w:r w:rsidRPr="00620669">
              <w:rPr>
                <w:rFonts w:asciiTheme="majorBidi" w:eastAsia="Times New Roman" w:hAnsiTheme="majorBidi" w:cstheme="majorBidi"/>
                <w:b/>
                <w:bCs/>
                <w:color w:val="000000"/>
              </w:rPr>
              <w:t>Q</w:t>
            </w:r>
            <w:r w:rsidR="00325075" w:rsidRPr="00620669">
              <w:rPr>
                <w:rFonts w:asciiTheme="majorBidi" w:eastAsia="Times New Roman" w:hAnsiTheme="majorBidi" w:cstheme="majorBidi"/>
                <w:b/>
                <w:bCs/>
                <w:color w:val="000000"/>
              </w:rPr>
              <w:t>1</w:t>
            </w:r>
          </w:p>
        </w:tc>
        <w:tc>
          <w:tcPr>
            <w:tcW w:w="0" w:type="auto"/>
            <w:shd w:val="clear" w:color="auto" w:fill="auto"/>
            <w:tcMar>
              <w:top w:w="0" w:type="dxa"/>
              <w:left w:w="115" w:type="dxa"/>
              <w:bottom w:w="0" w:type="dxa"/>
              <w:right w:w="115" w:type="dxa"/>
            </w:tcMar>
            <w:hideMark/>
          </w:tcPr>
          <w:p w14:paraId="0CBA7012" w14:textId="4DF5D3B6" w:rsidR="00325075" w:rsidRPr="00620669" w:rsidRDefault="00AA3049" w:rsidP="00C546DE">
            <w:pPr>
              <w:spacing w:after="0" w:line="360" w:lineRule="auto"/>
              <w:rPr>
                <w:rFonts w:asciiTheme="majorBidi" w:eastAsia="Times New Roman" w:hAnsiTheme="majorBidi" w:cstheme="majorBidi"/>
                <w:b/>
                <w:bCs/>
              </w:rPr>
            </w:pPr>
            <w:r w:rsidRPr="00620669">
              <w:rPr>
                <w:rFonts w:asciiTheme="majorBidi" w:eastAsia="Times New Roman" w:hAnsiTheme="majorBidi" w:cstheme="majorBidi"/>
                <w:b/>
                <w:bCs/>
                <w:color w:val="000000"/>
              </w:rPr>
              <w:t>Q</w:t>
            </w:r>
            <w:r w:rsidR="00325075" w:rsidRPr="00620669">
              <w:rPr>
                <w:rFonts w:asciiTheme="majorBidi" w:eastAsia="Times New Roman" w:hAnsiTheme="majorBidi" w:cstheme="majorBidi"/>
                <w:b/>
                <w:bCs/>
                <w:color w:val="000000"/>
              </w:rPr>
              <w:t>2</w:t>
            </w:r>
          </w:p>
          <w:p w14:paraId="676A139D" w14:textId="77777777" w:rsidR="00325075" w:rsidRPr="00620669" w:rsidRDefault="00325075" w:rsidP="00C546DE">
            <w:pPr>
              <w:spacing w:after="0" w:line="360" w:lineRule="auto"/>
              <w:rPr>
                <w:rFonts w:asciiTheme="majorBidi" w:eastAsia="Times New Roman" w:hAnsiTheme="majorBidi" w:cstheme="majorBidi"/>
                <w:b/>
                <w:bCs/>
              </w:rPr>
            </w:pPr>
          </w:p>
        </w:tc>
        <w:tc>
          <w:tcPr>
            <w:tcW w:w="0" w:type="auto"/>
            <w:shd w:val="clear" w:color="auto" w:fill="auto"/>
            <w:tcMar>
              <w:top w:w="0" w:type="dxa"/>
              <w:left w:w="115" w:type="dxa"/>
              <w:bottom w:w="0" w:type="dxa"/>
              <w:right w:w="115" w:type="dxa"/>
            </w:tcMar>
            <w:hideMark/>
          </w:tcPr>
          <w:p w14:paraId="6B7F6D43" w14:textId="6AC7D5F1" w:rsidR="00325075" w:rsidRPr="00620669" w:rsidRDefault="00AA3049" w:rsidP="00C546DE">
            <w:pPr>
              <w:spacing w:after="0" w:line="360" w:lineRule="auto"/>
              <w:rPr>
                <w:rFonts w:asciiTheme="majorBidi" w:eastAsia="Times New Roman" w:hAnsiTheme="majorBidi" w:cstheme="majorBidi"/>
                <w:b/>
                <w:bCs/>
              </w:rPr>
            </w:pPr>
            <w:r w:rsidRPr="00620669">
              <w:rPr>
                <w:rFonts w:asciiTheme="majorBidi" w:eastAsia="Times New Roman" w:hAnsiTheme="majorBidi" w:cstheme="majorBidi"/>
                <w:b/>
                <w:bCs/>
                <w:color w:val="000000"/>
              </w:rPr>
              <w:t>Q</w:t>
            </w:r>
            <w:r w:rsidR="00325075" w:rsidRPr="00620669">
              <w:rPr>
                <w:rFonts w:asciiTheme="majorBidi" w:eastAsia="Times New Roman" w:hAnsiTheme="majorBidi" w:cstheme="majorBidi"/>
                <w:b/>
                <w:bCs/>
                <w:color w:val="000000"/>
              </w:rPr>
              <w:t>3</w:t>
            </w:r>
          </w:p>
        </w:tc>
        <w:tc>
          <w:tcPr>
            <w:tcW w:w="0" w:type="auto"/>
            <w:shd w:val="clear" w:color="auto" w:fill="auto"/>
            <w:tcMar>
              <w:top w:w="0" w:type="dxa"/>
              <w:left w:w="115" w:type="dxa"/>
              <w:bottom w:w="0" w:type="dxa"/>
              <w:right w:w="115" w:type="dxa"/>
            </w:tcMar>
            <w:hideMark/>
          </w:tcPr>
          <w:p w14:paraId="128F8D84" w14:textId="0F675CD0" w:rsidR="00325075" w:rsidRPr="00620669" w:rsidRDefault="00AA3049" w:rsidP="00C546DE">
            <w:pPr>
              <w:spacing w:after="0" w:line="360" w:lineRule="auto"/>
              <w:rPr>
                <w:rFonts w:asciiTheme="majorBidi" w:eastAsia="Times New Roman" w:hAnsiTheme="majorBidi" w:cstheme="majorBidi"/>
                <w:b/>
                <w:bCs/>
              </w:rPr>
            </w:pPr>
            <w:r w:rsidRPr="00620669">
              <w:rPr>
                <w:rFonts w:asciiTheme="majorBidi" w:eastAsia="Times New Roman" w:hAnsiTheme="majorBidi" w:cstheme="majorBidi"/>
                <w:b/>
                <w:bCs/>
              </w:rPr>
              <w:t>Q</w:t>
            </w:r>
            <w:r w:rsidR="00325075" w:rsidRPr="00620669">
              <w:rPr>
                <w:rFonts w:asciiTheme="majorBidi" w:eastAsia="Times New Roman" w:hAnsiTheme="majorBidi" w:cstheme="majorBidi"/>
                <w:b/>
                <w:bCs/>
              </w:rPr>
              <w:t>4</w:t>
            </w:r>
          </w:p>
          <w:p w14:paraId="2834C344" w14:textId="77777777" w:rsidR="00325075" w:rsidRPr="00620669" w:rsidRDefault="00325075" w:rsidP="00C546DE">
            <w:pPr>
              <w:spacing w:after="0" w:line="360" w:lineRule="auto"/>
              <w:rPr>
                <w:rFonts w:asciiTheme="majorBidi" w:eastAsia="Times New Roman" w:hAnsiTheme="majorBidi" w:cstheme="majorBidi"/>
                <w:b/>
                <w:bCs/>
              </w:rPr>
            </w:pPr>
          </w:p>
        </w:tc>
        <w:tc>
          <w:tcPr>
            <w:tcW w:w="0" w:type="auto"/>
            <w:shd w:val="clear" w:color="auto" w:fill="auto"/>
            <w:tcMar>
              <w:top w:w="0" w:type="dxa"/>
              <w:left w:w="115" w:type="dxa"/>
              <w:bottom w:w="0" w:type="dxa"/>
              <w:right w:w="115" w:type="dxa"/>
            </w:tcMar>
            <w:hideMark/>
          </w:tcPr>
          <w:p w14:paraId="0B33D808" w14:textId="0B605E86" w:rsidR="00325075" w:rsidRPr="00620669" w:rsidRDefault="00AA3049" w:rsidP="00C546DE">
            <w:pPr>
              <w:spacing w:after="0" w:line="360" w:lineRule="auto"/>
              <w:rPr>
                <w:rFonts w:asciiTheme="majorBidi" w:eastAsia="Times New Roman" w:hAnsiTheme="majorBidi" w:cstheme="majorBidi"/>
                <w:b/>
                <w:bCs/>
              </w:rPr>
            </w:pPr>
            <w:r w:rsidRPr="00620669">
              <w:rPr>
                <w:rFonts w:asciiTheme="majorBidi" w:eastAsia="Times New Roman" w:hAnsiTheme="majorBidi" w:cstheme="majorBidi"/>
                <w:b/>
                <w:bCs/>
                <w:color w:val="000000"/>
              </w:rPr>
              <w:t>Q</w:t>
            </w:r>
            <w:r w:rsidR="00325075" w:rsidRPr="00620669">
              <w:rPr>
                <w:rFonts w:asciiTheme="majorBidi" w:eastAsia="Times New Roman" w:hAnsiTheme="majorBidi" w:cstheme="majorBidi"/>
                <w:b/>
                <w:bCs/>
                <w:color w:val="000000"/>
              </w:rPr>
              <w:t>5</w:t>
            </w:r>
          </w:p>
          <w:p w14:paraId="5EF35397" w14:textId="77777777" w:rsidR="00325075" w:rsidRPr="00620669" w:rsidRDefault="00325075" w:rsidP="00C546DE">
            <w:pPr>
              <w:spacing w:after="0" w:line="360" w:lineRule="auto"/>
              <w:rPr>
                <w:rFonts w:asciiTheme="majorBidi" w:eastAsia="Times New Roman" w:hAnsiTheme="majorBidi" w:cstheme="majorBidi"/>
                <w:b/>
                <w:bCs/>
              </w:rPr>
            </w:pPr>
          </w:p>
        </w:tc>
        <w:tc>
          <w:tcPr>
            <w:tcW w:w="0" w:type="auto"/>
            <w:shd w:val="clear" w:color="auto" w:fill="auto"/>
            <w:tcMar>
              <w:top w:w="0" w:type="dxa"/>
              <w:left w:w="115" w:type="dxa"/>
              <w:bottom w:w="0" w:type="dxa"/>
              <w:right w:w="115" w:type="dxa"/>
            </w:tcMar>
            <w:hideMark/>
          </w:tcPr>
          <w:p w14:paraId="37DAB9E6" w14:textId="2F44B903" w:rsidR="00325075" w:rsidRPr="00620669" w:rsidRDefault="00AA3049" w:rsidP="00C546DE">
            <w:pPr>
              <w:spacing w:after="0" w:line="360" w:lineRule="auto"/>
              <w:rPr>
                <w:rFonts w:asciiTheme="majorBidi" w:eastAsia="Times New Roman" w:hAnsiTheme="majorBidi" w:cstheme="majorBidi"/>
                <w:b/>
                <w:bCs/>
              </w:rPr>
            </w:pPr>
            <w:r w:rsidRPr="00620669">
              <w:rPr>
                <w:rFonts w:asciiTheme="majorBidi" w:eastAsia="Times New Roman" w:hAnsiTheme="majorBidi" w:cstheme="majorBidi"/>
                <w:b/>
                <w:bCs/>
                <w:color w:val="000000"/>
              </w:rPr>
              <w:t>Q</w:t>
            </w:r>
            <w:r w:rsidR="00325075" w:rsidRPr="00620669">
              <w:rPr>
                <w:rFonts w:asciiTheme="majorBidi" w:eastAsia="Times New Roman" w:hAnsiTheme="majorBidi" w:cstheme="majorBidi"/>
                <w:b/>
                <w:bCs/>
                <w:color w:val="000000"/>
              </w:rPr>
              <w:t>6</w:t>
            </w:r>
          </w:p>
        </w:tc>
        <w:tc>
          <w:tcPr>
            <w:tcW w:w="0" w:type="auto"/>
            <w:shd w:val="clear" w:color="auto" w:fill="auto"/>
            <w:tcMar>
              <w:top w:w="0" w:type="dxa"/>
              <w:left w:w="115" w:type="dxa"/>
              <w:bottom w:w="0" w:type="dxa"/>
              <w:right w:w="115" w:type="dxa"/>
            </w:tcMar>
            <w:hideMark/>
          </w:tcPr>
          <w:p w14:paraId="5D1A7190" w14:textId="7A7A8440" w:rsidR="00325075" w:rsidRPr="00620669" w:rsidRDefault="00AA3049" w:rsidP="00C546DE">
            <w:pPr>
              <w:spacing w:line="360" w:lineRule="auto"/>
              <w:rPr>
                <w:rFonts w:asciiTheme="majorBidi" w:eastAsia="Times New Roman" w:hAnsiTheme="majorBidi" w:cstheme="majorBidi"/>
                <w:b/>
                <w:bCs/>
              </w:rPr>
            </w:pPr>
            <w:r w:rsidRPr="00620669">
              <w:rPr>
                <w:rFonts w:asciiTheme="majorBidi" w:eastAsia="Times New Roman" w:hAnsiTheme="majorBidi" w:cstheme="majorBidi"/>
                <w:b/>
                <w:bCs/>
                <w:color w:val="000000"/>
              </w:rPr>
              <w:t>Q</w:t>
            </w:r>
            <w:r w:rsidR="00325075" w:rsidRPr="00620669">
              <w:rPr>
                <w:rFonts w:asciiTheme="majorBidi" w:eastAsia="Times New Roman" w:hAnsiTheme="majorBidi" w:cstheme="majorBidi"/>
                <w:b/>
                <w:bCs/>
                <w:color w:val="000000"/>
              </w:rPr>
              <w:t>7</w:t>
            </w:r>
          </w:p>
        </w:tc>
        <w:tc>
          <w:tcPr>
            <w:tcW w:w="0" w:type="auto"/>
            <w:shd w:val="clear" w:color="auto" w:fill="auto"/>
            <w:tcMar>
              <w:top w:w="0" w:type="dxa"/>
              <w:left w:w="115" w:type="dxa"/>
              <w:bottom w:w="0" w:type="dxa"/>
              <w:right w:w="115" w:type="dxa"/>
            </w:tcMar>
            <w:hideMark/>
          </w:tcPr>
          <w:p w14:paraId="5A838651" w14:textId="49307520" w:rsidR="00325075" w:rsidRPr="00620669" w:rsidRDefault="00AA3049" w:rsidP="00C546DE">
            <w:pPr>
              <w:spacing w:after="0" w:line="360" w:lineRule="auto"/>
              <w:rPr>
                <w:rFonts w:asciiTheme="majorBidi" w:eastAsia="Times New Roman" w:hAnsiTheme="majorBidi" w:cstheme="majorBidi"/>
                <w:b/>
                <w:bCs/>
              </w:rPr>
            </w:pPr>
            <w:r w:rsidRPr="00620669">
              <w:rPr>
                <w:rFonts w:asciiTheme="majorBidi" w:eastAsia="Times New Roman" w:hAnsiTheme="majorBidi" w:cstheme="majorBidi"/>
                <w:b/>
                <w:bCs/>
                <w:color w:val="000000"/>
              </w:rPr>
              <w:t>Q</w:t>
            </w:r>
            <w:r w:rsidR="00325075" w:rsidRPr="00620669">
              <w:rPr>
                <w:rFonts w:asciiTheme="majorBidi" w:eastAsia="Times New Roman" w:hAnsiTheme="majorBidi" w:cstheme="majorBidi"/>
                <w:b/>
                <w:bCs/>
                <w:color w:val="000000"/>
              </w:rPr>
              <w:t>8</w:t>
            </w:r>
          </w:p>
        </w:tc>
      </w:tr>
      <w:tr w:rsidR="00325075" w:rsidRPr="00620669" w14:paraId="6170BFE4" w14:textId="77777777" w:rsidTr="001F1155">
        <w:trPr>
          <w:jc w:val="center"/>
        </w:trPr>
        <w:tc>
          <w:tcPr>
            <w:tcW w:w="0" w:type="auto"/>
            <w:shd w:val="clear" w:color="auto" w:fill="auto"/>
            <w:tcMar>
              <w:top w:w="0" w:type="dxa"/>
              <w:left w:w="115" w:type="dxa"/>
              <w:bottom w:w="0" w:type="dxa"/>
              <w:right w:w="115" w:type="dxa"/>
            </w:tcMar>
            <w:hideMark/>
          </w:tcPr>
          <w:p w14:paraId="4D10AB34" w14:textId="2745408C"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Yano</w:t>
            </w:r>
            <w:r w:rsidR="00AA3049" w:rsidRPr="00620669">
              <w:rPr>
                <w:rFonts w:asciiTheme="majorBidi" w:eastAsia="Times New Roman" w:hAnsiTheme="majorBidi" w:cstheme="majorBidi"/>
                <w:color w:val="000000"/>
              </w:rPr>
              <w:t xml:space="preserve"> 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{"citationItems":[{"id":"ITEM-1","itemData":{"DOI":"10.2169/INTERNALMEDICINE.9004-21","ISSN":"1349-7235","PMID":"35135929","abstract":"During the ongoing coronavirus disease 2019 (COVID-19) pandemic, it is critical to ensure the safety of COVID-19 vaccines. We herein report a 51-year-old Japanese woman who developed acute-onset type 1 diabetes with diabetic ketoacidosis six weeks after receiving the first dose of a COVID-19 messenger ribonucleic acid (mRNA) vaccine. Laboratory tests indicated exhaustion of endogenous insulin secretion, a positive result for insulin autoantibody, and latent thyroid autoimmunity. Human leukocyte antigen typing was homozygous for DRB1*09:01-DQB1*03:03 haplotypes. This case suggests that COVID-19 vaccination can induce type 1 diabetes in some individuals with a genetic predisposition.","author":[{"dropping-particle":"","family":"Yano","given":"Masahiro","non-dropping-particle":"","parse-names":false,"suffix":""},{"dropping-particle":"","family":"Morioka","given":"Tomoaki","non-dropping-particle":"","parse-names":false,"suffix":""},{"dropping-particle":"","family":"Natsuki","given":"Yuka","non-dropping-particle":"","parse-names":false,"suffix":""},{"dropping-particle":"","family":"Sasaki","given":"Keyaki","non-dropping-particle":"","parse-names":false,"suffix":""},{"dropping-particle":"","family":"Kakutani","given":"Yoshinori","non-dropping-particle":"","parse-names":false,"suffix":""},{"dropping-particle":"","family":"Ochi","given":"Akinobu","non-dropping-particle":"","parse-names":false,"suffix":""},{"dropping-particle":"","family":"Yamazaki","given":"Yuko","non-dropping-particle":"","parse-names":false,"suffix":""},{"dropping-particle":"","family":"Shoji","given":"Tetsuo","non-dropping-particle":"","parse-names":false,"suffix":""},{"dropping-particle":"","family":"Emoto","given":"Masanori","non-dropping-particle":"","parse-names":false,"suffix":""}],"container-title":"Internal medicine (Tokyo, Japan)","id":"ITEM-1","issue":"8","issued":{"date-parts":[["2022"]]},"page":"1197-1200","publisher":"Intern Med","title":"New-onset Type 1 Diabetes after COVID-19 mRNA Vaccination","type":"article-journal","volume":"61"},"uris":["http://www.mendeley.com/documents/?uuid=a68919cc-673f-3f75-9a73-cd21f44e8c7e"]}],"mendeley":{"formattedCitation":"(11)","plainTextFormattedCitation":"(11)","previouslyFormattedCitation":"(11)"},"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(11)</w:t>
            </w:r>
            <w:r w:rsidRPr="00620669">
              <w:rPr>
                <w:rFonts w:asciiTheme="majorBidi" w:eastAsia="Times New Roman" w:hAnsiTheme="majorBidi" w:cstheme="majorBidi"/>
                <w:color w:val="000000"/>
              </w:rPr>
              <w:fldChar w:fldCharType="end"/>
            </w:r>
            <w:r w:rsidRPr="00620669">
              <w:rPr>
                <w:rFonts w:asciiTheme="majorBidi" w:eastAsia="Times New Roman" w:hAnsiTheme="majorBidi" w:cstheme="majorBidi"/>
                <w:color w:val="000000"/>
              </w:rPr>
              <w:t xml:space="preserve"> </w:t>
            </w:r>
          </w:p>
        </w:tc>
        <w:tc>
          <w:tcPr>
            <w:tcW w:w="0" w:type="auto"/>
            <w:shd w:val="clear" w:color="auto" w:fill="auto"/>
            <w:tcMar>
              <w:top w:w="0" w:type="dxa"/>
              <w:left w:w="115" w:type="dxa"/>
              <w:bottom w:w="0" w:type="dxa"/>
              <w:right w:w="115" w:type="dxa"/>
            </w:tcMar>
            <w:hideMark/>
          </w:tcPr>
          <w:p w14:paraId="1384C994"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6835FB85"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79FF0577"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47819280"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50DE2479"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752A05FA"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No</w:t>
            </w:r>
          </w:p>
        </w:tc>
        <w:tc>
          <w:tcPr>
            <w:tcW w:w="0" w:type="auto"/>
            <w:shd w:val="clear" w:color="auto" w:fill="auto"/>
            <w:tcMar>
              <w:top w:w="0" w:type="dxa"/>
              <w:left w:w="115" w:type="dxa"/>
              <w:bottom w:w="0" w:type="dxa"/>
              <w:right w:w="115" w:type="dxa"/>
            </w:tcMar>
            <w:hideMark/>
          </w:tcPr>
          <w:p w14:paraId="683447B9"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N/A</w:t>
            </w:r>
          </w:p>
        </w:tc>
        <w:tc>
          <w:tcPr>
            <w:tcW w:w="0" w:type="auto"/>
            <w:shd w:val="clear" w:color="auto" w:fill="auto"/>
            <w:tcMar>
              <w:top w:w="0" w:type="dxa"/>
              <w:left w:w="115" w:type="dxa"/>
              <w:bottom w:w="0" w:type="dxa"/>
              <w:right w:w="115" w:type="dxa"/>
            </w:tcMar>
            <w:hideMark/>
          </w:tcPr>
          <w:p w14:paraId="38B06072"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r>
      <w:tr w:rsidR="00325075" w:rsidRPr="00620669" w14:paraId="0A1CB93E" w14:textId="77777777" w:rsidTr="001F1155">
        <w:trPr>
          <w:jc w:val="center"/>
        </w:trPr>
        <w:tc>
          <w:tcPr>
            <w:tcW w:w="0" w:type="auto"/>
            <w:shd w:val="clear" w:color="auto" w:fill="auto"/>
            <w:tcMar>
              <w:top w:w="0" w:type="dxa"/>
              <w:left w:w="115" w:type="dxa"/>
              <w:bottom w:w="0" w:type="dxa"/>
              <w:right w:w="115" w:type="dxa"/>
            </w:tcMar>
            <w:hideMark/>
          </w:tcPr>
          <w:p w14:paraId="3D7E7CCC" w14:textId="26CA0963" w:rsidR="00325075" w:rsidRPr="00620669" w:rsidRDefault="00325075" w:rsidP="00C546DE">
            <w:pPr>
              <w:spacing w:after="0" w:line="360" w:lineRule="auto"/>
              <w:rPr>
                <w:rFonts w:asciiTheme="majorBidi" w:eastAsia="Times New Roman" w:hAnsiTheme="majorBidi" w:cstheme="majorBidi"/>
              </w:rPr>
            </w:pPr>
            <w:proofErr w:type="spellStart"/>
            <w:r w:rsidRPr="00620669">
              <w:rPr>
                <w:rFonts w:asciiTheme="majorBidi" w:eastAsia="Times New Roman" w:hAnsiTheme="majorBidi" w:cstheme="majorBidi"/>
                <w:color w:val="000000"/>
              </w:rPr>
              <w:t>Bleve</w:t>
            </w:r>
            <w:proofErr w:type="spellEnd"/>
            <w:r w:rsidR="00AA3049" w:rsidRPr="00620669">
              <w:rPr>
                <w:rFonts w:asciiTheme="majorBidi" w:eastAsia="Times New Roman" w:hAnsiTheme="majorBidi" w:cstheme="majorBidi"/>
                <w:color w:val="000000"/>
              </w:rPr>
              <w:t xml:space="preserve"> et al. </w:t>
            </w:r>
            <w:r w:rsidRPr="00620669">
              <w:rPr>
                <w:rFonts w:asciiTheme="majorBidi" w:eastAsia="Times New Roman" w:hAnsiTheme="majorBidi" w:cstheme="majorBidi"/>
                <w:color w:val="000000"/>
              </w:rPr>
              <w:t xml:space="preserve"> </w:t>
            </w:r>
            <w:r w:rsidR="00AA3049" w:rsidRPr="00620669">
              <w:rPr>
                <w:rFonts w:asciiTheme="majorBidi" w:eastAsia="Times New Roman" w:hAnsiTheme="majorBidi" w:cstheme="majorBidi"/>
                <w:color w:val="000000"/>
              </w:rPr>
              <w:t xml:space="preserve">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10.1007/S40618-022-01796-5","ISSN":"1720-8386","PMID":"35349113","author":[{"dropping-particle":"","family":"Bleve","given":"E.","non-dropping-particle":"","parse-names":false,"suffix":""},{"dropping-particle":"","family":"Venditti","given":"V.","non-dropping-particle":"","parse-names":false,"suffix":""},{"dropping-particle":"","family":"Lenzi","given":"A.","non-dropping-particle":"","parse-names":false,"suffix":""},{"dropping-particle":"","family":"Morano","given":"S.","non-dropping-particle":"","parse-names":false,"suffix":""},{"dropping-particle":"","family":"Filardi","given":"T.","non-dropping-particle":"","parse-names":false,"suffix":""}],"container-title":"Journal of endocrinological investigation","id":"ITEM-1","issue":"6","issued":{"date-parts":[["2022","6","1"]]},"page":"1269-1270","publisher":"J Endocrinol Invest","title":"COVID-19 vaccine and autoimmune diabetes in adults: report of two cases","type":"article-journal","volume":"45"},"uris":["http://www.mendeley.com/documents/?uuid=c1126a5f-70d1-35ea-871d-591f1bd7cc2b"]}],"mendeley":{"formattedCitation":"(12)","plainTextFormattedCitation":"(12)","previouslyFormattedCitation":"(12)"},"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(12)</w:t>
            </w:r>
            <w:r w:rsidRPr="00620669">
              <w:rPr>
                <w:rFonts w:asciiTheme="majorBidi" w:eastAsia="Times New Roman" w:hAnsiTheme="majorBidi" w:cstheme="majorBidi"/>
                <w:color w:val="000000"/>
              </w:rPr>
              <w:fldChar w:fldCharType="end"/>
            </w:r>
          </w:p>
        </w:tc>
        <w:tc>
          <w:tcPr>
            <w:tcW w:w="0" w:type="auto"/>
            <w:shd w:val="clear" w:color="auto" w:fill="auto"/>
            <w:tcMar>
              <w:top w:w="0" w:type="dxa"/>
              <w:left w:w="115" w:type="dxa"/>
              <w:bottom w:w="0" w:type="dxa"/>
              <w:right w:w="115" w:type="dxa"/>
            </w:tcMar>
            <w:hideMark/>
          </w:tcPr>
          <w:p w14:paraId="38867853"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19C2D64E"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No</w:t>
            </w:r>
          </w:p>
        </w:tc>
        <w:tc>
          <w:tcPr>
            <w:tcW w:w="0" w:type="auto"/>
            <w:shd w:val="clear" w:color="auto" w:fill="auto"/>
            <w:tcMar>
              <w:top w:w="0" w:type="dxa"/>
              <w:left w:w="115" w:type="dxa"/>
              <w:bottom w:w="0" w:type="dxa"/>
              <w:right w:w="115" w:type="dxa"/>
            </w:tcMar>
            <w:hideMark/>
          </w:tcPr>
          <w:p w14:paraId="62A4331E"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5049FC5C"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416335EE"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1618C381"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No</w:t>
            </w:r>
          </w:p>
        </w:tc>
        <w:tc>
          <w:tcPr>
            <w:tcW w:w="0" w:type="auto"/>
            <w:shd w:val="clear" w:color="auto" w:fill="auto"/>
            <w:tcMar>
              <w:top w:w="0" w:type="dxa"/>
              <w:left w:w="115" w:type="dxa"/>
              <w:bottom w:w="0" w:type="dxa"/>
              <w:right w:w="115" w:type="dxa"/>
            </w:tcMar>
            <w:hideMark/>
          </w:tcPr>
          <w:p w14:paraId="4F10EFBF"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N/A</w:t>
            </w:r>
          </w:p>
        </w:tc>
        <w:tc>
          <w:tcPr>
            <w:tcW w:w="0" w:type="auto"/>
            <w:shd w:val="clear" w:color="auto" w:fill="auto"/>
            <w:tcMar>
              <w:top w:w="0" w:type="dxa"/>
              <w:left w:w="115" w:type="dxa"/>
              <w:bottom w:w="0" w:type="dxa"/>
              <w:right w:w="115" w:type="dxa"/>
            </w:tcMar>
            <w:hideMark/>
          </w:tcPr>
          <w:p w14:paraId="57CA61F4"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No</w:t>
            </w:r>
          </w:p>
        </w:tc>
      </w:tr>
      <w:tr w:rsidR="00325075" w:rsidRPr="00620669" w14:paraId="5DEF23BD" w14:textId="77777777" w:rsidTr="001F1155">
        <w:trPr>
          <w:jc w:val="center"/>
        </w:trPr>
        <w:tc>
          <w:tcPr>
            <w:tcW w:w="0" w:type="auto"/>
            <w:shd w:val="clear" w:color="auto" w:fill="auto"/>
            <w:tcMar>
              <w:top w:w="0" w:type="dxa"/>
              <w:left w:w="115" w:type="dxa"/>
              <w:bottom w:w="0" w:type="dxa"/>
              <w:right w:w="115" w:type="dxa"/>
            </w:tcMar>
            <w:hideMark/>
          </w:tcPr>
          <w:p w14:paraId="0AFB2CB5" w14:textId="2FD6DC3B"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 xml:space="preserve">Sasaki </w:t>
            </w:r>
            <w:r w:rsidR="00AA3049" w:rsidRPr="00620669">
              <w:rPr>
                <w:rFonts w:asciiTheme="majorBidi" w:eastAsia="Times New Roman" w:hAnsiTheme="majorBidi" w:cstheme="majorBidi"/>
                <w:color w:val="000000"/>
              </w:rPr>
              <w:t xml:space="preserve">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{"citationItems":[{"id":"ITEM-1","itemData":{"DOI":"10.1111/JDI.13757","ISSN":"2040-1124","PMID":"35088548","abstract":"The vaccine for the coronavirus disease 2019 (COVID-19) has been reported to potentially cause or worsen diabetes. A 73-year-old Japanese woman received two doses of Moderna COVID-19 vaccine. Four weeks after the second vaccination, her glycemic control began to deteriorate, and 8 weeks after the second vaccination, the patient was diagnosed with new-onset type 1 diabetes that was strongly positive for autoantibodies and showed a disease-susceptible human leukocyte antigen haplotype, DRB1*04:05:01-DQB1*04:01:01. The glucagon stimulation test suggested an insulin-dependent state, and induction of intensive insulin therapy brought about fair glycemic control. The time period from the COVID-19 vaccination to the development of type 1 diabetes was relatively longer than to the onset or exacerbation of type 2 diabetes, as previously reported, suggesting the complicated immunological mechanisms for the destruction of β-cells associated with the vaccination. In recipients with the disease-susceptible haplotypes, one should be cautious about autoimmune responses for several months after the vaccination.","author":[{"dropping-particle":"","family":"Sasaki","given":"Hironobu","non-dropping-particle":"","parse-names":false,"suffix":""},{"dropping-particle":"","family":"Itoh","given":"Arata","non-dropping-particle":"","parse-names":false,"suffix":""},{"dropping-particle":"","family":"Watanabe","given":"Yasuhiro","non-dropping-particle":"","parse-names":false,"suffix":""},{"dropping-particle":"","family":"Nakajima","given":"Yuya","non-dropping-particle":"","parse-names":false,"suffix":""},{"dropping-particle":"","family":"Saisho","given":"Yoshifumi","non-dropping-particle":"","parse-names":false,"suffix":""},{"dropping-particle":"","family":"Irie","given":"Junichiro","non-dropping-particle":"","parse-names":false,"suffix":""},{"dropping-particle":"","family":"Meguro","given":"Shu","non-dropping-particle":"","parse-names":false,"suffix":""},{"dropping-particle":"","family":"Itoh","given":"Hiroshi","non-dropping-particle":"","parse-names":false,"suffix":""}],"container-title":"Journal of Diabetes Investigation","id":"ITEM-1","issue":"6","issued":{"date-parts":[["2022","6","1"]]},"page":"1105-1108","publisher":"John Wiley and Sons Inc","title":"Newly developed type 1 diabetes after coronavirus disease 2019 vaccination: A case report","type":"article-journal","volume":"13"},"uris":["http://www.mendeley.com/documents/?uuid=6273bda3-ad23-3ec1-81ed-4c3a0d359dc3"]}],"mendeley":{"formattedCitation":"(13)","plainTextFormattedCitation":"(13)","previouslyFormattedCitation":"(13)"},"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(13)</w:t>
            </w:r>
            <w:r w:rsidRPr="00620669">
              <w:rPr>
                <w:rFonts w:asciiTheme="majorBidi" w:eastAsia="Times New Roman" w:hAnsiTheme="majorBidi" w:cstheme="majorBidi"/>
                <w:color w:val="000000"/>
              </w:rPr>
              <w:fldChar w:fldCharType="end"/>
            </w:r>
          </w:p>
        </w:tc>
        <w:tc>
          <w:tcPr>
            <w:tcW w:w="0" w:type="auto"/>
            <w:shd w:val="clear" w:color="auto" w:fill="auto"/>
            <w:tcMar>
              <w:top w:w="0" w:type="dxa"/>
              <w:left w:w="115" w:type="dxa"/>
              <w:bottom w:w="0" w:type="dxa"/>
              <w:right w:w="115" w:type="dxa"/>
            </w:tcMar>
            <w:hideMark/>
          </w:tcPr>
          <w:p w14:paraId="60EEE389"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479BD90F"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40E2E991"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5C2746B3"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69D037DD"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73FBF645"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24239EDE"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N/A</w:t>
            </w:r>
          </w:p>
        </w:tc>
        <w:tc>
          <w:tcPr>
            <w:tcW w:w="0" w:type="auto"/>
            <w:shd w:val="clear" w:color="auto" w:fill="auto"/>
            <w:tcMar>
              <w:top w:w="0" w:type="dxa"/>
              <w:left w:w="115" w:type="dxa"/>
              <w:bottom w:w="0" w:type="dxa"/>
              <w:right w:w="115" w:type="dxa"/>
            </w:tcMar>
            <w:hideMark/>
          </w:tcPr>
          <w:p w14:paraId="05927069"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r>
      <w:tr w:rsidR="00325075" w:rsidRPr="00620669" w14:paraId="3A2B4F64" w14:textId="77777777" w:rsidTr="001F1155">
        <w:trPr>
          <w:jc w:val="center"/>
        </w:trPr>
        <w:tc>
          <w:tcPr>
            <w:tcW w:w="0" w:type="auto"/>
            <w:shd w:val="clear" w:color="auto" w:fill="auto"/>
            <w:tcMar>
              <w:top w:w="0" w:type="dxa"/>
              <w:left w:w="115" w:type="dxa"/>
              <w:bottom w:w="0" w:type="dxa"/>
              <w:right w:w="115" w:type="dxa"/>
            </w:tcMar>
            <w:hideMark/>
          </w:tcPr>
          <w:p w14:paraId="3A3B0152" w14:textId="60CB7EED"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 xml:space="preserve">Sakura </w:t>
            </w:r>
            <w:r w:rsidR="00AA3049" w:rsidRPr="00620669">
              <w:rPr>
                <w:rFonts w:asciiTheme="majorBidi" w:eastAsia="Times New Roman" w:hAnsiTheme="majorBidi" w:cstheme="majorBidi"/>
                <w:color w:val="000000"/>
              </w:rPr>
              <w:t xml:space="preserve">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{"citationItems":[{"id":"ITEM-1","itemData":{"DOI":"10.1111/JDI.13781","ISSN":"2040-1124","PMID":"35220662","abstract":"The epidemic of coronavirus disease-2019 (COVID-19) is the major public health issue in the world. COVID-19 vaccines are one of the most effective strategies against COVID-19. Here we report a 36-year-old female patient who had thirst, polydipsia, polyuria, palpitations, loss of appetite, and fatigue 3 days after the first dose of COVID-19 RNA-based vaccines without a prior history of diabetes. Ten days after vaccination, she visited our hospital with diabetic ketoacidosis and was diagnosed with type 1 diabetes. Hyperglycemia (501 mg/dL), anion gap metabolic acidosis and ketonuria were observed. The glycated hemoglobin level was 7.0%. Islet-related autoantibodies were all negative. The glucagon tolerance test revealed attenuated secretion of insulin. Human leukocyte antigen was haplotype DRB1*0405-DQB1*0401, which was associated with type 1 diabetes in Japan. The present case suggests that COVID-19 RNA-based vaccines might trigger the onset of type 1 diabetes, even in subjects without prior histories of diabetes.","author":[{"dropping-particle":"","family":"Sakurai","given":"Kanako","non-dropping-particle":"","parse-names":false,"suffix":""},{"dropping-particle":"","family":"Narita","given":"Daiki","non-dropping-particle":"","parse-names":false,"suffix":""},{"dropping-particle":"","family":"Saito","given":"Naomi","non-dropping-particle":"","parse-names":false,"suffix":""},{"dropping-particle":"","family":"Ueno","given":"Takayuki","non-dropping-particle":"","parse-names":false,"suffix":""},{"dropping-particle":"","family":"Sato","given":"Ryota","non-dropping-particle":"","parse-names":false,"suffix":""},{"dropping-particle":"","family":"Niitsuma","given":"Satsuki","non-dropping-particle":"","parse-names":false,"suffix":""},{"dropping-particle":"","family":"Takahashi","given":"Kazuhiro","non-dropping-particle":"","parse-names":false,"suffix":""},{"dropping-particle":"","family":"Arihara","given":"Zenei","non-dropping-particle":"","parse-names":false,"suffix":""}],"container-title":"Journal of diabetes investigation","id":"ITEM-1","issue":"7","issued":{"date-parts":[["2022","7","1"]]},"page":"1290-1292","publisher":"J Diabetes Investig","title":"Type 1 diabetes mellitus following COVID-19 RNA-based vaccine","type":"article-journal","volume":"13"},"uris":["http://www.mendeley.com/documents/?uuid=aad82a92-7e66-3709-8d09-43352d9a22ad"]}],"mendeley":{"formattedCitation":"(14)","plainTextFormattedCitation":"(14)","previouslyFormattedCitation":"(14)"},"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(14)</w:t>
            </w:r>
            <w:r w:rsidRPr="00620669">
              <w:rPr>
                <w:rFonts w:asciiTheme="majorBidi" w:eastAsia="Times New Roman" w:hAnsiTheme="majorBidi" w:cstheme="majorBidi"/>
                <w:color w:val="000000"/>
              </w:rPr>
              <w:fldChar w:fldCharType="end"/>
            </w:r>
          </w:p>
        </w:tc>
        <w:tc>
          <w:tcPr>
            <w:tcW w:w="0" w:type="auto"/>
            <w:shd w:val="clear" w:color="auto" w:fill="auto"/>
            <w:tcMar>
              <w:top w:w="0" w:type="dxa"/>
              <w:left w:w="115" w:type="dxa"/>
              <w:bottom w:w="0" w:type="dxa"/>
              <w:right w:w="115" w:type="dxa"/>
            </w:tcMar>
            <w:hideMark/>
          </w:tcPr>
          <w:p w14:paraId="04AE83B4"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35FF4CDC"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1E345DCE"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59FF5F0F"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34EE9745"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402DFD38"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No</w:t>
            </w:r>
          </w:p>
        </w:tc>
        <w:tc>
          <w:tcPr>
            <w:tcW w:w="0" w:type="auto"/>
            <w:shd w:val="clear" w:color="auto" w:fill="auto"/>
            <w:tcMar>
              <w:top w:w="0" w:type="dxa"/>
              <w:left w:w="115" w:type="dxa"/>
              <w:bottom w:w="0" w:type="dxa"/>
              <w:right w:w="115" w:type="dxa"/>
            </w:tcMar>
            <w:hideMark/>
          </w:tcPr>
          <w:p w14:paraId="3F582E4D"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N/A</w:t>
            </w:r>
          </w:p>
        </w:tc>
        <w:tc>
          <w:tcPr>
            <w:tcW w:w="0" w:type="auto"/>
            <w:shd w:val="clear" w:color="auto" w:fill="auto"/>
            <w:tcMar>
              <w:top w:w="0" w:type="dxa"/>
              <w:left w:w="115" w:type="dxa"/>
              <w:bottom w:w="0" w:type="dxa"/>
              <w:right w:w="115" w:type="dxa"/>
            </w:tcMar>
            <w:hideMark/>
          </w:tcPr>
          <w:p w14:paraId="34F51B76"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r>
      <w:tr w:rsidR="00325075" w:rsidRPr="00620669" w14:paraId="5CA839EE" w14:textId="77777777" w:rsidTr="001F1155">
        <w:trPr>
          <w:jc w:val="center"/>
        </w:trPr>
        <w:tc>
          <w:tcPr>
            <w:tcW w:w="0" w:type="auto"/>
            <w:shd w:val="clear" w:color="auto" w:fill="auto"/>
            <w:tcMar>
              <w:top w:w="0" w:type="dxa"/>
              <w:left w:w="115" w:type="dxa"/>
              <w:bottom w:w="0" w:type="dxa"/>
              <w:right w:w="115" w:type="dxa"/>
            </w:tcMar>
            <w:hideMark/>
          </w:tcPr>
          <w:p w14:paraId="2A917AC8" w14:textId="79D12C7A"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 xml:space="preserve">Sasaki </w:t>
            </w:r>
            <w:r w:rsidR="00AA3049" w:rsidRPr="00620669">
              <w:rPr>
                <w:rFonts w:asciiTheme="majorBidi" w:eastAsia="Times New Roman" w:hAnsiTheme="majorBidi" w:cstheme="majorBidi"/>
                <w:color w:val="000000"/>
              </w:rPr>
              <w:t xml:space="preserve">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{"citationItems":[{"id":"ITEM-1","itemData":{"DOI":"10.1111/JDI.13771","ISSN":"2040-1124","PMID":"35167186","abstract":"Fulminant type 1 diabetes is characterized by a rapid progression of insulin deficiency triggered by viral infection. Here, we report a case of a 45-year-old Japanese woman with fulminant type 1 diabetes that developed 8 days after receiving messenger ribonucleic acid vaccine against severe acute respiratory syndrome coronavirus 2. She had been healthy and had no symptoms suggestive of viral infection before the vaccination. Laboratory tests showed exhaustion of insulin secretion and negative results for islet autoantibodies. Human leukocyte antigen genotype analysis showed the DRB1*04:05 and DQB1*04:01 alleles. This is the first case report of new-onset fulminant type 1 diabetes after severe acute respiratory syndrome coronavirus 2 vaccination, and suggests that a severe acute respiratory syndrome coronavirus 2 vaccine might trigger the onset of fulminant type 1 diabetes in susceptible individuals. However, a causal relationship remains to be identified, and further studies are required to determine the incidence of such cases.","author":[{"dropping-particle":"","family":"Sasaki","given":"Keyaki","non-dropping-particle":"","parse-names":false,"suffix":""},{"dropping-particle":"","family":"Morioka","given":"Tomoaki","non-dropping-particle":"","parse-names":false,"suffix":""},{"dropping-particle":"","family":"Okada","given":"Natsumi","non-dropping-particle":"","parse-names":false,"suffix":""},{"dropping-particle":"","family":"Natsuki","given":"Yuka","non-dropping-particle":"","parse-names":false,"suffix":""},{"dropping-particle":"","family":"Kakutani","given":"Yoshinori","non-dropping-particle":"","parse-names":false,"suffix":""},{"dropping-particle":"","family":"Ochi","given":"Akinobu","non-dropping-particle":"","parse-names":false,"suffix":""},{"dropping-particle":"","family":"Yamazaki","given":"Yuko","non-dropping-particle":"","parse-names":false,"suffix":""},{"dropping-particle":"","family":"Shoji","given":"Tetsuo","non-dropping-particle":"","parse-names":false,"suffix":""},{"dropping-particle":"","family":"Ohmura","given":"Takashi","non-dropping-particle":"","parse-names":false,"suffix":""},{"dropping-particle":"","family":"Emoto","given":"Masanori","non-dropping-particle":"","parse-names":false,"suffix":""}],"container-title":"Journal of Diabetes Investigation","id":"ITEM-1","issue":"7","issued":{"date-parts":[["2022","7","1"]]},"page":"1286-1289","publisher":"John Wiley and Sons Inc","title":"New-onset fulminant type 1 diabetes after severe acute respiratory syndrome coronavirus 2 vaccination: A case report","type":"article-journal","volume":"13"},"uris":["http://www.mendeley.com/documents/?uuid=5369d6c0-4cea-378e-b5cf-14c8d2f44c82"]}],"mendeley":{"formattedCitation":"(15)","plainTextFormattedCitation":"(15)","previouslyFormattedCitation":"(15)"},"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(15)</w:t>
            </w:r>
            <w:r w:rsidRPr="00620669">
              <w:rPr>
                <w:rFonts w:asciiTheme="majorBidi" w:eastAsia="Times New Roman" w:hAnsiTheme="majorBidi" w:cstheme="majorBidi"/>
                <w:color w:val="000000"/>
              </w:rPr>
              <w:fldChar w:fldCharType="end"/>
            </w:r>
          </w:p>
        </w:tc>
        <w:tc>
          <w:tcPr>
            <w:tcW w:w="0" w:type="auto"/>
            <w:shd w:val="clear" w:color="auto" w:fill="auto"/>
            <w:tcMar>
              <w:top w:w="0" w:type="dxa"/>
              <w:left w:w="115" w:type="dxa"/>
              <w:bottom w:w="0" w:type="dxa"/>
              <w:right w:w="115" w:type="dxa"/>
            </w:tcMar>
            <w:hideMark/>
          </w:tcPr>
          <w:p w14:paraId="2A202120"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2DA393A1"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77635A81"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399410F5"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005B57DB"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4B461FA9"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No</w:t>
            </w:r>
          </w:p>
        </w:tc>
        <w:tc>
          <w:tcPr>
            <w:tcW w:w="0" w:type="auto"/>
            <w:shd w:val="clear" w:color="auto" w:fill="auto"/>
            <w:tcMar>
              <w:top w:w="0" w:type="dxa"/>
              <w:left w:w="115" w:type="dxa"/>
              <w:bottom w:w="0" w:type="dxa"/>
              <w:right w:w="115" w:type="dxa"/>
            </w:tcMar>
            <w:hideMark/>
          </w:tcPr>
          <w:p w14:paraId="5C396B97"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N/A</w:t>
            </w:r>
          </w:p>
        </w:tc>
        <w:tc>
          <w:tcPr>
            <w:tcW w:w="0" w:type="auto"/>
            <w:shd w:val="clear" w:color="auto" w:fill="auto"/>
            <w:tcMar>
              <w:top w:w="0" w:type="dxa"/>
              <w:left w:w="115" w:type="dxa"/>
              <w:bottom w:w="0" w:type="dxa"/>
              <w:right w:w="115" w:type="dxa"/>
            </w:tcMar>
            <w:hideMark/>
          </w:tcPr>
          <w:p w14:paraId="21E155E0"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r>
      <w:tr w:rsidR="00325075" w:rsidRPr="00620669" w14:paraId="619BC63D" w14:textId="77777777" w:rsidTr="001F1155">
        <w:trPr>
          <w:jc w:val="center"/>
        </w:trPr>
        <w:tc>
          <w:tcPr>
            <w:tcW w:w="0" w:type="auto"/>
            <w:shd w:val="clear" w:color="auto" w:fill="auto"/>
            <w:tcMar>
              <w:top w:w="0" w:type="dxa"/>
              <w:left w:w="115" w:type="dxa"/>
              <w:bottom w:w="0" w:type="dxa"/>
              <w:right w:w="115" w:type="dxa"/>
            </w:tcMar>
            <w:hideMark/>
          </w:tcPr>
          <w:p w14:paraId="3CC34B35" w14:textId="68A4311D"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 xml:space="preserve">Tang </w:t>
            </w:r>
            <w:r w:rsidR="00AA3049" w:rsidRPr="00620669">
              <w:rPr>
                <w:rFonts w:asciiTheme="majorBidi" w:eastAsia="Times New Roman" w:hAnsiTheme="majorBidi" w:cstheme="majorBidi"/>
                <w:color w:val="000000"/>
              </w:rPr>
              <w:t xml:space="preserve">et al. 2022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10.1016/J.DIABET.2022.101324","ISSN":"1878-1780","PMID":"35091092","author":[{"dropping-particle":"","family":"Tang","given":"Xiaohan","non-dropping-particle":"","parse-names":false,"suffix":""},{"dropping-particle":"","family":"He","given":"Binbin","non-dropping-particle":"","parse-names":false,"suffix":""},{"dropping-particle":"","family":"Liu","given":"Zhenqi","non-dropping-particle":"","parse-names":false,"suffix":""},{"dropping-particle":"","family":"Zhou","given":"Zhiguang","non-dropping-particle":"","parse-names":false,"suffix":""},{"dropping-particle":"","family":"Li","given":"Xia","non-dropping-particle":"","parse-names":false,"suffix":""}],"container-title":"Diabetes &amp; metabolism","id":"ITEM-1","issue":"2","issued":{"date-parts":[["2022","3","1"]]},"publisher":"Diabetes Metab","title":"Fulminant type 1 diabetes after COVID-19 vaccination","type":"article-journal","volume":"48"},"uris":["http://www.mendeley.com/documents/?uuid=1ab3cd70-8223-3922-ab17-b43c3dc191d9"]}],"mendeley":{"formattedCitation":"(16)","plainTextFormattedCitation":"(16)","previouslyFormattedCitation":"(16)"},"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(16)</w:t>
            </w:r>
            <w:r w:rsidRPr="00620669">
              <w:rPr>
                <w:rFonts w:asciiTheme="majorBidi" w:eastAsia="Times New Roman" w:hAnsiTheme="majorBidi" w:cstheme="majorBidi"/>
                <w:color w:val="000000"/>
              </w:rPr>
              <w:fldChar w:fldCharType="end"/>
            </w:r>
            <w:r w:rsidRPr="00620669">
              <w:rPr>
                <w:rFonts w:asciiTheme="majorBidi" w:eastAsia="Times New Roman" w:hAnsiTheme="majorBidi" w:cstheme="majorBidi"/>
                <w:color w:val="000000"/>
              </w:rPr>
              <w:t xml:space="preserve"> </w:t>
            </w:r>
          </w:p>
        </w:tc>
        <w:tc>
          <w:tcPr>
            <w:tcW w:w="0" w:type="auto"/>
            <w:shd w:val="clear" w:color="auto" w:fill="auto"/>
            <w:tcMar>
              <w:top w:w="0" w:type="dxa"/>
              <w:left w:w="115" w:type="dxa"/>
              <w:bottom w:w="0" w:type="dxa"/>
              <w:right w:w="115" w:type="dxa"/>
            </w:tcMar>
            <w:hideMark/>
          </w:tcPr>
          <w:p w14:paraId="2B2911BD"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619A3F33"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75776290"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000D22C1"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12FB0415"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42D8556C"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0051F5C9"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N/A</w:t>
            </w:r>
          </w:p>
        </w:tc>
        <w:tc>
          <w:tcPr>
            <w:tcW w:w="0" w:type="auto"/>
            <w:shd w:val="clear" w:color="auto" w:fill="auto"/>
            <w:tcMar>
              <w:top w:w="0" w:type="dxa"/>
              <w:left w:w="115" w:type="dxa"/>
              <w:bottom w:w="0" w:type="dxa"/>
              <w:right w:w="115" w:type="dxa"/>
            </w:tcMar>
            <w:hideMark/>
          </w:tcPr>
          <w:p w14:paraId="634ED059"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r>
      <w:tr w:rsidR="00325075" w:rsidRPr="00620669" w14:paraId="172765AA" w14:textId="77777777" w:rsidTr="001F1155">
        <w:trPr>
          <w:jc w:val="center"/>
        </w:trPr>
        <w:tc>
          <w:tcPr>
            <w:tcW w:w="0" w:type="auto"/>
            <w:shd w:val="clear" w:color="auto" w:fill="auto"/>
            <w:tcMar>
              <w:top w:w="0" w:type="dxa"/>
              <w:left w:w="115" w:type="dxa"/>
              <w:bottom w:w="0" w:type="dxa"/>
              <w:right w:w="115" w:type="dxa"/>
            </w:tcMar>
            <w:hideMark/>
          </w:tcPr>
          <w:p w14:paraId="30110D91" w14:textId="682B29B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 xml:space="preserve">Patrizio </w:t>
            </w:r>
            <w:r w:rsidR="00AA3049" w:rsidRPr="00620669">
              <w:rPr>
                <w:rFonts w:asciiTheme="majorBidi" w:eastAsia="Times New Roman" w:hAnsiTheme="majorBidi" w:cstheme="majorBidi"/>
                <w:color w:val="000000"/>
              </w:rPr>
              <w:t xml:space="preserve">et al. 2021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{"citationItems":[{"id":"ITEM-1","itemData":{"DOI":"10.1016/J.JAUT.2021.102738","ISSN":"1095-9157","PMID":"34653776","abstract":"Autoimmune diseases, including autoimmune endocrine diseases (AIED), are thought to develop following environmental exposure in patients with genetic predisposition. The severe acute respiratory syndrome coronavirus 2 (SARS-CoV-2) and vaccines against it could represent new environmental triggers for AIED. We report a patient, with history of vitiligo vulgaris and 8 years of type 2 diabetes, who came to our institution because of fever, weight loss, asthenia and thyrotoxicosis occurred 4 weeks later the administration of BNT162B2 (Pfizer-BioNTech) SARS-CoV-2 vaccine. Clinical, biochemical and instrumental work-up demonstrated Graves’ disease and autoimmune diabetes mellitus. The occurrence of these disorders could be explained through different mechanism such as autoimmune/inflammatory syndrome induced by adjuvants (ASIA syndrome), mRNA “self-adjuvant” effect, molecular mimicry between human and viral proteins and immune disruption from external stimuli. However further studies are needed to better understand the underlying pathogenesis of AIED following SARS-CoV-2 vaccine.","author":[{"dropping-particle":"","family":"Patrizio","given":"Armando","non-dropping-particle":"","parse-names":false,"suffix":""},{"dropping-particle":"","family":"Ferrari","given":"Silvia Martina","non-dropping-particle":"","parse-names":false,"suffix":""},{"dropping-particle":"","family":"Antonelli","given":"Alessandro","non-dropping-particle":"","parse-names":false,"suffix":""},{"dropping-particle":"","family":"Fallahi","given":"Poupak","non-dropping-particle":"","parse-names":false,"suffix":""}],"container-title":"Journal of autoimmunity","id":"ITEM-1","issued":{"date-parts":[["2021","12","1"]]},"publisher":"J Autoimmun","title":"A case of Graves' disease and type 1 diabetes mellitus following SARS-CoV-2 vaccination","type":"article-journal","volume":"125"},"uris":["http://www.mendeley.com/documents/?uuid=628ab84c-8a83-397a-a6f1-f2d41f6804f4"]}],"mendeley":{"formattedCitation":"(17)","plainTextFormattedCitation":"(17)","previouslyFormattedCitation":"(17)"},"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(17)</w:t>
            </w:r>
            <w:r w:rsidRPr="00620669">
              <w:rPr>
                <w:rFonts w:asciiTheme="majorBidi" w:eastAsia="Times New Roman" w:hAnsiTheme="majorBidi" w:cstheme="majorBidi"/>
                <w:color w:val="000000"/>
              </w:rPr>
              <w:fldChar w:fldCharType="end"/>
            </w:r>
          </w:p>
        </w:tc>
        <w:tc>
          <w:tcPr>
            <w:tcW w:w="0" w:type="auto"/>
            <w:shd w:val="clear" w:color="auto" w:fill="auto"/>
            <w:tcMar>
              <w:top w:w="0" w:type="dxa"/>
              <w:left w:w="115" w:type="dxa"/>
              <w:bottom w:w="0" w:type="dxa"/>
              <w:right w:w="115" w:type="dxa"/>
            </w:tcMar>
            <w:hideMark/>
          </w:tcPr>
          <w:p w14:paraId="194253BD"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209327E5"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486E3270"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No</w:t>
            </w:r>
          </w:p>
        </w:tc>
        <w:tc>
          <w:tcPr>
            <w:tcW w:w="0" w:type="auto"/>
            <w:shd w:val="clear" w:color="auto" w:fill="auto"/>
            <w:tcMar>
              <w:top w:w="0" w:type="dxa"/>
              <w:left w:w="115" w:type="dxa"/>
              <w:bottom w:w="0" w:type="dxa"/>
              <w:right w:w="115" w:type="dxa"/>
            </w:tcMar>
            <w:hideMark/>
          </w:tcPr>
          <w:p w14:paraId="4691E002"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654B8717"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1D8A5972"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No</w:t>
            </w:r>
          </w:p>
        </w:tc>
        <w:tc>
          <w:tcPr>
            <w:tcW w:w="0" w:type="auto"/>
            <w:shd w:val="clear" w:color="auto" w:fill="auto"/>
            <w:tcMar>
              <w:top w:w="0" w:type="dxa"/>
              <w:left w:w="115" w:type="dxa"/>
              <w:bottom w:w="0" w:type="dxa"/>
              <w:right w:w="115" w:type="dxa"/>
            </w:tcMar>
            <w:hideMark/>
          </w:tcPr>
          <w:p w14:paraId="5F9626F4"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N/A</w:t>
            </w:r>
          </w:p>
        </w:tc>
        <w:tc>
          <w:tcPr>
            <w:tcW w:w="0" w:type="auto"/>
            <w:shd w:val="clear" w:color="auto" w:fill="auto"/>
            <w:tcMar>
              <w:top w:w="0" w:type="dxa"/>
              <w:left w:w="115" w:type="dxa"/>
              <w:bottom w:w="0" w:type="dxa"/>
              <w:right w:w="115" w:type="dxa"/>
            </w:tcMar>
            <w:hideMark/>
          </w:tcPr>
          <w:p w14:paraId="1E6155DB"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No</w:t>
            </w:r>
          </w:p>
        </w:tc>
      </w:tr>
      <w:tr w:rsidR="00325075" w:rsidRPr="00620669" w14:paraId="01FDF280" w14:textId="77777777" w:rsidTr="001F1155">
        <w:trPr>
          <w:jc w:val="center"/>
        </w:trPr>
        <w:tc>
          <w:tcPr>
            <w:tcW w:w="0" w:type="auto"/>
            <w:shd w:val="clear" w:color="auto" w:fill="auto"/>
            <w:tcMar>
              <w:top w:w="0" w:type="dxa"/>
              <w:left w:w="115" w:type="dxa"/>
              <w:bottom w:w="0" w:type="dxa"/>
              <w:right w:w="115" w:type="dxa"/>
            </w:tcMar>
            <w:hideMark/>
          </w:tcPr>
          <w:p w14:paraId="5D73D996" w14:textId="32416A6F" w:rsidR="00325075" w:rsidRPr="00620669" w:rsidRDefault="00325075" w:rsidP="00C546DE">
            <w:pPr>
              <w:spacing w:after="0" w:line="360" w:lineRule="auto"/>
              <w:rPr>
                <w:rFonts w:asciiTheme="majorBidi" w:eastAsia="Times New Roman" w:hAnsiTheme="majorBidi" w:cstheme="majorBidi"/>
              </w:rPr>
            </w:pPr>
            <w:proofErr w:type="spellStart"/>
            <w:r w:rsidRPr="00620669">
              <w:rPr>
                <w:rFonts w:asciiTheme="majorBidi" w:eastAsia="Times New Roman" w:hAnsiTheme="majorBidi" w:cstheme="majorBidi"/>
                <w:color w:val="000000"/>
              </w:rPr>
              <w:t>Aydoğan</w:t>
            </w:r>
            <w:proofErr w:type="spellEnd"/>
            <w:r w:rsidR="00AA3049" w:rsidRPr="00620669">
              <w:rPr>
                <w:rFonts w:asciiTheme="majorBidi" w:eastAsia="Times New Roman" w:hAnsiTheme="majorBidi" w:cstheme="majorBidi"/>
                <w:color w:val="000000"/>
              </w:rPr>
              <w:t xml:space="preserve"> et al. 2022</w:t>
            </w:r>
            <w:r w:rsidRPr="00620669">
              <w:rPr>
                <w:rFonts w:asciiTheme="majorBidi" w:eastAsia="Times New Roman" w:hAnsiTheme="majorBidi" w:cstheme="majorBidi"/>
                <w:color w:val="000000"/>
              </w:rPr>
              <w:t xml:space="preserve"> </w:t>
            </w:r>
            <w:r w:rsidRPr="00620669">
              <w:rPr>
                <w:rFonts w:asciiTheme="majorBidi" w:eastAsia="Times New Roman" w:hAnsiTheme="majorBidi" w:cstheme="majorBidi"/>
                <w:color w:val="000000"/>
              </w:rPr>
              <w:fldChar w:fldCharType="begin" w:fldLock="1"/>
            </w:r>
            <w:r w:rsidRPr="00620669">
              <w:rPr>
                <w:rFonts w:asciiTheme="majorBidi" w:eastAsia="Times New Roman" w:hAnsiTheme="majorBidi" w:cstheme="majorBidi"/>
                <w:color w:val="000000"/>
              </w:rPr>
              <w:instrText>ADDIN CSL_CITATION {"citationItems":[{"id":"ITEM-1","itemData":{"DOI":"10.1007/S12020-022-03130-8","ISSN":"15590100","PMID":"35809159","abstract":"Purpose: Severe Acute Respiratory Syndrome Coronavirus 2 (SARS-CoV-2) vaccines have been reported to trigger immune side effects. Type 1 diabetes as a manifestation of autoimmune/inflammatory syndrome induced by adjuvants has been reported in a limited number of cases after vaccinations. A few type 1 diabetes cases after SARS-CoV-2 vaccination have been reported. This study aims to report type 1 diabetes cases associated with the mRNA-based SARS-CoV-2 vaccination. Methods: We report four cases of type 1 diabetes mellitus after mRNA-based SARS-CoV-2 vaccine, BNT162b2 (Pfizer–BioNTech). In the medical history, one subject had autoimmune thyroid disease. All patients had autoantibodies against glutamate decarboxylase. Results: In the presented case series, type 1 diabetes developed a few weeks after BNT162b2 vaccination. After developing type 1 diabetes, the insulin dose requirements of all patients decreased rapidly, and the need for insulin therapy in three patients disappeared during follow-up. Acute deterioration of glucose regulation in a patient followed by BNT162b2 administration may be due to vaccine-induced autoimmune diabetes. Conclusion: Vaccination with BNT162b2 may trigger type 1 diabetes.","author":[{"dropping-particle":"","family":"Aydoğan","given":"Berna İmge","non-dropping-particle":"","parse-names":false,"suffix":""},{"dropping-particle":"","family":"Ünlütürk","given":"Uğur","non-dropping-particle":"","parse-names":false,"suffix":""},{"dropping-particle":"","family":"Cesur","given":"Mustafa","non-dropping-particle":"","parse-names":false,"suffix":""}],"container-title":"Endocrine","id":"ITEM-1","issue":"1","issued":{"date-parts":[["2022","10","1"]]},"page":"42","publisher":"Nature Publishing Group","title":"Type 1 diabetes mellitus following SARS-CoV-2 mRNA vaccination","type":"article-journal","volume":"78"},"uris":["http://www.mendeley.com/documents/?uuid=0fd0306e-1f41-32ff-9e28-d7e1fa815d8e"]}],"mendeley":{"formattedCitation":"(18)","plainTextFormattedCitation":"(18)","previouslyFormattedCitation":"(18)"},"properties":{"noteIndex":0},"schema":"https://github.com/citation-style-language/schema/raw/master/csl-citation.json"}</w:instrText>
            </w:r>
            <w:r w:rsidRPr="00620669">
              <w:rPr>
                <w:rFonts w:asciiTheme="majorBidi" w:eastAsia="Times New Roman" w:hAnsiTheme="majorBidi" w:cstheme="majorBidi"/>
                <w:color w:val="000000"/>
              </w:rPr>
              <w:fldChar w:fldCharType="separate"/>
            </w:r>
            <w:r w:rsidRPr="00620669">
              <w:rPr>
                <w:rFonts w:asciiTheme="majorBidi" w:eastAsia="Times New Roman" w:hAnsiTheme="majorBidi" w:cstheme="majorBidi"/>
                <w:noProof/>
                <w:color w:val="000000"/>
              </w:rPr>
              <w:t>(18)</w:t>
            </w:r>
            <w:r w:rsidRPr="00620669">
              <w:rPr>
                <w:rFonts w:asciiTheme="majorBidi" w:eastAsia="Times New Roman" w:hAnsiTheme="majorBidi" w:cstheme="majorBidi"/>
                <w:color w:val="000000"/>
              </w:rPr>
              <w:fldChar w:fldCharType="end"/>
            </w:r>
          </w:p>
        </w:tc>
        <w:tc>
          <w:tcPr>
            <w:tcW w:w="0" w:type="auto"/>
            <w:shd w:val="clear" w:color="auto" w:fill="auto"/>
            <w:tcMar>
              <w:top w:w="0" w:type="dxa"/>
              <w:left w:w="115" w:type="dxa"/>
              <w:bottom w:w="0" w:type="dxa"/>
              <w:right w:w="115" w:type="dxa"/>
            </w:tcMar>
            <w:hideMark/>
          </w:tcPr>
          <w:p w14:paraId="406F3D7D"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0696B0C4"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5E080633"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74E2B8CD"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38D88E5A"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66D9F287"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c>
          <w:tcPr>
            <w:tcW w:w="0" w:type="auto"/>
            <w:shd w:val="clear" w:color="auto" w:fill="auto"/>
            <w:tcMar>
              <w:top w:w="0" w:type="dxa"/>
              <w:left w:w="115" w:type="dxa"/>
              <w:bottom w:w="0" w:type="dxa"/>
              <w:right w:w="115" w:type="dxa"/>
            </w:tcMar>
            <w:hideMark/>
          </w:tcPr>
          <w:p w14:paraId="523A0B18"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N/A</w:t>
            </w:r>
          </w:p>
        </w:tc>
        <w:tc>
          <w:tcPr>
            <w:tcW w:w="0" w:type="auto"/>
            <w:shd w:val="clear" w:color="auto" w:fill="auto"/>
            <w:tcMar>
              <w:top w:w="0" w:type="dxa"/>
              <w:left w:w="115" w:type="dxa"/>
              <w:bottom w:w="0" w:type="dxa"/>
              <w:right w:w="115" w:type="dxa"/>
            </w:tcMar>
            <w:hideMark/>
          </w:tcPr>
          <w:p w14:paraId="17C880B2" w14:textId="77777777" w:rsidR="00325075" w:rsidRPr="00620669" w:rsidRDefault="00325075" w:rsidP="00C546DE">
            <w:pPr>
              <w:spacing w:after="0" w:line="360" w:lineRule="auto"/>
              <w:rPr>
                <w:rFonts w:asciiTheme="majorBidi" w:eastAsia="Times New Roman" w:hAnsiTheme="majorBidi" w:cstheme="majorBidi"/>
              </w:rPr>
            </w:pPr>
            <w:r w:rsidRPr="00620669">
              <w:rPr>
                <w:rFonts w:asciiTheme="majorBidi" w:eastAsia="Times New Roman" w:hAnsiTheme="majorBidi" w:cstheme="majorBidi"/>
                <w:color w:val="000000"/>
              </w:rPr>
              <w:t>Yes</w:t>
            </w:r>
          </w:p>
        </w:tc>
      </w:tr>
    </w:tbl>
    <w:p w14:paraId="064CD712" w14:textId="77777777" w:rsidR="00325075" w:rsidRPr="00620669" w:rsidRDefault="00325075" w:rsidP="00325075">
      <w:pPr>
        <w:pStyle w:val="ListParagraph"/>
        <w:numPr>
          <w:ilvl w:val="0"/>
          <w:numId w:val="3"/>
        </w:num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rPr>
        <w:t>Were patient’s demographic characteristics clearly?</w:t>
      </w:r>
    </w:p>
    <w:p w14:paraId="4CE3745B" w14:textId="77777777" w:rsidR="00325075" w:rsidRPr="00620669" w:rsidRDefault="00325075" w:rsidP="00325075">
      <w:pPr>
        <w:pStyle w:val="ListParagraph"/>
        <w:numPr>
          <w:ilvl w:val="0"/>
          <w:numId w:val="3"/>
        </w:num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rPr>
        <w:t>Was the patient’s history clearly described and presented as a timeline?</w:t>
      </w:r>
    </w:p>
    <w:p w14:paraId="4CF394F9" w14:textId="77777777" w:rsidR="00325075" w:rsidRPr="00620669" w:rsidRDefault="00325075" w:rsidP="00325075">
      <w:pPr>
        <w:pStyle w:val="ListParagraph"/>
        <w:numPr>
          <w:ilvl w:val="0"/>
          <w:numId w:val="3"/>
        </w:numPr>
        <w:spacing w:after="24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rPr>
        <w:t>Was the current clinical condition of the patient on presentation clearly described?</w:t>
      </w:r>
    </w:p>
    <w:p w14:paraId="37A701C7" w14:textId="77777777" w:rsidR="00325075" w:rsidRPr="00620669" w:rsidRDefault="00325075" w:rsidP="00325075">
      <w:pPr>
        <w:pStyle w:val="ListParagraph"/>
        <w:numPr>
          <w:ilvl w:val="0"/>
          <w:numId w:val="3"/>
        </w:numPr>
        <w:spacing w:after="24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rPr>
        <w:t>Were diagnostic tests or assessment methods and the results clearly described?</w:t>
      </w:r>
    </w:p>
    <w:p w14:paraId="1CFC09A9" w14:textId="77777777" w:rsidR="00325075" w:rsidRPr="00620669" w:rsidRDefault="00325075" w:rsidP="00325075">
      <w:pPr>
        <w:pStyle w:val="ListParagraph"/>
        <w:numPr>
          <w:ilvl w:val="0"/>
          <w:numId w:val="3"/>
        </w:num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rPr>
        <w:t>Was the intervention(s) or treatment procedure(s) clearly described?</w:t>
      </w:r>
    </w:p>
    <w:p w14:paraId="0C0B4E1F" w14:textId="77777777" w:rsidR="00325075" w:rsidRPr="00620669" w:rsidRDefault="00325075" w:rsidP="00325075">
      <w:pPr>
        <w:pStyle w:val="ListParagraph"/>
        <w:numPr>
          <w:ilvl w:val="0"/>
          <w:numId w:val="3"/>
        </w:numPr>
        <w:spacing w:after="0"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rPr>
        <w:t>Was the post-intervention clinical condition clearly described?</w:t>
      </w:r>
    </w:p>
    <w:p w14:paraId="28C0B7CE" w14:textId="77777777" w:rsidR="00325075" w:rsidRPr="00620669" w:rsidRDefault="00325075" w:rsidP="00325075">
      <w:pPr>
        <w:pStyle w:val="ListParagraph"/>
        <w:numPr>
          <w:ilvl w:val="0"/>
          <w:numId w:val="3"/>
        </w:numPr>
        <w:spacing w:line="360" w:lineRule="auto"/>
        <w:rPr>
          <w:rFonts w:asciiTheme="majorBidi" w:eastAsia="Times New Roman" w:hAnsiTheme="majorBidi" w:cstheme="majorBidi"/>
          <w:color w:val="000000"/>
        </w:rPr>
      </w:pPr>
      <w:r w:rsidRPr="00620669">
        <w:rPr>
          <w:rFonts w:asciiTheme="majorBidi" w:eastAsia="Times New Roman" w:hAnsiTheme="majorBidi" w:cstheme="majorBidi"/>
          <w:color w:val="000000"/>
        </w:rPr>
        <w:t>Were adverse events (harms) or unanticipated events identified and described? </w:t>
      </w:r>
    </w:p>
    <w:p w14:paraId="456A550A" w14:textId="0192EB9A" w:rsidR="00707638" w:rsidRPr="00620669" w:rsidRDefault="00325075" w:rsidP="008A4C87">
      <w:pPr>
        <w:pStyle w:val="ListParagraph"/>
        <w:numPr>
          <w:ilvl w:val="0"/>
          <w:numId w:val="3"/>
        </w:numPr>
        <w:spacing w:line="360" w:lineRule="auto"/>
        <w:rPr>
          <w:rFonts w:asciiTheme="majorBidi" w:eastAsia="Times New Roman" w:hAnsiTheme="majorBidi" w:cstheme="majorBidi"/>
        </w:rPr>
      </w:pPr>
      <w:r w:rsidRPr="00620669">
        <w:rPr>
          <w:rFonts w:asciiTheme="majorBidi" w:eastAsia="Times New Roman" w:hAnsiTheme="majorBidi" w:cstheme="majorBidi"/>
          <w:color w:val="000000"/>
        </w:rPr>
        <w:t>Does the case report provide takeaway lessons?</w:t>
      </w:r>
    </w:p>
    <w:sectPr w:rsidR="00707638" w:rsidRPr="006206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473E5"/>
    <w:multiLevelType w:val="hybridMultilevel"/>
    <w:tmpl w:val="D5B4E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5A1209"/>
    <w:multiLevelType w:val="multilevel"/>
    <w:tmpl w:val="5200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DE78FA"/>
    <w:multiLevelType w:val="multilevel"/>
    <w:tmpl w:val="C58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7997333">
    <w:abstractNumId w:val="1"/>
  </w:num>
  <w:num w:numId="2" w16cid:durableId="299648412">
    <w:abstractNumId w:val="2"/>
  </w:num>
  <w:num w:numId="3" w16cid:durableId="1167406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75"/>
    <w:rsid w:val="000545AF"/>
    <w:rsid w:val="000D41A0"/>
    <w:rsid w:val="001F1155"/>
    <w:rsid w:val="00325075"/>
    <w:rsid w:val="0032784C"/>
    <w:rsid w:val="0038045F"/>
    <w:rsid w:val="00620669"/>
    <w:rsid w:val="00707638"/>
    <w:rsid w:val="007512E6"/>
    <w:rsid w:val="00761827"/>
    <w:rsid w:val="008A4C87"/>
    <w:rsid w:val="009060B3"/>
    <w:rsid w:val="00A9503F"/>
    <w:rsid w:val="00AA3049"/>
    <w:rsid w:val="00AD347C"/>
    <w:rsid w:val="00B46A9E"/>
    <w:rsid w:val="00C61419"/>
    <w:rsid w:val="00DE03E2"/>
    <w:rsid w:val="00E61103"/>
    <w:rsid w:val="00F70F4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C101"/>
  <w15:chartTrackingRefBased/>
  <w15:docId w15:val="{01B85745-A570-784E-AE46-3BCE2D12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075"/>
    <w:pPr>
      <w:spacing w:after="160" w:line="259" w:lineRule="auto"/>
    </w:pPr>
    <w:rPr>
      <w:sz w:val="22"/>
      <w:szCs w:val="22"/>
      <w:lang w:val="en-US"/>
    </w:rPr>
  </w:style>
  <w:style w:type="paragraph" w:styleId="Heading3">
    <w:name w:val="heading 3"/>
    <w:basedOn w:val="Normal"/>
    <w:link w:val="Heading3Char"/>
    <w:uiPriority w:val="9"/>
    <w:qFormat/>
    <w:rsid w:val="0070763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075"/>
    <w:pPr>
      <w:ind w:left="720"/>
      <w:contextualSpacing/>
    </w:pPr>
  </w:style>
  <w:style w:type="table" w:styleId="TableGrid">
    <w:name w:val="Table Grid"/>
    <w:basedOn w:val="TableNormal"/>
    <w:uiPriority w:val="39"/>
    <w:rsid w:val="00707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07638"/>
    <w:rPr>
      <w:rFonts w:ascii="Times New Roman" w:eastAsia="Times New Roman" w:hAnsi="Times New Roman" w:cs="Times New Roman"/>
      <w:b/>
      <w:bCs/>
      <w:sz w:val="27"/>
      <w:szCs w:val="27"/>
      <w:lang w:val="en-US"/>
    </w:rPr>
  </w:style>
  <w:style w:type="character" w:customStyle="1" w:styleId="value">
    <w:name w:val="value"/>
    <w:basedOn w:val="DefaultParagraphFont"/>
    <w:rsid w:val="00707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02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6605</Words>
  <Characters>37652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suhaib radi</dc:creator>
  <cp:keywords/>
  <dc:description/>
  <cp:lastModifiedBy>Alaa</cp:lastModifiedBy>
  <cp:revision>16</cp:revision>
  <dcterms:created xsi:type="dcterms:W3CDTF">2023-02-13T05:42:00Z</dcterms:created>
  <dcterms:modified xsi:type="dcterms:W3CDTF">2023-05-29T09:47:00Z</dcterms:modified>
</cp:coreProperties>
</file>