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spacing w:lineRule="auto" w:line="276" w:before="240" w:after="120"/>
        <w:ind w:hanging="2835" w:left="2835"/>
        <w:rPr>
          <w:rFonts w:ascii="Arial" w:hAnsi="Arial" w:eastAsia="Times New Roman" w:cs="Arial"/>
          <w:b/>
          <w:kern w:val="0"/>
          <w:szCs w:val="20"/>
          <w:lang w:val="en-GB"/>
          <w14:ligatures w14:val="none"/>
        </w:rPr>
      </w:pPr>
      <w:r>
        <w:rPr>
          <w:rFonts w:eastAsia="Times New Roman" w:cs="Arial" w:ascii="Arial" w:hAnsi="Arial"/>
          <w:b/>
          <w:kern w:val="0"/>
          <w:szCs w:val="20"/>
          <w:lang w:val="en-GB"/>
          <w14:ligatures w14:val="none"/>
        </w:rPr>
        <w:t>SUPPLEMENT</w:t>
      </w:r>
    </w:p>
    <w:p>
      <w:pPr>
        <w:pStyle w:val="Normal"/>
        <w:rPr/>
      </w:pPr>
      <w:r>
        <w:rPr/>
      </w:r>
    </w:p>
    <w:p>
      <w:pPr>
        <w:pStyle w:val="Normal"/>
        <w:keepNext w:val="true"/>
        <w:rPr>
          <w:rFonts w:cs="Arial"/>
        </w:rPr>
      </w:pPr>
      <w:r>
        <w:rPr/>
        <w:drawing>
          <wp:inline distT="0" distB="0" distL="0" distR="0">
            <wp:extent cx="6438900" cy="4057650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405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CaptionBotTblFig"/>
        <w:ind w:hanging="2880" w:left="2880"/>
        <w:rPr>
          <w:rFonts w:cs="Arial"/>
          <w:b w:val="false"/>
        </w:rPr>
      </w:pPr>
      <w:bookmarkStart w:id="0" w:name="_Toc150845339"/>
      <w:r>
        <w:rPr>
          <w:rFonts w:cs="Arial"/>
        </w:rPr>
        <w:t xml:space="preserve">Supplemental Figure 1: </w:t>
        <w:tab/>
        <w:t>Recruitment strategy (Total number of participants with T2D according to FPG = 102 (14%) &amp; HbA1c = 218 (26%)). *Indicates that only newly diagnosed individuals were considered at the respective time points.</w:t>
      </w:r>
      <w:bookmarkEnd w:id="0"/>
    </w:p>
    <w:p>
      <w:pPr>
        <w:sectPr>
          <w:type w:val="nextPage"/>
          <w:pgSz w:w="11906" w:h="16838"/>
          <w:pgMar w:left="720" w:right="720" w:gutter="0" w:header="0" w:top="720" w:footer="0" w:bottom="720"/>
          <w:pgNumType w:fmt="decimal"/>
          <w:formProt w:val="false"/>
          <w:textDirection w:val="lrTb"/>
          <w:docGrid w:type="default" w:linePitch="360" w:charSpace="4096"/>
        </w:sectPr>
        <w:pStyle w:val="Normal"/>
        <w:rPr>
          <w:rFonts w:ascii="Arial" w:hAnsi="Arial" w:eastAsia="Times New Roman" w:cs="Arial"/>
          <w:b/>
          <w:kern w:val="0"/>
          <w:szCs w:val="20"/>
          <w:lang w:val="en-GB"/>
          <w14:ligatures w14:val="none"/>
        </w:rPr>
      </w:pPr>
      <w:r>
        <w:rPr>
          <w:rFonts w:eastAsia="Times New Roman" w:cs="Arial" w:ascii="Arial" w:hAnsi="Arial"/>
          <w:b/>
          <w:kern w:val="0"/>
          <w:szCs w:val="20"/>
          <w:lang w:val="en-GB"/>
          <w14:ligatures w14:val="none"/>
        </w:rPr>
      </w:r>
    </w:p>
    <w:p>
      <w:pPr>
        <w:pStyle w:val="Normal"/>
        <w:keepNext w:val="true"/>
        <w:spacing w:lineRule="auto" w:line="276" w:before="240" w:after="120"/>
        <w:ind w:hanging="2835" w:left="2835"/>
        <w:rPr>
          <w:rFonts w:ascii="Arial" w:hAnsi="Arial" w:eastAsia="Times New Roman" w:cs="Arial"/>
          <w:b/>
          <w:kern w:val="0"/>
          <w:szCs w:val="20"/>
          <w:lang w:val="en-GB"/>
          <w14:ligatures w14:val="none"/>
        </w:rPr>
      </w:pPr>
      <w:r>
        <w:rPr>
          <w:rFonts w:eastAsia="Times New Roman" w:cs="Arial" w:ascii="Arial" w:hAnsi="Arial"/>
          <w:b/>
          <w:kern w:val="0"/>
          <w:szCs w:val="20"/>
          <w:lang w:val="en-GB"/>
          <w14:ligatures w14:val="none"/>
        </w:rPr>
        <w:t xml:space="preserve">Supplemental Table 1: </w:t>
        <w:tab/>
        <w:t>Characteristics of the respective risk prediction models and how these were incorporated into the SA-NW-PURE study population.</w:t>
      </w:r>
    </w:p>
    <w:tbl>
      <w:tblPr>
        <w:tblStyle w:val="TableGrid1"/>
        <w:tblW w:w="154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1" w:lastColumn="0" w:noHBand="0" w:val="0480"/>
      </w:tblPr>
      <w:tblGrid>
        <w:gridCol w:w="1838"/>
        <w:gridCol w:w="2721"/>
        <w:gridCol w:w="2722"/>
        <w:gridCol w:w="2720"/>
        <w:gridCol w:w="2723"/>
        <w:gridCol w:w="2721"/>
      </w:tblGrid>
      <w:tr>
        <w:trPr>
          <w:tblHeader w:val="true"/>
        </w:trPr>
        <w:tc>
          <w:tcPr>
            <w:tcW w:w="1838" w:type="dxa"/>
            <w:tcBorders>
              <w:left w:val="nil"/>
            </w:tcBorders>
            <w:shd w:color="auto" w:fill="808080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b/>
                <w:bCs/>
                <w:color w:themeColor="background1" w:val="FFFFFF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color w:themeColor="background1" w:val="FFFFFF"/>
                <w:kern w:val="0"/>
                <w:sz w:val="20"/>
                <w:szCs w:val="20"/>
                <w:lang w:val="en-ZA" w:eastAsia="en-US" w:bidi="ar-SA"/>
              </w:rPr>
              <w:t>Characteristic</w:t>
            </w:r>
          </w:p>
        </w:tc>
        <w:tc>
          <w:tcPr>
            <w:tcW w:w="2721" w:type="dxa"/>
            <w:tcBorders>
              <w:right w:val="nil"/>
            </w:tcBorders>
            <w:shd w:color="auto" w:fill="808080" w:val="clear"/>
          </w:tcPr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ascii="Arial" w:hAnsi="Arial" w:cs="Arial"/>
                <w:b/>
                <w:bCs/>
                <w:color w:themeColor="background1" w:val="FFFFFF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color w:themeColor="background1" w:val="FFFFFF"/>
                <w:kern w:val="0"/>
                <w:sz w:val="20"/>
                <w:szCs w:val="20"/>
                <w:lang w:val="en-ZA" w:eastAsia="en-US" w:bidi="ar-SA"/>
              </w:rPr>
              <w:t>ADRS</w:t>
            </w:r>
          </w:p>
        </w:tc>
        <w:tc>
          <w:tcPr>
            <w:tcW w:w="2722" w:type="dxa"/>
            <w:tcBorders>
              <w:left w:val="nil"/>
              <w:right w:val="nil"/>
            </w:tcBorders>
            <w:shd w:color="auto" w:fill="808080" w:val="clear"/>
          </w:tcPr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ascii="Arial" w:hAnsi="Arial" w:cs="Arial"/>
                <w:b/>
                <w:bCs/>
                <w:color w:themeColor="background1" w:val="FFFFFF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color w:themeColor="background1" w:val="FFFFFF"/>
                <w:kern w:val="0"/>
                <w:sz w:val="20"/>
                <w:szCs w:val="20"/>
                <w:lang w:val="en-ZA" w:eastAsia="en-US" w:bidi="ar-SA"/>
              </w:rPr>
              <w:t>Simplified FINDRISC</w:t>
            </w:r>
          </w:p>
        </w:tc>
        <w:tc>
          <w:tcPr>
            <w:tcW w:w="2720" w:type="dxa"/>
            <w:tcBorders>
              <w:left w:val="nil"/>
              <w:right w:val="nil"/>
            </w:tcBorders>
            <w:shd w:color="auto" w:fill="808080" w:val="clear"/>
          </w:tcPr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ascii="Arial" w:hAnsi="Arial" w:cs="Arial"/>
                <w:b/>
                <w:bCs/>
                <w:color w:themeColor="background1" w:val="FFFFFF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color w:themeColor="background1" w:val="FFFFFF"/>
                <w:kern w:val="0"/>
                <w:sz w:val="20"/>
                <w:szCs w:val="20"/>
                <w:lang w:val="en-ZA" w:eastAsia="en-US" w:bidi="ar-SA"/>
              </w:rPr>
              <w:t>ADA</w:t>
            </w:r>
          </w:p>
        </w:tc>
        <w:tc>
          <w:tcPr>
            <w:tcW w:w="2723" w:type="dxa"/>
            <w:tcBorders>
              <w:left w:val="nil"/>
              <w:right w:val="nil"/>
            </w:tcBorders>
            <w:shd w:color="auto" w:fill="808080" w:val="clear"/>
          </w:tcPr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ascii="Arial" w:hAnsi="Arial" w:cs="Arial"/>
                <w:b/>
                <w:bCs/>
                <w:color w:themeColor="background1" w:val="FFFFFF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color w:themeColor="background1" w:val="FFFFFF"/>
                <w:kern w:val="0"/>
                <w:sz w:val="20"/>
                <w:szCs w:val="20"/>
                <w:lang w:val="en-ZA" w:eastAsia="en-US" w:bidi="ar-SA"/>
              </w:rPr>
              <w:t>IRS</w:t>
            </w:r>
          </w:p>
        </w:tc>
        <w:tc>
          <w:tcPr>
            <w:tcW w:w="2721" w:type="dxa"/>
            <w:tcBorders>
              <w:left w:val="nil"/>
              <w:right w:val="nil"/>
            </w:tcBorders>
            <w:shd w:color="auto" w:fill="808080" w:val="clear"/>
          </w:tcPr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ascii="Arial" w:hAnsi="Arial" w:cs="Arial"/>
                <w:b/>
                <w:bCs/>
                <w:color w:themeColor="background1" w:val="FFFFFF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color w:themeColor="background1" w:val="FFFFFF"/>
                <w:kern w:val="0"/>
                <w:sz w:val="20"/>
                <w:szCs w:val="20"/>
                <w:lang w:val="en-ZA" w:eastAsia="en-US" w:bidi="ar-SA"/>
              </w:rPr>
              <w:t>SA-NW-PURE</w:t>
            </w:r>
          </w:p>
        </w:tc>
      </w:tr>
      <w:tr>
        <w:trPr/>
        <w:tc>
          <w:tcPr>
            <w:tcW w:w="15445" w:type="dxa"/>
            <w:gridSpan w:val="6"/>
            <w:tcBorders>
              <w:left w:val="nil"/>
              <w:bottom w:val="nil"/>
              <w:right w:val="nil"/>
            </w:tcBorders>
            <w:shd w:color="auto" w:fill="BFBFBF" w:val="clear"/>
            <w:vAlign w:val="center"/>
          </w:tcPr>
          <w:p>
            <w:pPr>
              <w:pStyle w:val="Normal"/>
              <w:widowControl/>
              <w:spacing w:lineRule="auto" w:line="276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Characteristics of the populations in which the scores were developed</w:t>
            </w:r>
          </w:p>
        </w:tc>
      </w:tr>
      <w:tr>
        <w:trPr/>
        <w:tc>
          <w:tcPr>
            <w:tcW w:w="1838" w:type="dxa"/>
            <w:tcBorders>
              <w:left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Authors</w:t>
            </w:r>
          </w:p>
        </w:tc>
        <w:tc>
          <w:tcPr>
            <w:tcW w:w="2721" w:type="dxa"/>
            <w:tcBorders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Mayige </w:t>
            </w:r>
          </w:p>
        </w:tc>
        <w:tc>
          <w:tcPr>
            <w:tcW w:w="2722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Bergmann </w:t>
            </w: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en-ZA" w:eastAsia="en-US" w:bidi="ar-SA"/>
              </w:rPr>
              <w:t>et al.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 </w:t>
            </w:r>
          </w:p>
        </w:tc>
        <w:tc>
          <w:tcPr>
            <w:tcW w:w="2720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Bang </w:t>
            </w: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en-ZA" w:eastAsia="en-US" w:bidi="ar-SA"/>
              </w:rPr>
              <w:t>et al.</w:t>
            </w:r>
          </w:p>
        </w:tc>
        <w:tc>
          <w:tcPr>
            <w:tcW w:w="2723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Ramachandran </w:t>
            </w: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en-ZA" w:eastAsia="en-US" w:bidi="ar-SA"/>
              </w:rPr>
              <w:t>et al.</w:t>
            </w:r>
          </w:p>
        </w:tc>
        <w:tc>
          <w:tcPr>
            <w:tcW w:w="2721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-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Year published</w:t>
            </w:r>
          </w:p>
        </w:tc>
        <w:tc>
          <w:tcPr>
            <w:tcW w:w="2721" w:type="dxa"/>
            <w:tcBorders>
              <w:top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2014 (unpublished)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2007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2009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2005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Country in which score was developed</w:t>
            </w:r>
          </w:p>
        </w:tc>
        <w:tc>
          <w:tcPr>
            <w:tcW w:w="2721" w:type="dxa"/>
            <w:tcBorders>
              <w:top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Multi-country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Germany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United States of America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India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-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Sample size</w:t>
            </w:r>
          </w:p>
        </w:tc>
        <w:tc>
          <w:tcPr>
            <w:tcW w:w="2721" w:type="dxa"/>
            <w:tcBorders>
              <w:top w:val="nil"/>
              <w:bottom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5,411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526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5,258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4,993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937 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Design</w:t>
            </w:r>
          </w:p>
        </w:tc>
        <w:tc>
          <w:tcPr>
            <w:tcW w:w="2721" w:type="dxa"/>
            <w:tcBorders>
              <w:top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Cross-sectional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Prospective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Cross-sectional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Cross-sectional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Repeated cross-sectional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Age (years)</w:t>
            </w:r>
          </w:p>
        </w:tc>
        <w:tc>
          <w:tcPr>
            <w:tcW w:w="2721" w:type="dxa"/>
            <w:tcBorders>
              <w:top w:val="nil"/>
              <w:bottom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≥ 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15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Tanzania: 24 – 64 years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Guinea: 25 – 64 years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Senegal: ≥ 15 years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41 – 79 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Symbol" w:cs="Symbol" w:ascii="Symbol" w:hAnsi="Symbol"/>
                <w:kern w:val="0"/>
                <w:sz w:val="20"/>
                <w:szCs w:val="20"/>
                <w:lang w:val="en-ZA" w:eastAsia="en-US" w:bidi="ar-SA"/>
              </w:rPr>
              <w:sym w:font="Symbol" w:char="f0b3"/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 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20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Symbol" w:cs="Symbol" w:ascii="Symbol" w:hAnsi="Symbol"/>
                <w:kern w:val="0"/>
                <w:sz w:val="20"/>
                <w:szCs w:val="20"/>
                <w:lang w:val="en-ZA" w:eastAsia="en-US" w:bidi="ar-SA"/>
              </w:rPr>
              <w:sym w:font="Symbol" w:char="f0b3"/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 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20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&gt; 30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Population</w:t>
            </w:r>
          </w:p>
        </w:tc>
        <w:tc>
          <w:tcPr>
            <w:tcW w:w="2721" w:type="dxa"/>
            <w:tcBorders>
              <w:top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Black (Tanzanian, Guinean and Senegalese)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European descent (Finland)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Multiracial (White, Hispanic, Black; USA)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Indian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Black (African descent; South Africa)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Definition of diabetes</w:t>
            </w:r>
          </w:p>
        </w:tc>
        <w:tc>
          <w:tcPr>
            <w:tcW w:w="2721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FPG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en-ZA" w:eastAsia="en-US" w:bidi="ar-SA"/>
              </w:rPr>
              <w:sym w:font="Symbol" w:char="f0b3"/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 7.0 mmol/l</w:t>
            </w:r>
          </w:p>
        </w:tc>
        <w:tc>
          <w:tcPr>
            <w:tcW w:w="2722" w:type="dxa"/>
            <w:tcBorders>
              <w:top w:val="nil"/>
              <w:left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FPG ≥ 7.0 mmol/l, or 2-hour glucose ≥ 11.1 mmol/l</w:t>
            </w:r>
          </w:p>
        </w:tc>
        <w:tc>
          <w:tcPr>
            <w:tcW w:w="2720" w:type="dxa"/>
            <w:tcBorders>
              <w:top w:val="nil"/>
              <w:left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FPG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en-ZA" w:eastAsia="en-US" w:bidi="ar-SA"/>
              </w:rPr>
              <w:sym w:font="Symbol" w:char="f0b3"/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 7.0 mmol/L</w:t>
            </w:r>
          </w:p>
        </w:tc>
        <w:tc>
          <w:tcPr>
            <w:tcW w:w="2723" w:type="dxa"/>
            <w:tcBorders>
              <w:top w:val="nil"/>
              <w:left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FPG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en-ZA" w:eastAsia="en-US" w:bidi="ar-SA"/>
              </w:rPr>
              <w:sym w:font="Symbol" w:char="f0b3"/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 7.0 mmol/l, or 2-hour glucose 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en-ZA" w:eastAsia="en-US" w:bidi="ar-SA"/>
              </w:rPr>
              <w:sym w:font="Symbol" w:char="f0b3"/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 11.1 mmol/l, or HbA1c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en-ZA" w:eastAsia="en-US" w:bidi="ar-SA"/>
              </w:rPr>
              <w:sym w:font="Symbol" w:char="f0b3"/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 6.5%</w:t>
            </w:r>
          </w:p>
        </w:tc>
        <w:tc>
          <w:tcPr>
            <w:tcW w:w="2721" w:type="dxa"/>
            <w:tcBorders>
              <w:top w:val="nil"/>
              <w:left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FPG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en-ZA" w:eastAsia="en-US" w:bidi="ar-SA"/>
              </w:rPr>
              <w:sym w:font="Symbol" w:char="f0b3"/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 7.0 mmol/l, or HbA1c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en-ZA" w:eastAsia="en-US" w:bidi="ar-SA"/>
              </w:rPr>
              <w:sym w:font="Symbol" w:char="f0b3"/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 6.5% </w:t>
            </w:r>
          </w:p>
        </w:tc>
      </w:tr>
      <w:tr>
        <w:trPr/>
        <w:tc>
          <w:tcPr>
            <w:tcW w:w="15445" w:type="dxa"/>
            <w:gridSpan w:val="6"/>
            <w:tcBorders>
              <w:left w:val="nil"/>
              <w:right w:val="nil"/>
            </w:tcBorders>
            <w:shd w:color="auto" w:fill="BFBFBF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Variables and equations of the respective scores</w:t>
            </w:r>
          </w:p>
        </w:tc>
      </w:tr>
      <w:tr>
        <w:trPr/>
        <w:tc>
          <w:tcPr>
            <w:tcW w:w="1838" w:type="dxa"/>
            <w:tcBorders>
              <w:left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Age (years)</w:t>
            </w:r>
          </w:p>
        </w:tc>
        <w:tc>
          <w:tcPr>
            <w:tcW w:w="2721" w:type="dxa"/>
            <w:tcBorders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Linear (years)</w:t>
            </w:r>
          </w:p>
        </w:tc>
        <w:tc>
          <w:tcPr>
            <w:tcW w:w="2722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 xml:space="preserve">+0: ≤ 45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 xml:space="preserve">+0.628: 45–54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 xml:space="preserve">+0.892: &gt;55 </w:t>
            </w:r>
          </w:p>
        </w:tc>
        <w:tc>
          <w:tcPr>
            <w:tcW w:w="2720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+0: &lt; 40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+1: 40–49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+2: 50–59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+3: ³ 60)</w:t>
            </w:r>
            <w:r>
              <w:rPr>
                <w:rFonts w:eastAsia="Calibri" w:cs="Arial" w:ascii="Arial" w:hAnsi="Arial"/>
                <w:kern w:val="0"/>
                <w:sz w:val="18"/>
                <w:szCs w:val="18"/>
                <w:shd w:fill="FFFFFF" w:val="clear"/>
                <w:lang w:val="en-ZA" w:eastAsia="en-US" w:bidi="ar-SA"/>
              </w:rPr>
              <w:t> </w:t>
            </w:r>
          </w:p>
        </w:tc>
        <w:tc>
          <w:tcPr>
            <w:tcW w:w="2723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+1.05: 30 – 44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+1.75: 45 – 59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+1.93: &gt; 59</w:t>
            </w:r>
          </w:p>
        </w:tc>
        <w:tc>
          <w:tcPr>
            <w:tcW w:w="2721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Data available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Sex</w:t>
            </w:r>
          </w:p>
        </w:tc>
        <w:tc>
          <w:tcPr>
            <w:tcW w:w="2721" w:type="dxa"/>
            <w:tcBorders>
              <w:top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Not included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Not included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Men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Women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Not included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Data available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BMI (kg/m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)</w:t>
            </w:r>
          </w:p>
        </w:tc>
        <w:tc>
          <w:tcPr>
            <w:tcW w:w="2721" w:type="dxa"/>
            <w:tcBorders>
              <w:top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Not included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+0: ≤ 25</w:t>
            </w:r>
            <w:r>
              <w:rPr>
                <w:rFonts w:eastAsia="Calibri" w:cs="Arial" w:ascii="Arial" w:hAnsi="Arial"/>
                <w:kern w:val="0"/>
                <w:sz w:val="22"/>
                <w:szCs w:val="20"/>
                <w:lang w:val="en-ZA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 xml:space="preserve">+0.165: 25–29.9 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 xml:space="preserve">+1.096: &gt;30 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+1: 25≤ to &lt;30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+2: 30 ≤ to &lt;40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+3: ≥40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+0: &lt; 25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 xml:space="preserve">+0.729: </w:t>
            </w:r>
            <w:r>
              <w:rPr>
                <w:rFonts w:eastAsia="Symbol" w:cs="Symbol" w:ascii="Symbol" w:hAnsi="Symbol"/>
                <w:kern w:val="0"/>
                <w:sz w:val="18"/>
                <w:szCs w:val="18"/>
                <w:lang w:val="en-ZA" w:eastAsia="en-US" w:bidi="ar-SA"/>
              </w:rPr>
              <w:sym w:font="Symbol" w:char="f0b3"/>
            </w: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 xml:space="preserve"> 25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Data available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Waist circumference (cm)</w:t>
            </w:r>
          </w:p>
        </w:tc>
        <w:tc>
          <w:tcPr>
            <w:tcW w:w="2721" w:type="dxa"/>
            <w:tcBorders>
              <w:top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Linear (cm)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60" w:after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Sex-specific (F/M) 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+0: &lt; 80 or 94  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 xml:space="preserve">+0.857: 80–88 or 94–102 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 xml:space="preserve">+1.350: ≥ 88 or 102 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Sex-specific (F/M)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kern w:val="0"/>
                <w:sz w:val="16"/>
                <w:szCs w:val="16"/>
                <w:lang w:val="en-ZA" w:eastAsia="en-US" w:bidi="ar-SA"/>
              </w:rPr>
              <w:t xml:space="preserve">+1: 80 ≤ to &lt; 89 or 94 ≤ to &lt; 102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kern w:val="0"/>
                <w:sz w:val="16"/>
                <w:szCs w:val="16"/>
                <w:lang w:val="en-ZA" w:eastAsia="en-US" w:bidi="ar-SA"/>
              </w:rPr>
              <w:t xml:space="preserve">+2: 89 ≤ to &lt; 124 or 102 ≤ to &lt; 127 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6"/>
                <w:szCs w:val="16"/>
                <w:lang w:val="en-ZA" w:eastAsia="en-US" w:bidi="ar-SA"/>
              </w:rPr>
              <w:t xml:space="preserve">+3: ≥ 124 or ≥ 127 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 xml:space="preserve">+0.528: </w:t>
            </w:r>
            <w:r>
              <w:rPr>
                <w:rFonts w:eastAsia="Symbol" w:cs="Symbol" w:ascii="Symbol" w:hAnsi="Symbol"/>
                <w:kern w:val="0"/>
                <w:sz w:val="18"/>
                <w:szCs w:val="18"/>
                <w:lang w:val="en-ZA" w:eastAsia="en-US" w:bidi="ar-SA"/>
              </w:rPr>
              <w:sym w:font="Symbol" w:char="f0b3"/>
            </w: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 xml:space="preserve"> 80 (women)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 xml:space="preserve">+0.528: </w:t>
            </w:r>
            <w:r>
              <w:rPr>
                <w:rFonts w:eastAsia="Symbol" w:cs="Symbol" w:ascii="Symbol" w:hAnsi="Symbol"/>
                <w:kern w:val="0"/>
                <w:sz w:val="18"/>
                <w:szCs w:val="18"/>
                <w:lang w:val="en-ZA" w:eastAsia="en-US" w:bidi="ar-SA"/>
              </w:rPr>
              <w:sym w:font="Symbol" w:char="f0b3"/>
            </w: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 xml:space="preserve"> 85 (men)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Data available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History of Diabetes</w:t>
            </w:r>
          </w:p>
        </w:tc>
        <w:tc>
          <w:tcPr>
            <w:tcW w:w="2721" w:type="dxa"/>
            <w:tcBorders>
              <w:top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Not included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Have you ever been told by a health-care professional that you have diabetes or latent diabetes?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No/latent diabetes/diabetes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Not included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Not included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Data available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Family history</w:t>
            </w:r>
          </w:p>
        </w:tc>
        <w:tc>
          <w:tcPr>
            <w:tcW w:w="2721" w:type="dxa"/>
            <w:tcBorders>
              <w:top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Not included 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Not included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Mother / Father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Brother / Sister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Yes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Data available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Physical activity</w:t>
            </w:r>
          </w:p>
        </w:tc>
        <w:tc>
          <w:tcPr>
            <w:tcW w:w="2721" w:type="dxa"/>
            <w:tcBorders>
              <w:top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Not included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Not included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Yes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Yes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Data available 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Hypertension diagnosis (mmHg)</w:t>
            </w:r>
          </w:p>
        </w:tc>
        <w:tc>
          <w:tcPr>
            <w:tcW w:w="2721" w:type="dxa"/>
            <w:tcBorders>
              <w:top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SBP ≥ 140 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DBP ≥ 90 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Not included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SBP ≥ 140 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 xml:space="preserve">DBP ≥ 90 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Not included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SBP &amp; DBP available and coded to define hypertension according to the respective risk models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Use of HTN drugs (question)</w:t>
            </w:r>
          </w:p>
        </w:tc>
        <w:tc>
          <w:tcPr>
            <w:tcW w:w="2721" w:type="dxa"/>
            <w:tcBorders>
              <w:top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Yes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Yes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Yes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Not included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No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Yes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ZA" w:eastAsia="en-US" w:bidi="ar-SA"/>
              </w:rPr>
              <w:t>Linear predictor</w:t>
            </w:r>
          </w:p>
        </w:tc>
        <w:tc>
          <w:tcPr>
            <w:tcW w:w="2721" w:type="dxa"/>
            <w:tcBorders>
              <w:top w:val="nil"/>
              <w:right w:val="nil"/>
            </w:tcBorders>
            <w:shd w:color="auto" w:fill="F2F2F2" w:val="clea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X = [(-11.012+ 0.045(age)+ 0.048 (waist circumference) + 0.649 (hypertension)]</w:t>
            </w:r>
          </w:p>
        </w:tc>
        <w:tc>
          <w:tcPr>
            <w:tcW w:w="2722" w:type="dxa"/>
            <w:tcBorders>
              <w:top w:val="nil"/>
              <w:left w:val="nil"/>
              <w:right w:val="nil"/>
            </w:tcBorders>
            <w:shd w:color="auto" w:fill="F2F2F2" w:val="clea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X = -5.514 + age + BMI + waist circumference + 0.711 (if prescribed antihypertensive medication) + 2.139 (if a history of high blood glucose, not relevant for SA-NW-PURE validation)</w:t>
            </w:r>
          </w:p>
        </w:tc>
        <w:tc>
          <w:tcPr>
            <w:tcW w:w="2720" w:type="dxa"/>
            <w:tcBorders>
              <w:top w:val="nil"/>
              <w:left w:val="nil"/>
              <w:right w:val="nil"/>
            </w:tcBorders>
            <w:shd w:color="auto" w:fill="F2F2F2" w:val="clea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X = age + (men)*1 + (family history of diabetes)*1 + (history of hypertension)*1 + BMI/waist circumference - exercise*1.</w:t>
            </w:r>
          </w:p>
        </w:tc>
        <w:tc>
          <w:tcPr>
            <w:tcW w:w="2723" w:type="dxa"/>
            <w:tcBorders>
              <w:top w:val="nil"/>
              <w:left w:val="nil"/>
              <w:right w:val="nil"/>
            </w:tcBorders>
            <w:shd w:color="auto" w:fill="F2F2F2" w:val="clea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X = -4.96 + age + 0.677(positive family history) + BMI + waist circumference + 0.437(sedentary &amp; light physical activity)</w:t>
            </w:r>
          </w:p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</w:r>
          </w:p>
        </w:tc>
        <w:tc>
          <w:tcPr>
            <w:tcW w:w="2721" w:type="dxa"/>
            <w:tcBorders>
              <w:top w:val="nil"/>
              <w:left w:val="nil"/>
              <w:right w:val="nil"/>
            </w:tcBorders>
            <w:shd w:color="auto" w:fill="F2F2F2" w:val="clear"/>
          </w:tcPr>
          <w:p>
            <w:pPr>
              <w:pStyle w:val="Normal"/>
              <w:widowControl/>
              <w:spacing w:lineRule="auto" w:line="240" w:before="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18"/>
                <w:lang w:val="en-ZA" w:eastAsia="en-US" w:bidi="ar-SA"/>
              </w:rPr>
              <w:t>-</w:t>
            </w:r>
          </w:p>
        </w:tc>
      </w:tr>
    </w:tbl>
    <w:p>
      <w:pPr>
        <w:pStyle w:val="Normal"/>
        <w:spacing w:lineRule="auto" w:line="276" w:before="0" w:after="240"/>
        <w:jc w:val="both"/>
        <w:rPr>
          <w:rFonts w:ascii="Arial" w:hAnsi="Arial" w:eastAsia="Times New Roman" w:cs="Arial"/>
          <w:kern w:val="0"/>
          <w:sz w:val="20"/>
          <w:szCs w:val="20"/>
          <w:lang w:val="en-GB"/>
          <w14:ligatures w14:val="none"/>
        </w:rPr>
      </w:pPr>
      <w:r>
        <w:rPr>
          <w:rFonts w:eastAsia="Times New Roman" w:cs="Arial" w:ascii="Arial" w:hAnsi="Arial"/>
          <w:kern w:val="0"/>
          <w:sz w:val="20"/>
          <w:szCs w:val="20"/>
          <w:lang w:val="en-GB"/>
          <w14:ligatures w14:val="none"/>
        </w:rPr>
        <w:t xml:space="preserve">FPG – fasting plasma glucose; HbA1c – glycated haemoglobin; BMI – body mass index; M – male; F – female. </w:t>
      </w:r>
      <w:r>
        <w:rPr>
          <w:rFonts w:cs="Arial" w:ascii="Arial" w:hAnsi="Arial"/>
          <w:sz w:val="20"/>
        </w:rPr>
        <w:t>The Simplified FINDRISC and IRS models included both BMI and waist circumference, whereas the ADA model included either BMI or waist circumference to classify obesity.</w:t>
      </w:r>
    </w:p>
    <w:p>
      <w:pPr>
        <w:pStyle w:val="Normal"/>
        <w:keepNext w:val="true"/>
        <w:spacing w:lineRule="auto" w:line="360" w:before="0" w:after="240"/>
        <w:jc w:val="both"/>
        <w:rPr>
          <w:rFonts w:ascii="Arial" w:hAnsi="Arial" w:eastAsia="Times New Roman" w:cs="Arial"/>
          <w:kern w:val="0"/>
          <w:sz w:val="18"/>
          <w:szCs w:val="18"/>
          <w:lang w:val="en-GB"/>
          <w14:ligatures w14:val="none"/>
        </w:rPr>
      </w:pPr>
      <w:r>
        <w:rPr>
          <w:rFonts w:eastAsia="Times New Roman" w:cs="Arial" w:ascii="Arial" w:hAnsi="Arial"/>
          <w:kern w:val="0"/>
          <w:sz w:val="18"/>
          <w:szCs w:val="18"/>
          <w:lang w:val="en-GB"/>
          <w14:ligatures w14:val="none"/>
        </w:rPr>
      </w:r>
    </w:p>
    <w:p>
      <w:pPr>
        <w:sectPr>
          <w:type w:val="nextPage"/>
          <w:pgSz w:orient="landscape" w:w="16838" w:h="11906"/>
          <w:pgMar w:left="720" w:right="720" w:gutter="0" w:header="0" w:top="720" w:footer="0" w:bottom="720"/>
          <w:pgNumType w:fmt="decimal"/>
          <w:formProt w:val="false"/>
          <w:textDirection w:val="lrTb"/>
          <w:docGrid w:type="default" w:linePitch="360" w:charSpace="4096"/>
        </w:sectPr>
        <w:pStyle w:val="Normal"/>
        <w:keepNext w:val="true"/>
        <w:spacing w:lineRule="auto" w:line="360" w:before="0" w:after="240"/>
        <w:jc w:val="both"/>
        <w:rPr>
          <w:rFonts w:ascii="Arial" w:hAnsi="Arial" w:eastAsia="Times New Roman" w:cs="Arial"/>
          <w:b/>
          <w:bCs/>
          <w:kern w:val="0"/>
          <w:sz w:val="18"/>
          <w:szCs w:val="18"/>
          <w:lang w:val="en-GB"/>
          <w14:ligatures w14:val="none"/>
        </w:rPr>
      </w:pPr>
      <w:r>
        <w:rPr>
          <w:rFonts w:eastAsia="Times New Roman" w:cs="Arial" w:ascii="Arial" w:hAnsi="Arial"/>
          <w:b/>
          <w:bCs/>
          <w:kern w:val="0"/>
          <w:sz w:val="18"/>
          <w:szCs w:val="18"/>
          <w:lang w:val="en-GB"/>
          <w14:ligatures w14:val="none"/>
        </w:rPr>
      </w:r>
    </w:p>
    <w:p>
      <w:pPr>
        <w:pStyle w:val="Normal"/>
        <w:keepNext w:val="true"/>
        <w:spacing w:lineRule="auto" w:line="276" w:before="240" w:after="120"/>
        <w:ind w:hanging="1276" w:left="1276"/>
        <w:rPr>
          <w:rFonts w:ascii="Arial" w:hAnsi="Arial" w:eastAsia="Times New Roman" w:cs="Arial"/>
          <w:b/>
          <w:kern w:val="0"/>
          <w:szCs w:val="20"/>
          <w:lang w:val="en-GB"/>
          <w14:ligatures w14:val="none"/>
        </w:rPr>
      </w:pPr>
      <w:bookmarkStart w:id="1" w:name="_Toc150845332"/>
      <w:r>
        <w:rPr>
          <w:rFonts w:eastAsia="Times New Roman" w:cs="Arial" w:ascii="Arial" w:hAnsi="Arial"/>
          <w:b/>
          <w:kern w:val="0"/>
          <w:szCs w:val="20"/>
          <w:lang w:val="en-GB"/>
          <w14:ligatures w14:val="none"/>
        </w:rPr>
        <w:t xml:space="preserve">Supplemental Table 2: </w:t>
        <w:tab/>
        <w:t>FPG- vs. HbA1c-based T2D frequency in the SA-NW-PURE cohort.</w:t>
      </w:r>
      <w:bookmarkEnd w:id="1"/>
    </w:p>
    <w:tbl>
      <w:tblPr>
        <w:tblStyle w:val="TableGrid"/>
        <w:tblW w:w="915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42"/>
        <w:gridCol w:w="3814"/>
      </w:tblGrid>
      <w:tr>
        <w:trPr>
          <w:trHeight w:val="380" w:hRule="atLeast"/>
        </w:trPr>
        <w:tc>
          <w:tcPr>
            <w:tcW w:w="5342" w:type="dxa"/>
            <w:tcBorders>
              <w:left w:val="nil"/>
              <w:right w:val="nil"/>
            </w:tcBorders>
            <w:shd w:color="auto" w:fill="808080" w:val="clear"/>
            <w:vAlign w:val="center"/>
          </w:tcPr>
          <w:p>
            <w:pPr>
              <w:pStyle w:val="Normal"/>
              <w:widowControl/>
              <w:spacing w:lineRule="auto" w:line="240" w:before="60" w:after="60"/>
              <w:jc w:val="both"/>
              <w:rPr>
                <w:rFonts w:ascii="Arial" w:hAnsi="Arial" w:eastAsia="Calibri" w:cs="Arial"/>
                <w:b/>
                <w:bCs/>
                <w:lang w:val="en-GB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0"/>
                <w:szCs w:val="20"/>
                <w:lang w:val="en-GB" w:eastAsia="en-ZA" w:bidi="ar-SA"/>
              </w:rPr>
              <w:t>Cohort</w:t>
            </w:r>
          </w:p>
        </w:tc>
        <w:tc>
          <w:tcPr>
            <w:tcW w:w="3814" w:type="dxa"/>
            <w:tcBorders>
              <w:left w:val="nil"/>
              <w:right w:val="nil"/>
            </w:tcBorders>
            <w:shd w:color="auto" w:fill="808080" w:val="clear"/>
            <w:vAlign w:val="center"/>
          </w:tcPr>
          <w:p>
            <w:pPr>
              <w:pStyle w:val="Normal"/>
              <w:widowControl/>
              <w:spacing w:lineRule="auto" w:line="240" w:before="60" w:after="60"/>
              <w:jc w:val="center"/>
              <w:rPr>
                <w:rFonts w:ascii="Arial" w:hAnsi="Arial" w:eastAsia="Calibri" w:cs="Arial"/>
                <w:b/>
                <w:bCs/>
                <w:lang w:val="en-GB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0"/>
                <w:szCs w:val="20"/>
                <w:lang w:val="en-GB" w:eastAsia="en-ZA" w:bidi="ar-SA"/>
              </w:rPr>
              <w:t>Number of Participants (%)</w:t>
            </w:r>
          </w:p>
        </w:tc>
      </w:tr>
      <w:tr>
        <w:trPr>
          <w:trHeight w:val="365" w:hRule="atLeast"/>
        </w:trPr>
        <w:tc>
          <w:tcPr>
            <w:tcW w:w="5342" w:type="dxa"/>
            <w:tcBorders>
              <w:left w:val="nil"/>
              <w:right w:val="nil"/>
            </w:tcBorders>
            <w:shd w:color="auto" w:fill="D9D9D9" w:val="clear"/>
            <w:vAlign w:val="center"/>
          </w:tcPr>
          <w:p>
            <w:pPr>
              <w:pStyle w:val="Normal"/>
              <w:widowControl/>
              <w:spacing w:lineRule="auto" w:line="240" w:before="60" w:after="60"/>
              <w:jc w:val="both"/>
              <w:rPr>
                <w:rFonts w:ascii="Arial" w:hAnsi="Arial" w:eastAsia="Calibri" w:cs="Arial"/>
                <w:lang w:val="en-GB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GB" w:eastAsia="en-ZA" w:bidi="ar-SA"/>
              </w:rPr>
              <w:t>FPG classification (≥ 7 mmol/L)</w:t>
            </w:r>
          </w:p>
        </w:tc>
        <w:tc>
          <w:tcPr>
            <w:tcW w:w="3814" w:type="dxa"/>
            <w:tcBorders>
              <w:left w:val="nil"/>
              <w:right w:val="nil"/>
            </w:tcBorders>
            <w:shd w:color="auto" w:fill="D9D9D9" w:val="clear"/>
            <w:vAlign w:val="center"/>
          </w:tcPr>
          <w:p>
            <w:pPr>
              <w:pStyle w:val="Normal"/>
              <w:widowControl/>
              <w:spacing w:lineRule="auto" w:line="240" w:before="60" w:after="60"/>
              <w:jc w:val="center"/>
              <w:rPr>
                <w:rFonts w:ascii="Arial" w:hAnsi="Arial" w:eastAsia="Calibri" w:cs="Arial"/>
                <w:b/>
                <w:bCs/>
                <w:lang w:val="en-GB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0"/>
                <w:szCs w:val="20"/>
                <w:lang w:val="en-GB" w:eastAsia="en-ZA" w:bidi="ar-SA"/>
              </w:rPr>
            </w:r>
          </w:p>
        </w:tc>
      </w:tr>
      <w:tr>
        <w:trPr>
          <w:trHeight w:val="380" w:hRule="atLeast"/>
        </w:trPr>
        <w:tc>
          <w:tcPr>
            <w:tcW w:w="5342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60" w:after="60"/>
              <w:jc w:val="both"/>
              <w:rPr>
                <w:rFonts w:ascii="Arial" w:hAnsi="Arial" w:eastAsia="Calibri" w:cs="Arial"/>
                <w:lang w:val="en-GB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GB" w:eastAsia="en-ZA" w:bidi="ar-SA"/>
              </w:rPr>
              <w:t xml:space="preserve">Participants with T2D </w:t>
            </w:r>
          </w:p>
        </w:tc>
        <w:tc>
          <w:tcPr>
            <w:tcW w:w="3814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60" w:after="60"/>
              <w:jc w:val="center"/>
              <w:rPr>
                <w:rFonts w:ascii="Arial" w:hAnsi="Arial" w:eastAsia="Calibri" w:cs="Arial"/>
                <w:lang w:val="en-GB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GB" w:eastAsia="en-ZA" w:bidi="ar-SA"/>
              </w:rPr>
              <w:t>102 (14%)</w:t>
            </w:r>
          </w:p>
        </w:tc>
      </w:tr>
      <w:tr>
        <w:trPr>
          <w:trHeight w:val="365" w:hRule="atLeast"/>
        </w:trPr>
        <w:tc>
          <w:tcPr>
            <w:tcW w:w="5342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60" w:after="60"/>
              <w:jc w:val="both"/>
              <w:rPr>
                <w:rFonts w:ascii="Arial" w:hAnsi="Arial" w:eastAsia="Calibri" w:cs="Arial"/>
                <w:lang w:val="en-GB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GB" w:eastAsia="en-ZA" w:bidi="ar-SA"/>
              </w:rPr>
              <w:t>Participants without T2D</w:t>
            </w:r>
          </w:p>
        </w:tc>
        <w:tc>
          <w:tcPr>
            <w:tcW w:w="3814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60" w:after="60"/>
              <w:jc w:val="center"/>
              <w:rPr>
                <w:rFonts w:ascii="Arial" w:hAnsi="Arial" w:eastAsia="Calibri" w:cs="Arial"/>
                <w:lang w:val="en-GB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GB" w:eastAsia="en-ZA" w:bidi="ar-SA"/>
              </w:rPr>
              <w:t>627 (86%)</w:t>
            </w:r>
          </w:p>
        </w:tc>
      </w:tr>
      <w:tr>
        <w:trPr>
          <w:trHeight w:val="380" w:hRule="atLeast"/>
        </w:trPr>
        <w:tc>
          <w:tcPr>
            <w:tcW w:w="5342" w:type="dxa"/>
            <w:tcBorders>
              <w:left w:val="nil"/>
              <w:right w:val="nil"/>
            </w:tcBorders>
            <w:shd w:color="auto" w:fill="D9D9D9" w:val="clear"/>
            <w:vAlign w:val="center"/>
          </w:tcPr>
          <w:p>
            <w:pPr>
              <w:pStyle w:val="Normal"/>
              <w:widowControl/>
              <w:spacing w:lineRule="auto" w:line="240" w:before="60" w:after="60"/>
              <w:jc w:val="both"/>
              <w:rPr>
                <w:rFonts w:ascii="Arial" w:hAnsi="Arial" w:eastAsia="Calibri" w:cs="Arial"/>
                <w:lang w:val="en-GB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GB" w:eastAsia="en-ZA" w:bidi="ar-SA"/>
              </w:rPr>
              <w:t>HbA1c classification (≥ 6.5%)</w:t>
            </w:r>
          </w:p>
        </w:tc>
        <w:tc>
          <w:tcPr>
            <w:tcW w:w="3814" w:type="dxa"/>
            <w:tcBorders>
              <w:left w:val="nil"/>
              <w:right w:val="nil"/>
            </w:tcBorders>
            <w:shd w:color="auto" w:fill="D9D9D9" w:val="clear"/>
            <w:vAlign w:val="center"/>
          </w:tcPr>
          <w:p>
            <w:pPr>
              <w:pStyle w:val="Normal"/>
              <w:widowControl/>
              <w:spacing w:lineRule="auto" w:line="240" w:before="60" w:after="60"/>
              <w:jc w:val="center"/>
              <w:rPr>
                <w:rFonts w:ascii="Arial" w:hAnsi="Arial" w:eastAsia="Calibri" w:cs="Arial"/>
                <w:lang w:val="en-GB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GB" w:eastAsia="en-ZA" w:bidi="ar-SA"/>
              </w:rPr>
            </w:r>
          </w:p>
        </w:tc>
      </w:tr>
      <w:tr>
        <w:trPr>
          <w:trHeight w:val="380" w:hRule="atLeast"/>
        </w:trPr>
        <w:tc>
          <w:tcPr>
            <w:tcW w:w="5342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60" w:after="60"/>
              <w:jc w:val="both"/>
              <w:rPr>
                <w:rFonts w:ascii="Arial" w:hAnsi="Arial" w:eastAsia="Calibri" w:cs="Arial"/>
                <w:lang w:val="en-GB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GB" w:eastAsia="en-ZA" w:bidi="ar-SA"/>
              </w:rPr>
              <w:t xml:space="preserve">Participants with T2D </w:t>
            </w:r>
          </w:p>
        </w:tc>
        <w:tc>
          <w:tcPr>
            <w:tcW w:w="3814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60" w:after="60"/>
              <w:jc w:val="center"/>
              <w:rPr>
                <w:rFonts w:ascii="Arial" w:hAnsi="Arial" w:eastAsia="Calibri" w:cs="Arial"/>
                <w:lang w:val="en-GB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GB" w:eastAsia="en-ZA" w:bidi="ar-SA"/>
              </w:rPr>
              <w:t>218 (26%)</w:t>
            </w:r>
          </w:p>
        </w:tc>
      </w:tr>
      <w:tr>
        <w:trPr>
          <w:trHeight w:val="365" w:hRule="atLeast"/>
        </w:trPr>
        <w:tc>
          <w:tcPr>
            <w:tcW w:w="5342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60" w:after="60"/>
              <w:jc w:val="both"/>
              <w:rPr>
                <w:rFonts w:ascii="Arial" w:hAnsi="Arial" w:eastAsia="Calibri" w:cs="Arial"/>
                <w:lang w:val="en-GB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GB" w:eastAsia="en-ZA" w:bidi="ar-SA"/>
              </w:rPr>
              <w:t>Participants without T2D</w:t>
            </w:r>
          </w:p>
        </w:tc>
        <w:tc>
          <w:tcPr>
            <w:tcW w:w="3814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60" w:after="60"/>
              <w:jc w:val="center"/>
              <w:rPr>
                <w:rFonts w:ascii="Arial" w:hAnsi="Arial" w:eastAsia="Calibri" w:cs="Arial"/>
                <w:lang w:val="en-GB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en-GB" w:eastAsia="en-ZA" w:bidi="ar-SA"/>
              </w:rPr>
              <w:t>606 (74%)</w:t>
            </w:r>
          </w:p>
        </w:tc>
      </w:tr>
    </w:tbl>
    <w:p>
      <w:pPr>
        <w:sectPr>
          <w:type w:val="nextPage"/>
          <w:pgSz w:w="11906" w:h="16838"/>
          <w:pgMar w:left="720" w:right="720" w:gutter="0" w:header="0" w:top="720" w:footer="0" w:bottom="720"/>
          <w:pgNumType w:fmt="decimal"/>
          <w:formProt w:val="false"/>
          <w:textDirection w:val="lrTb"/>
          <w:docGrid w:type="default" w:linePitch="360" w:charSpace="4096"/>
        </w:sectPr>
        <w:pStyle w:val="Normal"/>
        <w:rPr/>
      </w:pPr>
      <w:r>
        <w:rPr/>
      </w:r>
    </w:p>
    <w:p>
      <w:pPr>
        <w:pStyle w:val="Normal"/>
        <w:keepNext w:val="true"/>
        <w:spacing w:lineRule="auto" w:line="276" w:before="240" w:after="120"/>
        <w:ind w:hanging="1276" w:left="1276"/>
        <w:rPr>
          <w:rFonts w:ascii="Arial" w:hAnsi="Arial" w:eastAsia="Times New Roman" w:cs="Arial"/>
          <w:b/>
          <w:kern w:val="0"/>
          <w:szCs w:val="20"/>
          <w:lang w:val="en-GB"/>
          <w14:ligatures w14:val="none"/>
        </w:rPr>
      </w:pPr>
      <w:bookmarkStart w:id="2" w:name="_Toc150845333"/>
      <w:r>
        <w:rPr>
          <w:rFonts w:eastAsia="Times New Roman" w:cs="Arial" w:ascii="Arial" w:hAnsi="Arial"/>
          <w:b/>
          <w:kern w:val="0"/>
          <w:szCs w:val="20"/>
          <w:lang w:val="en-GB"/>
          <w14:ligatures w14:val="none"/>
        </w:rPr>
        <w:t xml:space="preserve">Supplemental Table 3: </w:t>
        <w:tab/>
        <w:t>Descriptive statistics of the study sample.</w:t>
      </w:r>
      <w:bookmarkEnd w:id="2"/>
    </w:p>
    <w:tbl>
      <w:tblPr>
        <w:tblW w:w="15422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4111"/>
        <w:gridCol w:w="2261"/>
        <w:gridCol w:w="2262"/>
        <w:gridCol w:w="2263"/>
        <w:gridCol w:w="2262"/>
        <w:gridCol w:w="2262"/>
      </w:tblGrid>
      <w:tr>
        <w:trPr>
          <w:tblHeader w:val="true"/>
          <w:trHeight w:val="300" w:hRule="atLeast"/>
        </w:trPr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  <w:shd w:color="auto" w:fill="808080" w:themeFill="background1" w:themeFillShade="80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b/>
                <w:bCs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  <w:t>Characteristic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  <w:shd w:color="auto" w:fill="808080" w:themeFill="background1" w:themeFillShade="80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b/>
                <w:bCs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  <w:t>Total Sample</w:t>
            </w:r>
          </w:p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  <w:t>(n = 937)</w:t>
            </w:r>
          </w:p>
        </w:tc>
        <w:tc>
          <w:tcPr>
            <w:tcW w:w="2262" w:type="dxa"/>
            <w:tcBorders>
              <w:top w:val="single" w:sz="4" w:space="0" w:color="000000"/>
              <w:bottom w:val="single" w:sz="4" w:space="0" w:color="000000"/>
            </w:tcBorders>
            <w:shd w:color="auto" w:fill="808080" w:themeFill="background1" w:themeFillShade="80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b/>
                <w:bCs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  <w:t xml:space="preserve">Cases According </w:t>
              <w:br/>
              <w:t>to FPG</w:t>
            </w:r>
          </w:p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  <w:t>(n = 102)</w:t>
            </w:r>
          </w:p>
        </w:tc>
        <w:tc>
          <w:tcPr>
            <w:tcW w:w="2263" w:type="dxa"/>
            <w:tcBorders>
              <w:top w:val="single" w:sz="4" w:space="0" w:color="000000"/>
              <w:bottom w:val="single" w:sz="4" w:space="0" w:color="000000"/>
            </w:tcBorders>
            <w:shd w:color="auto" w:fill="808080" w:themeFill="background1" w:themeFillShade="80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b/>
                <w:bCs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  <w:t>Non-Cases According to FPG</w:t>
            </w:r>
          </w:p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  <w:t>(n = 627)</w:t>
            </w:r>
          </w:p>
        </w:tc>
        <w:tc>
          <w:tcPr>
            <w:tcW w:w="2262" w:type="dxa"/>
            <w:tcBorders>
              <w:top w:val="single" w:sz="4" w:space="0" w:color="000000"/>
              <w:bottom w:val="single" w:sz="4" w:space="0" w:color="000000"/>
            </w:tcBorders>
            <w:shd w:color="auto" w:fill="808080" w:themeFill="background1" w:themeFillShade="80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b/>
                <w:bCs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  <w:t xml:space="preserve">Cases According </w:t>
              <w:br/>
              <w:t>to HbA1c</w:t>
            </w:r>
          </w:p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  <w:t>(n = 218)</w:t>
            </w:r>
          </w:p>
        </w:tc>
        <w:tc>
          <w:tcPr>
            <w:tcW w:w="2262" w:type="dxa"/>
            <w:tcBorders>
              <w:top w:val="single" w:sz="4" w:space="0" w:color="000000"/>
              <w:bottom w:val="single" w:sz="4" w:space="0" w:color="000000"/>
            </w:tcBorders>
            <w:shd w:color="auto" w:fill="808080" w:themeFill="background1" w:themeFillShade="80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b/>
                <w:bCs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  <w:t>Non-Cases According to HbA1c</w:t>
            </w:r>
          </w:p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color w:themeColor="background1" w:val="FFFFFF"/>
                <w:kern w:val="0"/>
                <w:sz w:val="20"/>
                <w:szCs w:val="20"/>
                <w:lang w:val="en-GB" w:eastAsia="en-ZA"/>
                <w14:ligatures w14:val="none"/>
              </w:rPr>
              <w:t>(n = 606)</w:t>
            </w:r>
          </w:p>
        </w:tc>
      </w:tr>
      <w:tr>
        <w:trPr>
          <w:trHeight w:val="340" w:hRule="atLeast"/>
        </w:trPr>
        <w:tc>
          <w:tcPr>
            <w:tcW w:w="411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Women n (%)</w:t>
            </w:r>
          </w:p>
        </w:tc>
        <w:tc>
          <w:tcPr>
            <w:tcW w:w="226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676 (72.1)</w:t>
            </w:r>
          </w:p>
        </w:tc>
        <w:tc>
          <w:tcPr>
            <w:tcW w:w="2262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71 (69.6)</w:t>
            </w:r>
          </w:p>
        </w:tc>
        <w:tc>
          <w:tcPr>
            <w:tcW w:w="2263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440 (70.2)</w:t>
            </w:r>
          </w:p>
        </w:tc>
        <w:tc>
          <w:tcPr>
            <w:tcW w:w="2262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174 (79.8)</w:t>
            </w:r>
          </w:p>
        </w:tc>
        <w:tc>
          <w:tcPr>
            <w:tcW w:w="2262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410 (67.7)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Age (years)</w:t>
            </w:r>
          </w:p>
        </w:tc>
        <w:tc>
          <w:tcPr>
            <w:tcW w:w="226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50.5 [43.8, 58.0]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56.0 [46.2, 63.1]</w:t>
            </w:r>
          </w:p>
        </w:tc>
        <w:tc>
          <w:tcPr>
            <w:tcW w:w="226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48.4 [42.4, 55.0]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56.4 [49.7, 62.8]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48.2 [42.2, 55.0]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Rural living status n (%)</w:t>
            </w:r>
          </w:p>
        </w:tc>
        <w:tc>
          <w:tcPr>
            <w:tcW w:w="226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527 (56.2)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47 (46.1)</w:t>
            </w:r>
          </w:p>
        </w:tc>
        <w:tc>
          <w:tcPr>
            <w:tcW w:w="2263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376 (60.0)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 xml:space="preserve">97 (44.5) 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368 (60.7)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Hypertensive n (%)</w:t>
            </w:r>
          </w:p>
        </w:tc>
        <w:tc>
          <w:tcPr>
            <w:tcW w:w="226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519 (55.4)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77 (75.5)</w:t>
            </w:r>
          </w:p>
        </w:tc>
        <w:tc>
          <w:tcPr>
            <w:tcW w:w="226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311 (49.6)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149 (68.3)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295 (48.7)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Systolic blood pressure (mmHg)</w:t>
            </w:r>
          </w:p>
        </w:tc>
        <w:tc>
          <w:tcPr>
            <w:tcW w:w="226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131 [117, 146]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139 [125, 154]</w:t>
            </w:r>
          </w:p>
        </w:tc>
        <w:tc>
          <w:tcPr>
            <w:tcW w:w="2263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128 [115, 145]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134 [120, 150]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128 [115, 145]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Diastolic blood pressure (mmHg)</w:t>
            </w:r>
          </w:p>
        </w:tc>
        <w:tc>
          <w:tcPr>
            <w:tcW w:w="226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87.0 [79.0, 96.0]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91.0 [82.8, 98.2]</w:t>
            </w:r>
          </w:p>
        </w:tc>
        <w:tc>
          <w:tcPr>
            <w:tcW w:w="226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86.0 [78.0, 96.0]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89.0 [81.0, 96.5]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86.0 [78.0, 96.0]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Waist circumference (cm) </w:t>
            </w:r>
          </w:p>
        </w:tc>
        <w:tc>
          <w:tcPr>
            <w:tcW w:w="226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80.8 [71.6, 92.2]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92.0 [82.8, 99.6]</w:t>
            </w:r>
          </w:p>
        </w:tc>
        <w:tc>
          <w:tcPr>
            <w:tcW w:w="2263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76.8 [70.4, 88.0]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91.5 [82.9, 100.5]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76.1 [70.0, 85.7]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Body mass index (kg/m</w:t>
            </w:r>
            <w:r>
              <w:rPr>
                <w:rFonts w:eastAsia="Times New Roman" w:cs="Arial" w:ascii="Arial" w:hAnsi="Arial"/>
                <w:kern w:val="0"/>
                <w:sz w:val="20"/>
                <w:szCs w:val="20"/>
                <w:vertAlign w:val="superscript"/>
                <w:lang w:val="en-GB" w:eastAsia="en-ZA"/>
                <w14:ligatures w14:val="none"/>
              </w:rPr>
              <w:t>2</w:t>
            </w: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) </w:t>
            </w:r>
          </w:p>
        </w:tc>
        <w:tc>
          <w:tcPr>
            <w:tcW w:w="226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24.9 [20.3, 31.0]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28.8 [25.1, 32.7]</w:t>
            </w:r>
          </w:p>
        </w:tc>
        <w:tc>
          <w:tcPr>
            <w:tcW w:w="226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23.3 [19.8, 29.1]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30.0 [25.6, 35.1]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22.7 [19.6, 27.7]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Normal weight [BMI &lt; 25 kg/m</w:t>
            </w:r>
            <w:r>
              <w:rPr>
                <w:rFonts w:eastAsia="Times New Roman" w:cs="Arial" w:ascii="Arial" w:hAnsi="Arial"/>
                <w:kern w:val="0"/>
                <w:sz w:val="20"/>
                <w:szCs w:val="20"/>
                <w:vertAlign w:val="superscript"/>
                <w:lang w:val="en-GB" w:eastAsia="en-ZA"/>
                <w14:ligatures w14:val="none"/>
              </w:rPr>
              <w:t>2</w:t>
            </w: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] n (%)</w:t>
            </w:r>
          </w:p>
        </w:tc>
        <w:tc>
          <w:tcPr>
            <w:tcW w:w="226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477 (50.9)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25 (24.8)</w:t>
            </w:r>
          </w:p>
        </w:tc>
        <w:tc>
          <w:tcPr>
            <w:tcW w:w="2263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374 (59.6)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50 (22.9)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387 (63.9)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Overweight [BMI 25–29.9 kg/m</w:t>
            </w:r>
            <w:r>
              <w:rPr>
                <w:rFonts w:eastAsia="Times New Roman" w:cs="Arial" w:ascii="Arial" w:hAnsi="Arial"/>
                <w:kern w:val="0"/>
                <w:sz w:val="20"/>
                <w:szCs w:val="20"/>
                <w:vertAlign w:val="superscript"/>
                <w:lang w:val="en-GB" w:eastAsia="en-ZA"/>
                <w14:ligatures w14:val="none"/>
              </w:rPr>
              <w:t>2</w:t>
            </w: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] n (%) </w:t>
            </w:r>
          </w:p>
        </w:tc>
        <w:tc>
          <w:tcPr>
            <w:tcW w:w="226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197 (21.0)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35 (34.7)</w:t>
            </w:r>
          </w:p>
        </w:tc>
        <w:tc>
          <w:tcPr>
            <w:tcW w:w="226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112 (17.8)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59 (27.1)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103 (17.0)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de-DE" w:eastAsia="en-ZA"/>
                <w14:ligatures w14:val="none"/>
              </w:rPr>
              <w:t>Obese [BMI ≥ 30 kg/m</w:t>
            </w:r>
            <w:r>
              <w:rPr>
                <w:rFonts w:eastAsia="Times New Roman" w:cs="Arial" w:ascii="Arial" w:hAnsi="Arial"/>
                <w:kern w:val="0"/>
                <w:sz w:val="20"/>
                <w:szCs w:val="20"/>
                <w:vertAlign w:val="superscript"/>
                <w:lang w:val="de-DE" w:eastAsia="en-ZA"/>
                <w14:ligatures w14:val="none"/>
              </w:rPr>
              <w:t>2</w:t>
            </w: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de-DE" w:eastAsia="en-ZA"/>
                <w14:ligatures w14:val="none"/>
              </w:rPr>
              <w:t>] n (%)</w:t>
            </w:r>
          </w:p>
        </w:tc>
        <w:tc>
          <w:tcPr>
            <w:tcW w:w="226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263 (28.1)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41 (40.6)</w:t>
            </w:r>
          </w:p>
        </w:tc>
        <w:tc>
          <w:tcPr>
            <w:tcW w:w="2263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142 (22.6)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109 (50.0)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116 (19.1)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Weighted physical activity</w:t>
            </w:r>
          </w:p>
        </w:tc>
        <w:tc>
          <w:tcPr>
            <w:tcW w:w="226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2.9 [2.6, 3.2]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2.7 [2.5, 3.1]</w:t>
            </w:r>
          </w:p>
        </w:tc>
        <w:tc>
          <w:tcPr>
            <w:tcW w:w="226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2.9 [2.6, 3.3]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2.9 [2.6, 3.1]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2.9 [2.6, 3.3]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Fasting glucose (mmol/L) </w:t>
            </w:r>
          </w:p>
        </w:tc>
        <w:tc>
          <w:tcPr>
            <w:tcW w:w="226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5.0 [4.5, 5.6]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7.8 [7.2, 9.6]</w:t>
            </w:r>
          </w:p>
        </w:tc>
        <w:tc>
          <w:tcPr>
            <w:tcW w:w="2263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4.8 [4.4, 5.2]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5.6 [5.1, 6.8]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4.8 [4.4, 5.2]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HbA1c (%)</w:t>
            </w:r>
          </w:p>
        </w:tc>
        <w:tc>
          <w:tcPr>
            <w:tcW w:w="226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5.7 [5.4, 6.4]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6.7 [5.9, 8.4]</w:t>
            </w:r>
          </w:p>
        </w:tc>
        <w:tc>
          <w:tcPr>
            <w:tcW w:w="226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5.5 [5.3, 5.8]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6.8 [6.6, 7.2]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5.5 [5.2, 5.7]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Ever used tobacco n (%)</w:t>
            </w:r>
          </w:p>
        </w:tc>
        <w:tc>
          <w:tcPr>
            <w:tcW w:w="226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493 (52.6)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50 (49.0)</w:t>
            </w:r>
          </w:p>
        </w:tc>
        <w:tc>
          <w:tcPr>
            <w:tcW w:w="2263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338 (53.9)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109 (50.0)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336 (55.4)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Ever alcohol consumer n (%)</w:t>
            </w:r>
          </w:p>
        </w:tc>
        <w:tc>
          <w:tcPr>
            <w:tcW w:w="226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341 (36.4)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38 (37.3)</w:t>
            </w:r>
          </w:p>
        </w:tc>
        <w:tc>
          <w:tcPr>
            <w:tcW w:w="226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241 (38.4)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62 (28.4)</w:t>
            </w:r>
          </w:p>
        </w:tc>
        <w:tc>
          <w:tcPr>
            <w:tcW w:w="226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246 (40.6)</w:t>
            </w:r>
          </w:p>
        </w:tc>
      </w:tr>
      <w:tr>
        <w:trPr>
          <w:trHeight w:val="340" w:hRule="atLeast"/>
        </w:trPr>
        <w:tc>
          <w:tcPr>
            <w:tcW w:w="411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Self-reported History of T2D: Yes n (%)* </w:t>
            </w:r>
          </w:p>
        </w:tc>
        <w:tc>
          <w:tcPr>
            <w:tcW w:w="226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34 (3.63)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17 (16.7)</w:t>
            </w:r>
          </w:p>
        </w:tc>
        <w:tc>
          <w:tcPr>
            <w:tcW w:w="2263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3 (0.48)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6 (2.75)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3 (0.50)</w:t>
            </w:r>
          </w:p>
        </w:tc>
      </w:tr>
      <w:tr>
        <w:trPr>
          <w:trHeight w:val="340" w:hRule="atLeast"/>
        </w:trPr>
        <w:tc>
          <w:tcPr>
            <w:tcW w:w="4111" w:type="dxa"/>
            <w:tcBorders>
              <w:bottom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hanging="7" w:left="113" w:right="113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Family history of T2D: Yes n (%) </w:t>
            </w:r>
          </w:p>
        </w:tc>
        <w:tc>
          <w:tcPr>
            <w:tcW w:w="2261" w:type="dxa"/>
            <w:tcBorders>
              <w:bottom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70 (7.47)</w:t>
            </w:r>
          </w:p>
        </w:tc>
        <w:tc>
          <w:tcPr>
            <w:tcW w:w="2262" w:type="dxa"/>
            <w:tcBorders>
              <w:bottom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7 (6.86)</w:t>
            </w:r>
          </w:p>
        </w:tc>
        <w:tc>
          <w:tcPr>
            <w:tcW w:w="2263" w:type="dxa"/>
            <w:tcBorders>
              <w:bottom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47 (7.50)</w:t>
            </w:r>
          </w:p>
        </w:tc>
        <w:tc>
          <w:tcPr>
            <w:tcW w:w="2262" w:type="dxa"/>
            <w:tcBorders>
              <w:bottom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firstLine="142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17 (7.80)</w:t>
            </w:r>
          </w:p>
        </w:tc>
        <w:tc>
          <w:tcPr>
            <w:tcW w:w="2262" w:type="dxa"/>
            <w:tcBorders>
              <w:bottom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en-GB" w:eastAsia="en-ZA"/>
                <w14:ligatures w14:val="none"/>
              </w:rPr>
              <w:t>43 (7.10)</w:t>
            </w:r>
          </w:p>
        </w:tc>
      </w:tr>
    </w:tbl>
    <w:p>
      <w:pPr>
        <w:pStyle w:val="Normal"/>
        <w:spacing w:lineRule="auto" w:line="360" w:before="0" w:after="0"/>
        <w:rPr>
          <w:rFonts w:ascii="Arial" w:hAnsi="Arial" w:eastAsia="Times New Roman" w:cs="Arial"/>
          <w:kern w:val="0"/>
          <w:sz w:val="20"/>
          <w:szCs w:val="20"/>
          <w:lang w:val="en-GB"/>
          <w14:ligatures w14:val="none"/>
        </w:rPr>
      </w:pPr>
      <w:r>
        <w:rPr>
          <w:rFonts w:eastAsia="Times New Roman" w:cs="Arial" w:ascii="Arial" w:hAnsi="Arial"/>
          <w:kern w:val="0"/>
          <w:sz w:val="20"/>
          <w:szCs w:val="20"/>
          <w:lang w:val="en-GB"/>
          <w14:ligatures w14:val="none"/>
        </w:rPr>
        <w:t>Continuous variables are reported as median [Q1, Q3]. BMI – body mass index; T2D – type 2 diabetes.</w:t>
      </w:r>
    </w:p>
    <w:p>
      <w:pPr>
        <w:pStyle w:val="Normal"/>
        <w:spacing w:lineRule="auto" w:line="360" w:before="0" w:after="120"/>
        <w:rPr>
          <w:rFonts w:ascii="Arial" w:hAnsi="Arial" w:eastAsia="Times New Roman" w:cs="Arial"/>
          <w:kern w:val="0"/>
          <w:sz w:val="20"/>
          <w:szCs w:val="20"/>
          <w:lang w:val="en-GB"/>
          <w14:ligatures w14:val="none"/>
        </w:rPr>
      </w:pPr>
      <w:r>
        <w:rPr>
          <w:rFonts w:eastAsia="Times New Roman" w:cs="Arial" w:ascii="Arial" w:hAnsi="Arial"/>
          <w:kern w:val="0"/>
          <w:sz w:val="20"/>
          <w:szCs w:val="20"/>
          <w:lang w:val="en-GB"/>
          <w14:ligatures w14:val="none"/>
        </w:rPr>
        <w:t>*Question: Do you have diabetes? Yes/No. All participants included in this study were newly diagnosed with T2D, or T2D-free, according to FPG and HbA1c.</w:t>
      </w:r>
    </w:p>
    <w:p>
      <w:pPr>
        <w:pStyle w:val="Normal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0387f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ZA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962dcb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qFormat/>
    <w:rsid w:val="00962dcb"/>
    <w:rPr>
      <w:sz w:val="20"/>
      <w:szCs w:val="20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962dcb"/>
    <w:rPr>
      <w:b/>
      <w:bCs/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CaptionBotTblFig" w:customStyle="1">
    <w:name w:val="CaptionBot_Tbl_Fig"/>
    <w:basedOn w:val="Normal"/>
    <w:next w:val="Normal"/>
    <w:autoRedefine/>
    <w:qFormat/>
    <w:rsid w:val="0020387f"/>
    <w:pPr>
      <w:spacing w:lineRule="auto" w:line="360" w:before="0" w:after="0"/>
      <w:ind w:hanging="1418" w:left="1418"/>
    </w:pPr>
    <w:rPr>
      <w:rFonts w:ascii="Arial" w:hAnsi="Arial" w:eastAsia="Times New Roman" w:cs="Times New Roman"/>
      <w:b/>
      <w:kern w:val="0"/>
      <w:szCs w:val="20"/>
      <w:lang w:val="en-GB"/>
      <w14:ligatures w14:val="none"/>
    </w:rPr>
  </w:style>
  <w:style w:type="paragraph" w:styleId="Revision">
    <w:name w:val="Revision"/>
    <w:uiPriority w:val="99"/>
    <w:semiHidden/>
    <w:qFormat/>
    <w:rsid w:val="00962dcb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ZA" w:eastAsia="en-US" w:bidi="ar-SA"/>
      <w14:ligatures w14:val="standardContextual"/>
    </w:rPr>
  </w:style>
  <w:style w:type="paragraph" w:styleId="CommentText">
    <w:name w:val="annotation text"/>
    <w:basedOn w:val="Normal"/>
    <w:link w:val="CommentTextChar"/>
    <w:uiPriority w:val="99"/>
    <w:unhideWhenUsed/>
    <w:rsid w:val="00962dcb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CommentSubjectChar"/>
    <w:uiPriority w:val="99"/>
    <w:semiHidden/>
    <w:unhideWhenUsed/>
    <w:qFormat/>
    <w:rsid w:val="00962dcb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20387f"/>
    <w:pPr>
      <w:spacing w:after="120" w:line="240" w:lineRule="auto"/>
      <w:jc w:val="both"/>
    </w:pPr>
    <w:rPr>
      <w:lang w:eastAsia="en-ZA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1">
    <w:name w:val="Table Grid1"/>
    <w:basedOn w:val="TableNormal"/>
    <w:uiPriority w:val="39"/>
    <w:rsid w:val="0020387f"/>
    <w:pPr>
      <w:spacing w:after="0" w:line="240" w:lineRule="auto"/>
      <w:jc w:val="both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LibreOffice/24.8.1.2$Windows_X86_64 LibreOffice_project/87fa9aec1a63e70835390b81c40bb8993f1d4ff6</Application>
  <AppVersion>15.0000</AppVersion>
  <Pages>6</Pages>
  <Words>915</Words>
  <Characters>4306</Characters>
  <CharactersWithSpaces>5000</CharactersWithSpaces>
  <Paragraphs>264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2023-12-05T06:35:00Z</dcterms:created>
  <dc:creator>Marlien Pieters</dc:creator>
  <dc:description/>
  <dc:language>en-IN</dc:language>
  <cp:lastModifiedBy>Nicola Wilken</cp:lastModifiedBy>
  <dcterms:modified xsi:type="dcterms:W3CDTF">2024-09-30T09:34:00Z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a0ac68284b81c5190a84c7103130884cc68cf54ea0d060816afbb67b0414bc53</vt:lpwstr>
  </property>
</Properties>
</file>