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9B9B" w14:textId="7A278C44" w:rsidR="0042382A" w:rsidRDefault="00EF3370">
      <w:r>
        <w:rPr>
          <w:noProof/>
        </w:rPr>
        <w:drawing>
          <wp:inline distT="0" distB="0" distL="0" distR="0" wp14:anchorId="5A3CFED1" wp14:editId="2D34A410">
            <wp:extent cx="5274310" cy="5419090"/>
            <wp:effectExtent l="0" t="0" r="2540" b="0"/>
            <wp:docPr id="8364611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461144" name="图片 83646114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1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A7802" w14:textId="77777777" w:rsidR="00EF3370" w:rsidRDefault="00EF3370" w:rsidP="00EF3370">
      <w:pPr>
        <w:spacing w:before="240" w:line="480" w:lineRule="auto"/>
        <w:rPr>
          <w:sz w:val="24"/>
          <w:szCs w:val="24"/>
        </w:rPr>
      </w:pPr>
      <w:r w:rsidRPr="008D6E2B">
        <w:rPr>
          <w:b/>
          <w:bCs/>
          <w:sz w:val="24"/>
          <w:szCs w:val="24"/>
        </w:rPr>
        <w:t>Supplementary</w:t>
      </w:r>
      <w:r>
        <w:rPr>
          <w:rFonts w:hint="eastAsia"/>
          <w:b/>
          <w:bCs/>
          <w:sz w:val="24"/>
          <w:szCs w:val="24"/>
        </w:rPr>
        <w:t xml:space="preserve"> </w:t>
      </w:r>
      <w:r w:rsidRPr="00D246A1">
        <w:rPr>
          <w:b/>
          <w:bCs/>
          <w:sz w:val="24"/>
          <w:szCs w:val="24"/>
        </w:rPr>
        <w:t>Fig</w:t>
      </w:r>
      <w:r>
        <w:rPr>
          <w:rFonts w:hint="eastAsia"/>
          <w:b/>
          <w:bCs/>
          <w:sz w:val="24"/>
          <w:szCs w:val="24"/>
        </w:rPr>
        <w:t>ure</w:t>
      </w:r>
      <w:r w:rsidRPr="00D246A1"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1</w:t>
      </w:r>
      <w:r w:rsidRPr="00D246A1">
        <w:rPr>
          <w:sz w:val="24"/>
          <w:szCs w:val="24"/>
        </w:rPr>
        <w:t xml:space="preserve"> </w:t>
      </w:r>
      <w:r w:rsidRPr="0093236A">
        <w:rPr>
          <w:sz w:val="24"/>
          <w:szCs w:val="24"/>
        </w:rPr>
        <w:t>Confirmation of the nomogram model for predicting the risk of CLNM in the validation cohort.</w:t>
      </w:r>
      <w:r w:rsidRPr="00D246A1">
        <w:rPr>
          <w:sz w:val="24"/>
          <w:szCs w:val="24"/>
        </w:rPr>
        <w:t xml:space="preserve"> </w:t>
      </w:r>
      <w:r w:rsidRPr="007A3B39">
        <w:rPr>
          <w:sz w:val="24"/>
          <w:szCs w:val="24"/>
        </w:rPr>
        <w:t>(</w:t>
      </w:r>
      <w:r w:rsidRPr="0093236A">
        <w:rPr>
          <w:b/>
          <w:bCs/>
          <w:sz w:val="24"/>
          <w:szCs w:val="24"/>
        </w:rPr>
        <w:t>a</w:t>
      </w:r>
      <w:r w:rsidRPr="007A3B39">
        <w:rPr>
          <w:sz w:val="24"/>
          <w:szCs w:val="24"/>
        </w:rPr>
        <w:t xml:space="preserve">) </w:t>
      </w:r>
      <w:r>
        <w:rPr>
          <w:sz w:val="24"/>
          <w:szCs w:val="24"/>
        </w:rPr>
        <w:t>C</w:t>
      </w:r>
      <w:r w:rsidRPr="007A3B39">
        <w:rPr>
          <w:sz w:val="24"/>
          <w:szCs w:val="24"/>
        </w:rPr>
        <w:t>alibration curve for risk prediction derived from the risk model; (</w:t>
      </w:r>
      <w:r w:rsidRPr="0093236A">
        <w:rPr>
          <w:b/>
          <w:bCs/>
          <w:sz w:val="24"/>
          <w:szCs w:val="24"/>
        </w:rPr>
        <w:t>b</w:t>
      </w:r>
      <w:r w:rsidRPr="007A3B39">
        <w:rPr>
          <w:sz w:val="24"/>
          <w:szCs w:val="24"/>
        </w:rPr>
        <w:t xml:space="preserve">) </w:t>
      </w:r>
      <w:r>
        <w:rPr>
          <w:sz w:val="24"/>
          <w:szCs w:val="24"/>
        </w:rPr>
        <w:t>S</w:t>
      </w:r>
      <w:r w:rsidRPr="007A3B39">
        <w:rPr>
          <w:sz w:val="24"/>
          <w:szCs w:val="24"/>
        </w:rPr>
        <w:t>ensitivities and specificities of risk prediction as determined by the risk model, illustrated using ROC curves; (</w:t>
      </w:r>
      <w:r w:rsidRPr="0093236A">
        <w:rPr>
          <w:b/>
          <w:bCs/>
          <w:sz w:val="24"/>
          <w:szCs w:val="24"/>
        </w:rPr>
        <w:t>c</w:t>
      </w:r>
      <w:r w:rsidRPr="007A3B39">
        <w:rPr>
          <w:sz w:val="24"/>
          <w:szCs w:val="24"/>
        </w:rPr>
        <w:t xml:space="preserve">) DCA </w:t>
      </w:r>
      <w:r>
        <w:rPr>
          <w:sz w:val="24"/>
          <w:szCs w:val="24"/>
        </w:rPr>
        <w:t>of</w:t>
      </w:r>
      <w:r w:rsidRPr="007A3B39">
        <w:rPr>
          <w:sz w:val="24"/>
          <w:szCs w:val="24"/>
        </w:rPr>
        <w:t xml:space="preserve"> the risk nomogram.</w:t>
      </w:r>
      <w:r w:rsidRPr="001A77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PTC, papillary thyroid carcinoma; </w:t>
      </w:r>
      <w:r>
        <w:rPr>
          <w:rFonts w:hint="eastAsia"/>
          <w:sz w:val="24"/>
          <w:szCs w:val="24"/>
        </w:rPr>
        <w:t>C</w:t>
      </w:r>
      <w:r>
        <w:rPr>
          <w:sz w:val="24"/>
          <w:szCs w:val="24"/>
        </w:rPr>
        <w:t xml:space="preserve">LNM, </w:t>
      </w:r>
      <w:r>
        <w:rPr>
          <w:rFonts w:hint="eastAsia"/>
          <w:sz w:val="24"/>
          <w:szCs w:val="24"/>
        </w:rPr>
        <w:t xml:space="preserve">central </w:t>
      </w:r>
      <w:r w:rsidRPr="009738C8">
        <w:rPr>
          <w:sz w:val="24"/>
          <w:szCs w:val="24"/>
        </w:rPr>
        <w:t>lymph node metastasis</w:t>
      </w:r>
      <w:r>
        <w:rPr>
          <w:sz w:val="24"/>
          <w:szCs w:val="24"/>
        </w:rPr>
        <w:t xml:space="preserve">; </w:t>
      </w:r>
      <w:r w:rsidRPr="006D2B57">
        <w:rPr>
          <w:sz w:val="24"/>
          <w:szCs w:val="24"/>
        </w:rPr>
        <w:t>ROC, receiver operating characteristic; AUC, area under curve; DCA, decision curve analysis.</w:t>
      </w:r>
    </w:p>
    <w:p w14:paraId="61D27B8B" w14:textId="77777777" w:rsidR="00EF3370" w:rsidRDefault="00EF3370"/>
    <w:p w14:paraId="55459479" w14:textId="77777777" w:rsidR="00EF3370" w:rsidRDefault="00EF3370"/>
    <w:p w14:paraId="4D967B24" w14:textId="77777777" w:rsidR="00EF3370" w:rsidRDefault="00EF3370"/>
    <w:p w14:paraId="70D18CD5" w14:textId="77777777" w:rsidR="00EF3370" w:rsidRDefault="00EF3370"/>
    <w:p w14:paraId="5E9BDA84" w14:textId="65693F17" w:rsidR="00EF3370" w:rsidRDefault="00EF3370">
      <w:r>
        <w:rPr>
          <w:rFonts w:hint="eastAsia"/>
          <w:noProof/>
        </w:rPr>
        <w:lastRenderedPageBreak/>
        <w:drawing>
          <wp:inline distT="0" distB="0" distL="0" distR="0" wp14:anchorId="11A64E85" wp14:editId="76A1833D">
            <wp:extent cx="5274310" cy="5419090"/>
            <wp:effectExtent l="0" t="0" r="2540" b="0"/>
            <wp:docPr id="13256880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688063" name="图片 13256880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1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31BCA" w14:textId="77777777" w:rsidR="00EF3370" w:rsidRDefault="00EF3370" w:rsidP="00EF3370">
      <w:pPr>
        <w:spacing w:before="240" w:line="480" w:lineRule="auto"/>
        <w:rPr>
          <w:sz w:val="24"/>
          <w:szCs w:val="24"/>
        </w:rPr>
      </w:pPr>
      <w:r w:rsidRPr="008D6E2B">
        <w:rPr>
          <w:b/>
          <w:bCs/>
          <w:sz w:val="24"/>
          <w:szCs w:val="24"/>
        </w:rPr>
        <w:t>Supplementary</w:t>
      </w:r>
      <w:r>
        <w:rPr>
          <w:rFonts w:hint="eastAsia"/>
          <w:b/>
          <w:bCs/>
          <w:sz w:val="24"/>
          <w:szCs w:val="24"/>
        </w:rPr>
        <w:t xml:space="preserve"> </w:t>
      </w:r>
      <w:r w:rsidRPr="00D246A1">
        <w:rPr>
          <w:b/>
          <w:bCs/>
          <w:sz w:val="24"/>
          <w:szCs w:val="24"/>
        </w:rPr>
        <w:t>Fig</w:t>
      </w:r>
      <w:r>
        <w:rPr>
          <w:rFonts w:hint="eastAsia"/>
          <w:b/>
          <w:bCs/>
          <w:sz w:val="24"/>
          <w:szCs w:val="24"/>
        </w:rPr>
        <w:t>ure</w:t>
      </w:r>
      <w:r w:rsidRPr="00D246A1"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2</w:t>
      </w:r>
      <w:r w:rsidRPr="00D246A1">
        <w:rPr>
          <w:sz w:val="24"/>
          <w:szCs w:val="24"/>
        </w:rPr>
        <w:t xml:space="preserve"> </w:t>
      </w:r>
      <w:r w:rsidRPr="0093236A">
        <w:rPr>
          <w:sz w:val="24"/>
          <w:szCs w:val="24"/>
        </w:rPr>
        <w:t>Confirmation of the developed nomogram model for predicting the risk of LLNM in the validation cohort.</w:t>
      </w:r>
      <w:r w:rsidRPr="00D246A1">
        <w:rPr>
          <w:sz w:val="24"/>
          <w:szCs w:val="24"/>
        </w:rPr>
        <w:t xml:space="preserve"> </w:t>
      </w:r>
      <w:r w:rsidRPr="00FC0649">
        <w:rPr>
          <w:sz w:val="24"/>
          <w:szCs w:val="24"/>
        </w:rPr>
        <w:t>(</w:t>
      </w:r>
      <w:r w:rsidRPr="0093236A">
        <w:rPr>
          <w:b/>
          <w:bCs/>
          <w:sz w:val="24"/>
          <w:szCs w:val="24"/>
        </w:rPr>
        <w:t>a</w:t>
      </w:r>
      <w:r w:rsidRPr="00FC0649">
        <w:rPr>
          <w:sz w:val="24"/>
          <w:szCs w:val="24"/>
        </w:rPr>
        <w:t xml:space="preserve">) </w:t>
      </w:r>
      <w:r>
        <w:rPr>
          <w:sz w:val="24"/>
          <w:szCs w:val="24"/>
        </w:rPr>
        <w:t>C</w:t>
      </w:r>
      <w:r w:rsidRPr="00FC0649">
        <w:rPr>
          <w:sz w:val="24"/>
          <w:szCs w:val="24"/>
        </w:rPr>
        <w:t>alibration curve for risk prediction derived from the risk model; (</w:t>
      </w:r>
      <w:r w:rsidRPr="0093236A">
        <w:rPr>
          <w:b/>
          <w:bCs/>
          <w:sz w:val="24"/>
          <w:szCs w:val="24"/>
        </w:rPr>
        <w:t>b</w:t>
      </w:r>
      <w:r w:rsidRPr="00FC0649">
        <w:rPr>
          <w:sz w:val="24"/>
          <w:szCs w:val="24"/>
        </w:rPr>
        <w:t xml:space="preserve">) </w:t>
      </w:r>
      <w:r>
        <w:rPr>
          <w:sz w:val="24"/>
          <w:szCs w:val="24"/>
        </w:rPr>
        <w:t>S</w:t>
      </w:r>
      <w:r w:rsidRPr="00FC0649">
        <w:rPr>
          <w:sz w:val="24"/>
          <w:szCs w:val="24"/>
        </w:rPr>
        <w:t>ensitivities and specificities of risk prediction based on the risk model, illustrated using ROC curves; (</w:t>
      </w:r>
      <w:r w:rsidRPr="0093236A">
        <w:rPr>
          <w:b/>
          <w:bCs/>
          <w:sz w:val="24"/>
          <w:szCs w:val="24"/>
        </w:rPr>
        <w:t>c</w:t>
      </w:r>
      <w:r w:rsidRPr="00FC0649">
        <w:rPr>
          <w:sz w:val="24"/>
          <w:szCs w:val="24"/>
        </w:rPr>
        <w:t xml:space="preserve">) DCA </w:t>
      </w:r>
      <w:r>
        <w:rPr>
          <w:sz w:val="24"/>
          <w:szCs w:val="24"/>
        </w:rPr>
        <w:t>of</w:t>
      </w:r>
      <w:r w:rsidRPr="00FC0649">
        <w:rPr>
          <w:sz w:val="24"/>
          <w:szCs w:val="24"/>
        </w:rPr>
        <w:t xml:space="preserve"> the risk nomogram.</w:t>
      </w:r>
      <w:r w:rsidRPr="001A77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PTC, papillary thyroid carcinoma; </w:t>
      </w:r>
      <w:r>
        <w:rPr>
          <w:rFonts w:hint="eastAsia"/>
          <w:sz w:val="24"/>
          <w:szCs w:val="24"/>
        </w:rPr>
        <w:t>L</w:t>
      </w:r>
      <w:r>
        <w:rPr>
          <w:sz w:val="24"/>
          <w:szCs w:val="24"/>
        </w:rPr>
        <w:t xml:space="preserve">LNM, </w:t>
      </w:r>
      <w:r>
        <w:rPr>
          <w:rFonts w:hint="eastAsia"/>
          <w:sz w:val="24"/>
          <w:szCs w:val="24"/>
        </w:rPr>
        <w:t xml:space="preserve">central </w:t>
      </w:r>
      <w:r w:rsidRPr="009738C8">
        <w:rPr>
          <w:sz w:val="24"/>
          <w:szCs w:val="24"/>
        </w:rPr>
        <w:t>lymph node metastasis</w:t>
      </w:r>
      <w:r>
        <w:rPr>
          <w:sz w:val="24"/>
          <w:szCs w:val="24"/>
        </w:rPr>
        <w:t xml:space="preserve">; </w:t>
      </w:r>
      <w:r w:rsidRPr="006D2B57">
        <w:rPr>
          <w:sz w:val="24"/>
          <w:szCs w:val="24"/>
        </w:rPr>
        <w:t>ROC, receiver operating characteristic; AUC, area under curve; DCA, decision curve analysis.</w:t>
      </w:r>
    </w:p>
    <w:p w14:paraId="404204B1" w14:textId="77777777" w:rsidR="00EF3370" w:rsidRDefault="00EF3370"/>
    <w:p w14:paraId="01073C37" w14:textId="77777777" w:rsidR="00EF3370" w:rsidRDefault="00EF3370"/>
    <w:p w14:paraId="75B6B77A" w14:textId="75A0633C" w:rsidR="00EF3370" w:rsidRDefault="00EF3370">
      <w:r>
        <w:rPr>
          <w:rFonts w:hint="eastAsia"/>
          <w:noProof/>
        </w:rPr>
        <w:lastRenderedPageBreak/>
        <w:drawing>
          <wp:inline distT="0" distB="0" distL="0" distR="0" wp14:anchorId="250BE784" wp14:editId="04F2EE02">
            <wp:extent cx="5274310" cy="4874895"/>
            <wp:effectExtent l="0" t="0" r="2540" b="1905"/>
            <wp:docPr id="12924498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49899" name="图片 12924498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E4799" w14:textId="336D3DDC" w:rsidR="00EF3370" w:rsidRPr="00EF3370" w:rsidRDefault="00EF3370" w:rsidP="00EF3370">
      <w:pPr>
        <w:spacing w:before="240" w:line="480" w:lineRule="auto"/>
        <w:rPr>
          <w:rFonts w:hint="eastAsia"/>
          <w:sz w:val="24"/>
          <w:szCs w:val="24"/>
        </w:rPr>
      </w:pPr>
      <w:r w:rsidRPr="008D6E2B">
        <w:rPr>
          <w:b/>
          <w:bCs/>
          <w:sz w:val="24"/>
          <w:szCs w:val="24"/>
        </w:rPr>
        <w:t>Supplementary</w:t>
      </w:r>
      <w:r>
        <w:rPr>
          <w:rFonts w:hint="eastAsia"/>
          <w:b/>
          <w:bCs/>
          <w:sz w:val="24"/>
          <w:szCs w:val="24"/>
        </w:rPr>
        <w:t xml:space="preserve"> </w:t>
      </w:r>
      <w:r w:rsidRPr="00D246A1">
        <w:rPr>
          <w:b/>
          <w:bCs/>
          <w:sz w:val="24"/>
          <w:szCs w:val="24"/>
        </w:rPr>
        <w:t>Fig</w:t>
      </w:r>
      <w:r>
        <w:rPr>
          <w:rFonts w:hint="eastAsia"/>
          <w:b/>
          <w:bCs/>
          <w:sz w:val="24"/>
          <w:szCs w:val="24"/>
        </w:rPr>
        <w:t>ure</w:t>
      </w:r>
      <w:r w:rsidRPr="00D246A1"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3</w:t>
      </w:r>
      <w:r w:rsidRPr="007E5952">
        <w:t xml:space="preserve"> </w:t>
      </w:r>
      <w:r w:rsidRPr="0093236A">
        <w:rPr>
          <w:sz w:val="24"/>
          <w:szCs w:val="24"/>
        </w:rPr>
        <w:t>Confirmation of the developed nomogram model for predicting the risk of recurrence within the validation cohort.</w:t>
      </w:r>
      <w:r w:rsidRPr="00D246A1">
        <w:rPr>
          <w:sz w:val="24"/>
          <w:szCs w:val="24"/>
        </w:rPr>
        <w:t xml:space="preserve"> </w:t>
      </w:r>
      <w:r w:rsidRPr="007E5952">
        <w:rPr>
          <w:sz w:val="24"/>
          <w:szCs w:val="24"/>
        </w:rPr>
        <w:t>(</w:t>
      </w:r>
      <w:r w:rsidRPr="0093236A">
        <w:rPr>
          <w:b/>
          <w:bCs/>
          <w:sz w:val="24"/>
          <w:szCs w:val="24"/>
        </w:rPr>
        <w:t>a</w:t>
      </w:r>
      <w:r w:rsidRPr="007E5952">
        <w:rPr>
          <w:sz w:val="24"/>
          <w:szCs w:val="24"/>
        </w:rPr>
        <w:t xml:space="preserve">) </w:t>
      </w:r>
      <w:r>
        <w:rPr>
          <w:sz w:val="24"/>
          <w:szCs w:val="24"/>
        </w:rPr>
        <w:t>C</w:t>
      </w:r>
      <w:r w:rsidRPr="007E5952">
        <w:rPr>
          <w:sz w:val="24"/>
          <w:szCs w:val="24"/>
        </w:rPr>
        <w:t>alibration curve for risk prediction derived from the risk model at the 1095-day timepoint within the training set; (</w:t>
      </w:r>
      <w:r w:rsidRPr="0093236A">
        <w:rPr>
          <w:b/>
          <w:bCs/>
          <w:sz w:val="24"/>
          <w:szCs w:val="24"/>
        </w:rPr>
        <w:t>b</w:t>
      </w:r>
      <w:r w:rsidRPr="007E5952">
        <w:rPr>
          <w:sz w:val="24"/>
          <w:szCs w:val="24"/>
        </w:rPr>
        <w:t xml:space="preserve">) </w:t>
      </w:r>
      <w:r>
        <w:rPr>
          <w:sz w:val="24"/>
          <w:szCs w:val="24"/>
        </w:rPr>
        <w:t>C</w:t>
      </w:r>
      <w:r w:rsidRPr="007E5952">
        <w:rPr>
          <w:sz w:val="24"/>
          <w:szCs w:val="24"/>
        </w:rPr>
        <w:t>alibration curve for risk prediction derived from the risk model at the 1825-day timepoint within the training set; (</w:t>
      </w:r>
      <w:r w:rsidRPr="0093236A">
        <w:rPr>
          <w:b/>
          <w:bCs/>
          <w:sz w:val="24"/>
          <w:szCs w:val="24"/>
        </w:rPr>
        <w:t>c</w:t>
      </w:r>
      <w:r w:rsidRPr="007E5952">
        <w:rPr>
          <w:sz w:val="24"/>
          <w:szCs w:val="24"/>
        </w:rPr>
        <w:t xml:space="preserve">) </w:t>
      </w:r>
      <w:r>
        <w:rPr>
          <w:sz w:val="24"/>
          <w:szCs w:val="24"/>
        </w:rPr>
        <w:t>C</w:t>
      </w:r>
      <w:r w:rsidRPr="007E5952">
        <w:rPr>
          <w:sz w:val="24"/>
          <w:szCs w:val="24"/>
        </w:rPr>
        <w:t>alibration curve for risk prediction derived from the risk model at the 365-day timepoint within the validation set; (</w:t>
      </w:r>
      <w:r w:rsidRPr="0093236A">
        <w:rPr>
          <w:b/>
          <w:bCs/>
          <w:sz w:val="24"/>
          <w:szCs w:val="24"/>
        </w:rPr>
        <w:t>d</w:t>
      </w:r>
      <w:r w:rsidRPr="007E5952">
        <w:rPr>
          <w:sz w:val="24"/>
          <w:szCs w:val="24"/>
        </w:rPr>
        <w:t xml:space="preserve">) </w:t>
      </w:r>
      <w:r>
        <w:rPr>
          <w:sz w:val="24"/>
          <w:szCs w:val="24"/>
        </w:rPr>
        <w:t>C</w:t>
      </w:r>
      <w:r w:rsidRPr="007E5952">
        <w:rPr>
          <w:sz w:val="24"/>
          <w:szCs w:val="24"/>
        </w:rPr>
        <w:t>alibration curve for risk prediction derived from the risk model at the 1095-day timepoint within the validation set; (</w:t>
      </w:r>
      <w:r w:rsidRPr="0093236A">
        <w:rPr>
          <w:b/>
          <w:bCs/>
          <w:sz w:val="24"/>
          <w:szCs w:val="24"/>
        </w:rPr>
        <w:t>e</w:t>
      </w:r>
      <w:r w:rsidRPr="007E5952">
        <w:rPr>
          <w:sz w:val="24"/>
          <w:szCs w:val="24"/>
        </w:rPr>
        <w:t xml:space="preserve">) </w:t>
      </w:r>
      <w:r>
        <w:rPr>
          <w:sz w:val="24"/>
          <w:szCs w:val="24"/>
        </w:rPr>
        <w:t>C</w:t>
      </w:r>
      <w:r w:rsidRPr="007E5952">
        <w:rPr>
          <w:sz w:val="24"/>
          <w:szCs w:val="24"/>
        </w:rPr>
        <w:t>alibration curve for risk prediction derived from the risk model at the 1825-day timepoint within the validation set; (</w:t>
      </w:r>
      <w:r w:rsidRPr="0093236A">
        <w:rPr>
          <w:b/>
          <w:bCs/>
          <w:sz w:val="24"/>
          <w:szCs w:val="24"/>
        </w:rPr>
        <w:t>f</w:t>
      </w:r>
      <w:r w:rsidRPr="007E5952">
        <w:rPr>
          <w:sz w:val="24"/>
          <w:szCs w:val="24"/>
        </w:rPr>
        <w:t xml:space="preserve">) </w:t>
      </w:r>
      <w:r>
        <w:rPr>
          <w:sz w:val="24"/>
          <w:szCs w:val="24"/>
        </w:rPr>
        <w:t>S</w:t>
      </w:r>
      <w:r w:rsidRPr="007E5952">
        <w:rPr>
          <w:sz w:val="24"/>
          <w:szCs w:val="24"/>
        </w:rPr>
        <w:t xml:space="preserve">ensitivities and specificities of </w:t>
      </w:r>
      <w:r w:rsidRPr="007E5952">
        <w:rPr>
          <w:sz w:val="24"/>
          <w:szCs w:val="24"/>
        </w:rPr>
        <w:lastRenderedPageBreak/>
        <w:t>risk prediction based on the risk model,</w:t>
      </w:r>
      <w:r>
        <w:rPr>
          <w:sz w:val="24"/>
          <w:szCs w:val="24"/>
        </w:rPr>
        <w:t xml:space="preserve"> </w:t>
      </w:r>
      <w:r w:rsidRPr="007E5952">
        <w:rPr>
          <w:sz w:val="24"/>
          <w:szCs w:val="24"/>
        </w:rPr>
        <w:t>illustrated through ROC curves in the validation set; (</w:t>
      </w:r>
      <w:r w:rsidRPr="0093236A">
        <w:rPr>
          <w:b/>
          <w:bCs/>
          <w:sz w:val="24"/>
          <w:szCs w:val="24"/>
        </w:rPr>
        <w:t>g</w:t>
      </w:r>
      <w:r w:rsidRPr="007E5952">
        <w:rPr>
          <w:sz w:val="24"/>
          <w:szCs w:val="24"/>
        </w:rPr>
        <w:t xml:space="preserve">) DCA </w:t>
      </w:r>
      <w:r>
        <w:rPr>
          <w:sz w:val="24"/>
          <w:szCs w:val="24"/>
        </w:rPr>
        <w:t>of</w:t>
      </w:r>
      <w:r w:rsidRPr="007E5952">
        <w:rPr>
          <w:sz w:val="24"/>
          <w:szCs w:val="24"/>
        </w:rPr>
        <w:t xml:space="preserve"> the risk nomogram in the validation set.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PTC, papillary thyroid carcinoma; </w:t>
      </w:r>
      <w:r w:rsidRPr="006D2B57">
        <w:rPr>
          <w:sz w:val="24"/>
          <w:szCs w:val="24"/>
        </w:rPr>
        <w:t>ROC, receiver operating characteristic; AUC, area under curve; DCA, decision curve analysis.</w:t>
      </w:r>
    </w:p>
    <w:sectPr w:rsidR="00EF3370" w:rsidRPr="00EF3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70"/>
    <w:rsid w:val="003C1768"/>
    <w:rsid w:val="0042382A"/>
    <w:rsid w:val="00AC0BEA"/>
    <w:rsid w:val="00CD3160"/>
    <w:rsid w:val="00EF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CA811"/>
  <w15:chartTrackingRefBased/>
  <w15:docId w15:val="{A6783A99-F41D-4CB8-BE55-0DFC32A4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37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3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37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37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37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37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37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37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37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3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3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3370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3370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F3370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3370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3370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3370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33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3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3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33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3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33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33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337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3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337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33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willedisoncmu@163.com</dc:creator>
  <cp:keywords/>
  <dc:description/>
  <cp:lastModifiedBy>willedisoncmu@163.com</cp:lastModifiedBy>
  <cp:revision>1</cp:revision>
  <dcterms:created xsi:type="dcterms:W3CDTF">2025-01-20T13:10:00Z</dcterms:created>
  <dcterms:modified xsi:type="dcterms:W3CDTF">2025-01-20T13:16:00Z</dcterms:modified>
</cp:coreProperties>
</file>