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F6C53" w14:textId="73CABED0" w:rsidR="00512FA6" w:rsidRPr="00931913" w:rsidRDefault="00512FA6" w:rsidP="00007577">
      <w:pPr>
        <w:bidi w:val="0"/>
        <w:spacing w:after="160" w:line="259" w:lineRule="auto"/>
        <w:jc w:val="both"/>
        <w:rPr>
          <w:b/>
          <w:bCs/>
          <w:sz w:val="28"/>
          <w:szCs w:val="28"/>
        </w:rPr>
      </w:pPr>
      <w:r w:rsidRPr="00931913">
        <w:rPr>
          <w:b/>
          <w:bCs/>
          <w:sz w:val="28"/>
          <w:szCs w:val="28"/>
        </w:rPr>
        <w:t>Supplementary materials</w:t>
      </w:r>
      <w:r w:rsidRPr="00931913">
        <w:rPr>
          <w:b/>
          <w:bCs/>
          <w:sz w:val="28"/>
          <w:szCs w:val="28"/>
        </w:rPr>
        <w:br w:type="page"/>
      </w:r>
    </w:p>
    <w:tbl>
      <w:tblPr>
        <w:tblStyle w:val="PlainTable1"/>
        <w:tblW w:w="10795" w:type="dxa"/>
        <w:jc w:val="center"/>
        <w:tblLook w:val="04A0" w:firstRow="1" w:lastRow="0" w:firstColumn="1" w:lastColumn="0" w:noHBand="0" w:noVBand="1"/>
      </w:tblPr>
      <w:tblGrid>
        <w:gridCol w:w="960"/>
        <w:gridCol w:w="5425"/>
        <w:gridCol w:w="4410"/>
      </w:tblGrid>
      <w:tr w:rsidR="00512FA6" w:rsidRPr="00CD0C16" w14:paraId="491D980C" w14:textId="77777777" w:rsidTr="00676908">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0795" w:type="dxa"/>
            <w:gridSpan w:val="3"/>
            <w:noWrap/>
            <w:vAlign w:val="center"/>
            <w:hideMark/>
          </w:tcPr>
          <w:p w14:paraId="15431231"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lastRenderedPageBreak/>
              <w:t xml:space="preserve">Supplementary Table 1. </w:t>
            </w:r>
            <w:r w:rsidRPr="00CD0C16">
              <w:rPr>
                <w:rFonts w:eastAsia="Times New Roman"/>
                <w:b w:val="0"/>
                <w:bCs w:val="0"/>
                <w:color w:val="000000"/>
                <w:sz w:val="22"/>
                <w:lang w:bidi="ar-SA"/>
              </w:rPr>
              <w:t>CONSORT 2010 Checklist of Information to Include When Reporting a Randomized Trial</w:t>
            </w:r>
          </w:p>
        </w:tc>
      </w:tr>
      <w:tr w:rsidR="00512FA6" w:rsidRPr="00CD0C16" w14:paraId="2229DF51"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0F5EF1AF"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Item No.</w:t>
            </w:r>
          </w:p>
        </w:tc>
        <w:tc>
          <w:tcPr>
            <w:tcW w:w="5425" w:type="dxa"/>
            <w:vAlign w:val="center"/>
            <w:hideMark/>
          </w:tcPr>
          <w:p w14:paraId="486A7A93"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b/>
                <w:bCs/>
                <w:color w:val="000000"/>
                <w:sz w:val="22"/>
                <w:lang w:bidi="ar-SA"/>
              </w:rPr>
            </w:pPr>
            <w:r w:rsidRPr="00CD0C16">
              <w:rPr>
                <w:rFonts w:eastAsia="Times New Roman"/>
                <w:b/>
                <w:bCs/>
                <w:color w:val="000000"/>
                <w:sz w:val="22"/>
                <w:lang w:bidi="ar-SA"/>
              </w:rPr>
              <w:t>Checklist Item</w:t>
            </w:r>
          </w:p>
        </w:tc>
        <w:tc>
          <w:tcPr>
            <w:tcW w:w="4410" w:type="dxa"/>
            <w:vAlign w:val="center"/>
            <w:hideMark/>
          </w:tcPr>
          <w:p w14:paraId="37ED357D"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b/>
                <w:bCs/>
                <w:color w:val="000000"/>
                <w:sz w:val="22"/>
                <w:lang w:bidi="ar-SA"/>
              </w:rPr>
            </w:pPr>
            <w:r w:rsidRPr="00CD0C16">
              <w:rPr>
                <w:rFonts w:eastAsia="Times New Roman"/>
                <w:b/>
                <w:bCs/>
                <w:color w:val="000000"/>
                <w:sz w:val="22"/>
                <w:lang w:bidi="ar-SA"/>
              </w:rPr>
              <w:t>Reported Location in Manuscript</w:t>
            </w:r>
          </w:p>
        </w:tc>
      </w:tr>
      <w:tr w:rsidR="00512FA6" w:rsidRPr="00CD0C16" w14:paraId="63B5C498"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3B68F746"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1a</w:t>
            </w:r>
          </w:p>
        </w:tc>
        <w:tc>
          <w:tcPr>
            <w:tcW w:w="5425" w:type="dxa"/>
            <w:vAlign w:val="center"/>
            <w:hideMark/>
          </w:tcPr>
          <w:p w14:paraId="44E311E5"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Identification as a randomized trial in the title</w:t>
            </w:r>
          </w:p>
        </w:tc>
        <w:tc>
          <w:tcPr>
            <w:tcW w:w="4410" w:type="dxa"/>
            <w:vAlign w:val="center"/>
            <w:hideMark/>
          </w:tcPr>
          <w:p w14:paraId="56325362"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Title includes "randomized clinical trial"</w:t>
            </w:r>
          </w:p>
        </w:tc>
      </w:tr>
      <w:tr w:rsidR="00512FA6" w:rsidRPr="00CD0C16" w14:paraId="77492049"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4F43EDEF"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1b</w:t>
            </w:r>
          </w:p>
        </w:tc>
        <w:tc>
          <w:tcPr>
            <w:tcW w:w="5425" w:type="dxa"/>
            <w:vAlign w:val="center"/>
            <w:hideMark/>
          </w:tcPr>
          <w:p w14:paraId="7C0BC72E"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Structured summary of trial design, methods, results, and conclusions</w:t>
            </w:r>
          </w:p>
        </w:tc>
        <w:tc>
          <w:tcPr>
            <w:tcW w:w="4410" w:type="dxa"/>
            <w:vAlign w:val="center"/>
            <w:hideMark/>
          </w:tcPr>
          <w:p w14:paraId="6AE53C59"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Structured abstract provided</w:t>
            </w:r>
          </w:p>
        </w:tc>
      </w:tr>
      <w:tr w:rsidR="00512FA6" w:rsidRPr="00CD0C16" w14:paraId="08481C93"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4B687765"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2a</w:t>
            </w:r>
          </w:p>
        </w:tc>
        <w:tc>
          <w:tcPr>
            <w:tcW w:w="5425" w:type="dxa"/>
            <w:vAlign w:val="center"/>
            <w:hideMark/>
          </w:tcPr>
          <w:p w14:paraId="01B946AC"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Scientific background and explanation of rationale</w:t>
            </w:r>
          </w:p>
        </w:tc>
        <w:tc>
          <w:tcPr>
            <w:tcW w:w="4410" w:type="dxa"/>
            <w:vAlign w:val="center"/>
            <w:hideMark/>
          </w:tcPr>
          <w:p w14:paraId="3BD8D3F4"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Introduction, paragraphs 1–2</w:t>
            </w:r>
          </w:p>
        </w:tc>
      </w:tr>
      <w:tr w:rsidR="00512FA6" w:rsidRPr="00CD0C16" w14:paraId="2093C1FB"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517CF138"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2b</w:t>
            </w:r>
          </w:p>
        </w:tc>
        <w:tc>
          <w:tcPr>
            <w:tcW w:w="5425" w:type="dxa"/>
            <w:vAlign w:val="center"/>
            <w:hideMark/>
          </w:tcPr>
          <w:p w14:paraId="413EC590"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Specific objectives or hypotheses</w:t>
            </w:r>
          </w:p>
        </w:tc>
        <w:tc>
          <w:tcPr>
            <w:tcW w:w="4410" w:type="dxa"/>
            <w:vAlign w:val="center"/>
            <w:hideMark/>
          </w:tcPr>
          <w:p w14:paraId="202E0573"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End of Introduction</w:t>
            </w:r>
          </w:p>
        </w:tc>
      </w:tr>
      <w:tr w:rsidR="00512FA6" w:rsidRPr="00CD0C16" w14:paraId="0461C441"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5F856C4F"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3a</w:t>
            </w:r>
          </w:p>
        </w:tc>
        <w:tc>
          <w:tcPr>
            <w:tcW w:w="5425" w:type="dxa"/>
            <w:vAlign w:val="center"/>
            <w:hideMark/>
          </w:tcPr>
          <w:p w14:paraId="1C990066"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Description of trial design, including allocation ratio</w:t>
            </w:r>
          </w:p>
        </w:tc>
        <w:tc>
          <w:tcPr>
            <w:tcW w:w="4410" w:type="dxa"/>
            <w:vAlign w:val="center"/>
            <w:hideMark/>
          </w:tcPr>
          <w:p w14:paraId="34B0F989"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Methods – Study Design</w:t>
            </w:r>
          </w:p>
        </w:tc>
      </w:tr>
      <w:tr w:rsidR="00512FA6" w:rsidRPr="00CD0C16" w14:paraId="7B1F2AA6"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35B2B008"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3b</w:t>
            </w:r>
          </w:p>
        </w:tc>
        <w:tc>
          <w:tcPr>
            <w:tcW w:w="5425" w:type="dxa"/>
            <w:vAlign w:val="center"/>
            <w:hideMark/>
          </w:tcPr>
          <w:p w14:paraId="2317E226"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Important changes to methods after trial commencement</w:t>
            </w:r>
          </w:p>
        </w:tc>
        <w:tc>
          <w:tcPr>
            <w:tcW w:w="4410" w:type="dxa"/>
            <w:vAlign w:val="center"/>
            <w:hideMark/>
          </w:tcPr>
          <w:p w14:paraId="664B8AF8"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None</w:t>
            </w:r>
          </w:p>
        </w:tc>
      </w:tr>
      <w:tr w:rsidR="00512FA6" w:rsidRPr="00CD0C16" w14:paraId="5A43B9D3"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75B42B58"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4a</w:t>
            </w:r>
          </w:p>
        </w:tc>
        <w:tc>
          <w:tcPr>
            <w:tcW w:w="5425" w:type="dxa"/>
            <w:vAlign w:val="center"/>
            <w:hideMark/>
          </w:tcPr>
          <w:p w14:paraId="1BEFD7B7"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Eligibility criteria for participants</w:t>
            </w:r>
          </w:p>
        </w:tc>
        <w:tc>
          <w:tcPr>
            <w:tcW w:w="4410" w:type="dxa"/>
            <w:vAlign w:val="center"/>
            <w:hideMark/>
          </w:tcPr>
          <w:p w14:paraId="5B334DFD"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Methods – Study Population</w:t>
            </w:r>
          </w:p>
        </w:tc>
      </w:tr>
      <w:tr w:rsidR="00512FA6" w:rsidRPr="00CD0C16" w14:paraId="081797E1"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733CC876"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4b</w:t>
            </w:r>
          </w:p>
        </w:tc>
        <w:tc>
          <w:tcPr>
            <w:tcW w:w="5425" w:type="dxa"/>
            <w:vAlign w:val="center"/>
            <w:hideMark/>
          </w:tcPr>
          <w:p w14:paraId="7DE35DE2"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Settings and locations where the data were collected</w:t>
            </w:r>
          </w:p>
        </w:tc>
        <w:tc>
          <w:tcPr>
            <w:tcW w:w="4410" w:type="dxa"/>
            <w:vAlign w:val="center"/>
            <w:hideMark/>
          </w:tcPr>
          <w:p w14:paraId="1695B398"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Methods – Study Population (Loghman Hakim Hospital)</w:t>
            </w:r>
          </w:p>
        </w:tc>
      </w:tr>
      <w:tr w:rsidR="00512FA6" w:rsidRPr="00CD0C16" w14:paraId="19ECD43E"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0C2A350F"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5</w:t>
            </w:r>
          </w:p>
        </w:tc>
        <w:tc>
          <w:tcPr>
            <w:tcW w:w="5425" w:type="dxa"/>
            <w:vAlign w:val="center"/>
            <w:hideMark/>
          </w:tcPr>
          <w:p w14:paraId="4A423B45"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Interventions for each group with sufficient details to allow replication</w:t>
            </w:r>
          </w:p>
        </w:tc>
        <w:tc>
          <w:tcPr>
            <w:tcW w:w="4410" w:type="dxa"/>
            <w:vAlign w:val="center"/>
            <w:hideMark/>
          </w:tcPr>
          <w:p w14:paraId="69E89018"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Methods – Intervention</w:t>
            </w:r>
          </w:p>
        </w:tc>
      </w:tr>
      <w:tr w:rsidR="00512FA6" w:rsidRPr="00CD0C16" w14:paraId="2A8D3987"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2D971B1A"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6a</w:t>
            </w:r>
          </w:p>
        </w:tc>
        <w:tc>
          <w:tcPr>
            <w:tcW w:w="5425" w:type="dxa"/>
            <w:vAlign w:val="center"/>
            <w:hideMark/>
          </w:tcPr>
          <w:p w14:paraId="18F7805A"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Completely defined pre-specified primary and secondary outcome measures</w:t>
            </w:r>
          </w:p>
        </w:tc>
        <w:tc>
          <w:tcPr>
            <w:tcW w:w="4410" w:type="dxa"/>
            <w:vAlign w:val="center"/>
            <w:hideMark/>
          </w:tcPr>
          <w:p w14:paraId="6A03B03E"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Methods – Outcomes and Follow-Up</w:t>
            </w:r>
          </w:p>
        </w:tc>
      </w:tr>
      <w:tr w:rsidR="00512FA6" w:rsidRPr="00CD0C16" w14:paraId="6A74A0A5"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06E4C551"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6b</w:t>
            </w:r>
          </w:p>
        </w:tc>
        <w:tc>
          <w:tcPr>
            <w:tcW w:w="5425" w:type="dxa"/>
            <w:vAlign w:val="center"/>
            <w:hideMark/>
          </w:tcPr>
          <w:p w14:paraId="11725CAA"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Any changes to trial outcomes after the trial commenced</w:t>
            </w:r>
          </w:p>
        </w:tc>
        <w:tc>
          <w:tcPr>
            <w:tcW w:w="4410" w:type="dxa"/>
            <w:vAlign w:val="center"/>
            <w:hideMark/>
          </w:tcPr>
          <w:p w14:paraId="6B59ADFD"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None</w:t>
            </w:r>
          </w:p>
        </w:tc>
      </w:tr>
      <w:tr w:rsidR="00512FA6" w:rsidRPr="00CD0C16" w14:paraId="489196D7"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1743BCC6"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7a</w:t>
            </w:r>
          </w:p>
        </w:tc>
        <w:tc>
          <w:tcPr>
            <w:tcW w:w="5425" w:type="dxa"/>
            <w:vAlign w:val="center"/>
            <w:hideMark/>
          </w:tcPr>
          <w:p w14:paraId="1CADC1D0"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How sample size was determined</w:t>
            </w:r>
          </w:p>
        </w:tc>
        <w:tc>
          <w:tcPr>
            <w:tcW w:w="4410" w:type="dxa"/>
            <w:vAlign w:val="center"/>
            <w:hideMark/>
          </w:tcPr>
          <w:p w14:paraId="50F0FFC9"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Methods – Sample Size Calculation</w:t>
            </w:r>
          </w:p>
        </w:tc>
      </w:tr>
      <w:tr w:rsidR="00512FA6" w:rsidRPr="00CD0C16" w14:paraId="4251B396"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14548143"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7b</w:t>
            </w:r>
          </w:p>
        </w:tc>
        <w:tc>
          <w:tcPr>
            <w:tcW w:w="5425" w:type="dxa"/>
            <w:vAlign w:val="center"/>
            <w:hideMark/>
          </w:tcPr>
          <w:p w14:paraId="08EFA1F0"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Explanation of any interim analyses and stopping guidelines</w:t>
            </w:r>
          </w:p>
        </w:tc>
        <w:tc>
          <w:tcPr>
            <w:tcW w:w="4410" w:type="dxa"/>
            <w:vAlign w:val="center"/>
            <w:hideMark/>
          </w:tcPr>
          <w:p w14:paraId="6C24294F"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Not applicable</w:t>
            </w:r>
          </w:p>
        </w:tc>
      </w:tr>
      <w:tr w:rsidR="00512FA6" w:rsidRPr="00CD0C16" w14:paraId="604B4554"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53634CF2"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8a</w:t>
            </w:r>
          </w:p>
        </w:tc>
        <w:tc>
          <w:tcPr>
            <w:tcW w:w="5425" w:type="dxa"/>
            <w:vAlign w:val="center"/>
            <w:hideMark/>
          </w:tcPr>
          <w:p w14:paraId="238BB662"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Method used to generate the random allocation sequence</w:t>
            </w:r>
          </w:p>
        </w:tc>
        <w:tc>
          <w:tcPr>
            <w:tcW w:w="4410" w:type="dxa"/>
            <w:vAlign w:val="center"/>
            <w:hideMark/>
          </w:tcPr>
          <w:p w14:paraId="41E0989B"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Methods – Randomization and Blinding</w:t>
            </w:r>
          </w:p>
        </w:tc>
      </w:tr>
      <w:tr w:rsidR="00512FA6" w:rsidRPr="00CD0C16" w14:paraId="56043524"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42AF8B3F"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8b</w:t>
            </w:r>
          </w:p>
        </w:tc>
        <w:tc>
          <w:tcPr>
            <w:tcW w:w="5425" w:type="dxa"/>
            <w:vAlign w:val="center"/>
            <w:hideMark/>
          </w:tcPr>
          <w:p w14:paraId="637DC0A8"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Type of randomization; details of any restriction</w:t>
            </w:r>
          </w:p>
        </w:tc>
        <w:tc>
          <w:tcPr>
            <w:tcW w:w="4410" w:type="dxa"/>
            <w:vAlign w:val="center"/>
            <w:hideMark/>
          </w:tcPr>
          <w:p w14:paraId="6A54E5E3"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Simple randomization using computer-generated numbers</w:t>
            </w:r>
          </w:p>
        </w:tc>
      </w:tr>
      <w:tr w:rsidR="00512FA6" w:rsidRPr="00CD0C16" w14:paraId="6FDBC876"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7A7793B2"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9</w:t>
            </w:r>
          </w:p>
        </w:tc>
        <w:tc>
          <w:tcPr>
            <w:tcW w:w="5425" w:type="dxa"/>
            <w:vAlign w:val="center"/>
            <w:hideMark/>
          </w:tcPr>
          <w:p w14:paraId="586A09E6"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Mechanism used to implement the random allocation sequence</w:t>
            </w:r>
          </w:p>
        </w:tc>
        <w:tc>
          <w:tcPr>
            <w:tcW w:w="4410" w:type="dxa"/>
            <w:vAlign w:val="center"/>
            <w:hideMark/>
          </w:tcPr>
          <w:p w14:paraId="770AAEAB"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Sequentially numbered opaque sealed envelopes</w:t>
            </w:r>
          </w:p>
        </w:tc>
      </w:tr>
      <w:tr w:rsidR="00512FA6" w:rsidRPr="00CD0C16" w14:paraId="4C8D147E"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5DA637E6"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10</w:t>
            </w:r>
          </w:p>
        </w:tc>
        <w:tc>
          <w:tcPr>
            <w:tcW w:w="5425" w:type="dxa"/>
            <w:vAlign w:val="center"/>
            <w:hideMark/>
          </w:tcPr>
          <w:p w14:paraId="4CBB5516"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Who generated the allocation sequence, enrolled participants, and assigned interventions</w:t>
            </w:r>
          </w:p>
        </w:tc>
        <w:tc>
          <w:tcPr>
            <w:tcW w:w="4410" w:type="dxa"/>
            <w:vAlign w:val="center"/>
            <w:hideMark/>
          </w:tcPr>
          <w:p w14:paraId="49BC015C"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Statistician generated sequence; staff enrolled and assigned participants</w:t>
            </w:r>
          </w:p>
        </w:tc>
      </w:tr>
      <w:tr w:rsidR="00512FA6" w:rsidRPr="00CD0C16" w14:paraId="4A0FA007"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5B57F918"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11a</w:t>
            </w:r>
          </w:p>
        </w:tc>
        <w:tc>
          <w:tcPr>
            <w:tcW w:w="5425" w:type="dxa"/>
            <w:vAlign w:val="center"/>
            <w:hideMark/>
          </w:tcPr>
          <w:p w14:paraId="58FBE6F5"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Blinding (who was blinded and how)</w:t>
            </w:r>
          </w:p>
        </w:tc>
        <w:tc>
          <w:tcPr>
            <w:tcW w:w="4410" w:type="dxa"/>
            <w:vAlign w:val="center"/>
            <w:hideMark/>
          </w:tcPr>
          <w:p w14:paraId="52D82BA8"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Single-blinded; participants blinded, outcome assessors not</w:t>
            </w:r>
          </w:p>
        </w:tc>
      </w:tr>
      <w:tr w:rsidR="00512FA6" w:rsidRPr="00CD0C16" w14:paraId="7135D3F9"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547AF7C5"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11b</w:t>
            </w:r>
          </w:p>
        </w:tc>
        <w:tc>
          <w:tcPr>
            <w:tcW w:w="5425" w:type="dxa"/>
            <w:vAlign w:val="center"/>
            <w:hideMark/>
          </w:tcPr>
          <w:p w14:paraId="0C80287F"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Description of similarity of interventions</w:t>
            </w:r>
          </w:p>
        </w:tc>
        <w:tc>
          <w:tcPr>
            <w:tcW w:w="4410" w:type="dxa"/>
            <w:vAlign w:val="center"/>
            <w:hideMark/>
          </w:tcPr>
          <w:p w14:paraId="2B9E4124"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Identical packaging used</w:t>
            </w:r>
          </w:p>
        </w:tc>
      </w:tr>
      <w:tr w:rsidR="00512FA6" w:rsidRPr="00CD0C16" w14:paraId="750F3996"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3911E5C1"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12a</w:t>
            </w:r>
          </w:p>
        </w:tc>
        <w:tc>
          <w:tcPr>
            <w:tcW w:w="5425" w:type="dxa"/>
            <w:vAlign w:val="center"/>
            <w:hideMark/>
          </w:tcPr>
          <w:p w14:paraId="7EA7DEF9"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Statistical methods used to compare groups</w:t>
            </w:r>
          </w:p>
        </w:tc>
        <w:tc>
          <w:tcPr>
            <w:tcW w:w="4410" w:type="dxa"/>
            <w:vAlign w:val="center"/>
            <w:hideMark/>
          </w:tcPr>
          <w:p w14:paraId="0921E9B3"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Methods – Statistical Analysis</w:t>
            </w:r>
          </w:p>
        </w:tc>
      </w:tr>
      <w:tr w:rsidR="00512FA6" w:rsidRPr="00CD0C16" w14:paraId="4F82B72B"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64212D38"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12b</w:t>
            </w:r>
          </w:p>
        </w:tc>
        <w:tc>
          <w:tcPr>
            <w:tcW w:w="5425" w:type="dxa"/>
            <w:vAlign w:val="center"/>
            <w:hideMark/>
          </w:tcPr>
          <w:p w14:paraId="67D0B5C0"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Methods for additional analyses, such as subgroup and adjusted analyses</w:t>
            </w:r>
          </w:p>
        </w:tc>
        <w:tc>
          <w:tcPr>
            <w:tcW w:w="4410" w:type="dxa"/>
            <w:vAlign w:val="center"/>
            <w:hideMark/>
          </w:tcPr>
          <w:p w14:paraId="4CD982FB"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None</w:t>
            </w:r>
          </w:p>
        </w:tc>
      </w:tr>
      <w:tr w:rsidR="00512FA6" w:rsidRPr="00CD0C16" w14:paraId="72853ADA"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64B9BA3F"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13a</w:t>
            </w:r>
          </w:p>
        </w:tc>
        <w:tc>
          <w:tcPr>
            <w:tcW w:w="5425" w:type="dxa"/>
            <w:vAlign w:val="center"/>
            <w:hideMark/>
          </w:tcPr>
          <w:p w14:paraId="442AE39F"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Participant flow (a diagram is strongly recommended)</w:t>
            </w:r>
          </w:p>
        </w:tc>
        <w:tc>
          <w:tcPr>
            <w:tcW w:w="4410" w:type="dxa"/>
            <w:vAlign w:val="center"/>
            <w:hideMark/>
          </w:tcPr>
          <w:p w14:paraId="3C6B1158"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Results – Figure 1 (CONSORT diagram)</w:t>
            </w:r>
          </w:p>
        </w:tc>
      </w:tr>
      <w:tr w:rsidR="00512FA6" w:rsidRPr="00CD0C16" w14:paraId="4773A47D"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7C2FADE2"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13b</w:t>
            </w:r>
          </w:p>
        </w:tc>
        <w:tc>
          <w:tcPr>
            <w:tcW w:w="5425" w:type="dxa"/>
            <w:vAlign w:val="center"/>
            <w:hideMark/>
          </w:tcPr>
          <w:p w14:paraId="4C2EBE7F"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Losses and exclusions after randomization, with reasons</w:t>
            </w:r>
          </w:p>
        </w:tc>
        <w:tc>
          <w:tcPr>
            <w:tcW w:w="4410" w:type="dxa"/>
            <w:vAlign w:val="center"/>
            <w:hideMark/>
          </w:tcPr>
          <w:p w14:paraId="384EF0AB"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Results – Participant Flow Description</w:t>
            </w:r>
          </w:p>
        </w:tc>
      </w:tr>
      <w:tr w:rsidR="00512FA6" w:rsidRPr="00CD0C16" w14:paraId="6506A0AC"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3A7A3D7B"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14a</w:t>
            </w:r>
          </w:p>
        </w:tc>
        <w:tc>
          <w:tcPr>
            <w:tcW w:w="5425" w:type="dxa"/>
            <w:vAlign w:val="center"/>
            <w:hideMark/>
          </w:tcPr>
          <w:p w14:paraId="7E956B00"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Dates defining recruitment and follow-up periods</w:t>
            </w:r>
          </w:p>
        </w:tc>
        <w:tc>
          <w:tcPr>
            <w:tcW w:w="4410" w:type="dxa"/>
            <w:vAlign w:val="center"/>
            <w:hideMark/>
          </w:tcPr>
          <w:p w14:paraId="4536DE9A"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Methods – Study Population (Oct 10, 2024 – May 15, 2025)</w:t>
            </w:r>
          </w:p>
        </w:tc>
      </w:tr>
      <w:tr w:rsidR="00512FA6" w:rsidRPr="00CD0C16" w14:paraId="69D98843"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4A4EC172"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14b</w:t>
            </w:r>
          </w:p>
        </w:tc>
        <w:tc>
          <w:tcPr>
            <w:tcW w:w="5425" w:type="dxa"/>
            <w:vAlign w:val="center"/>
            <w:hideMark/>
          </w:tcPr>
          <w:p w14:paraId="4A601FE2"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Why the trial ended or was stopped</w:t>
            </w:r>
          </w:p>
        </w:tc>
        <w:tc>
          <w:tcPr>
            <w:tcW w:w="4410" w:type="dxa"/>
            <w:vAlign w:val="center"/>
            <w:hideMark/>
          </w:tcPr>
          <w:p w14:paraId="64B40966"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Not applicable</w:t>
            </w:r>
          </w:p>
        </w:tc>
      </w:tr>
      <w:tr w:rsidR="00512FA6" w:rsidRPr="00CD0C16" w14:paraId="1A2AB310"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594D55FE"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lastRenderedPageBreak/>
              <w:t>15</w:t>
            </w:r>
          </w:p>
        </w:tc>
        <w:tc>
          <w:tcPr>
            <w:tcW w:w="5425" w:type="dxa"/>
            <w:vAlign w:val="center"/>
            <w:hideMark/>
          </w:tcPr>
          <w:p w14:paraId="06E8E172"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Baseline demographic and clinical characteristics for each group</w:t>
            </w:r>
          </w:p>
        </w:tc>
        <w:tc>
          <w:tcPr>
            <w:tcW w:w="4410" w:type="dxa"/>
            <w:vAlign w:val="center"/>
            <w:hideMark/>
          </w:tcPr>
          <w:p w14:paraId="2F1D82AB"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Results – Table 1</w:t>
            </w:r>
          </w:p>
        </w:tc>
      </w:tr>
      <w:tr w:rsidR="00512FA6" w:rsidRPr="00CD0C16" w14:paraId="65D1FBF9"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73243797"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16</w:t>
            </w:r>
          </w:p>
        </w:tc>
        <w:tc>
          <w:tcPr>
            <w:tcW w:w="5425" w:type="dxa"/>
            <w:vAlign w:val="center"/>
            <w:hideMark/>
          </w:tcPr>
          <w:p w14:paraId="4F758055"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Number of participants included in each analysis</w:t>
            </w:r>
          </w:p>
        </w:tc>
        <w:tc>
          <w:tcPr>
            <w:tcW w:w="4410" w:type="dxa"/>
            <w:vAlign w:val="center"/>
            <w:hideMark/>
          </w:tcPr>
          <w:p w14:paraId="69C92D0B"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Results – Analysis sections and CONSORT diagram</w:t>
            </w:r>
          </w:p>
        </w:tc>
      </w:tr>
      <w:tr w:rsidR="00512FA6" w:rsidRPr="00CD0C16" w14:paraId="694EFF77"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43BC7EC3"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17a</w:t>
            </w:r>
          </w:p>
        </w:tc>
        <w:tc>
          <w:tcPr>
            <w:tcW w:w="5425" w:type="dxa"/>
            <w:vAlign w:val="center"/>
            <w:hideMark/>
          </w:tcPr>
          <w:p w14:paraId="3157C99F"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Outcomes and estimation for each group</w:t>
            </w:r>
          </w:p>
        </w:tc>
        <w:tc>
          <w:tcPr>
            <w:tcW w:w="4410" w:type="dxa"/>
            <w:vAlign w:val="center"/>
            <w:hideMark/>
          </w:tcPr>
          <w:p w14:paraId="0FDE96E1"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Results – Tables 2, 3, 4, and 5</w:t>
            </w:r>
          </w:p>
        </w:tc>
      </w:tr>
      <w:tr w:rsidR="00512FA6" w:rsidRPr="00CD0C16" w14:paraId="748FB230"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16AB6E3F"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17b</w:t>
            </w:r>
          </w:p>
        </w:tc>
        <w:tc>
          <w:tcPr>
            <w:tcW w:w="5425" w:type="dxa"/>
            <w:vAlign w:val="center"/>
            <w:hideMark/>
          </w:tcPr>
          <w:p w14:paraId="49B11D96"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Presentation of both absolute and relative effect sizes for binary outcomes</w:t>
            </w:r>
          </w:p>
        </w:tc>
        <w:tc>
          <w:tcPr>
            <w:tcW w:w="4410" w:type="dxa"/>
            <w:vAlign w:val="center"/>
            <w:hideMark/>
          </w:tcPr>
          <w:p w14:paraId="2AC8CDE6"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Not applicable</w:t>
            </w:r>
          </w:p>
        </w:tc>
      </w:tr>
      <w:tr w:rsidR="00512FA6" w:rsidRPr="00CD0C16" w14:paraId="2C9DDBDD"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47B3E023"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18</w:t>
            </w:r>
          </w:p>
        </w:tc>
        <w:tc>
          <w:tcPr>
            <w:tcW w:w="5425" w:type="dxa"/>
            <w:vAlign w:val="center"/>
            <w:hideMark/>
          </w:tcPr>
          <w:p w14:paraId="5AAA6C90"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Results of any other analyses performed</w:t>
            </w:r>
          </w:p>
        </w:tc>
        <w:tc>
          <w:tcPr>
            <w:tcW w:w="4410" w:type="dxa"/>
            <w:vAlign w:val="center"/>
            <w:hideMark/>
          </w:tcPr>
          <w:p w14:paraId="5713C5F3"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Correlation analysis reported in Results</w:t>
            </w:r>
          </w:p>
        </w:tc>
      </w:tr>
      <w:tr w:rsidR="00512FA6" w:rsidRPr="00CD0C16" w14:paraId="653A1566"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3F0865EE"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19</w:t>
            </w:r>
          </w:p>
        </w:tc>
        <w:tc>
          <w:tcPr>
            <w:tcW w:w="5425" w:type="dxa"/>
            <w:vAlign w:val="center"/>
            <w:hideMark/>
          </w:tcPr>
          <w:p w14:paraId="403B4197"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All important harms or unintended effects in each group</w:t>
            </w:r>
          </w:p>
        </w:tc>
        <w:tc>
          <w:tcPr>
            <w:tcW w:w="4410" w:type="dxa"/>
            <w:vAlign w:val="center"/>
            <w:hideMark/>
          </w:tcPr>
          <w:p w14:paraId="3C500770"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Results – Adverse Events</w:t>
            </w:r>
          </w:p>
        </w:tc>
      </w:tr>
      <w:tr w:rsidR="00512FA6" w:rsidRPr="00CD0C16" w14:paraId="7335F47B"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0053CF5D"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20</w:t>
            </w:r>
          </w:p>
        </w:tc>
        <w:tc>
          <w:tcPr>
            <w:tcW w:w="5425" w:type="dxa"/>
            <w:vAlign w:val="center"/>
            <w:hideMark/>
          </w:tcPr>
          <w:p w14:paraId="2A46C614"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Trial limitations, addressing sources of potential bias</w:t>
            </w:r>
          </w:p>
        </w:tc>
        <w:tc>
          <w:tcPr>
            <w:tcW w:w="4410" w:type="dxa"/>
            <w:vAlign w:val="center"/>
            <w:hideMark/>
          </w:tcPr>
          <w:p w14:paraId="7829B5F2"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 xml:space="preserve">Discussion – </w:t>
            </w:r>
            <w:r w:rsidRPr="003F51EB">
              <w:rPr>
                <w:rFonts w:eastAsia="Times New Roman"/>
                <w:color w:val="000000"/>
                <w:sz w:val="22"/>
                <w:lang w:bidi="ar-SA"/>
              </w:rPr>
              <w:t>Limitation’s</w:t>
            </w:r>
            <w:r w:rsidRPr="00CD0C16">
              <w:rPr>
                <w:rFonts w:eastAsia="Times New Roman"/>
                <w:color w:val="000000"/>
                <w:sz w:val="22"/>
                <w:lang w:bidi="ar-SA"/>
              </w:rPr>
              <w:t xml:space="preserve"> paragraph</w:t>
            </w:r>
          </w:p>
        </w:tc>
      </w:tr>
      <w:tr w:rsidR="00512FA6" w:rsidRPr="00CD0C16" w14:paraId="20586450"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77F0FE5A"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21</w:t>
            </w:r>
          </w:p>
        </w:tc>
        <w:tc>
          <w:tcPr>
            <w:tcW w:w="5425" w:type="dxa"/>
            <w:vAlign w:val="center"/>
            <w:hideMark/>
          </w:tcPr>
          <w:p w14:paraId="735AC3A5"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Generalisability of the trial findings</w:t>
            </w:r>
          </w:p>
        </w:tc>
        <w:tc>
          <w:tcPr>
            <w:tcW w:w="4410" w:type="dxa"/>
            <w:vAlign w:val="center"/>
            <w:hideMark/>
          </w:tcPr>
          <w:p w14:paraId="7C108201"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Discussion – Strengths and Limitations</w:t>
            </w:r>
          </w:p>
        </w:tc>
      </w:tr>
      <w:tr w:rsidR="00512FA6" w:rsidRPr="00CD0C16" w14:paraId="58ABDCBA"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7A0D25F4"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22</w:t>
            </w:r>
          </w:p>
        </w:tc>
        <w:tc>
          <w:tcPr>
            <w:tcW w:w="5425" w:type="dxa"/>
            <w:vAlign w:val="center"/>
            <w:hideMark/>
          </w:tcPr>
          <w:p w14:paraId="6575FA20"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Interpretation consistent with results, balancing benefits and harms</w:t>
            </w:r>
          </w:p>
        </w:tc>
        <w:tc>
          <w:tcPr>
            <w:tcW w:w="4410" w:type="dxa"/>
            <w:vAlign w:val="center"/>
            <w:hideMark/>
          </w:tcPr>
          <w:p w14:paraId="7A097A75"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Discussion and Conclusion</w:t>
            </w:r>
          </w:p>
        </w:tc>
      </w:tr>
      <w:tr w:rsidR="00512FA6" w:rsidRPr="00CD0C16" w14:paraId="0C5006D7"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543FC015"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23</w:t>
            </w:r>
          </w:p>
        </w:tc>
        <w:tc>
          <w:tcPr>
            <w:tcW w:w="5425" w:type="dxa"/>
            <w:vAlign w:val="center"/>
            <w:hideMark/>
          </w:tcPr>
          <w:p w14:paraId="2CB8D0C7"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Registration number and name of trial registry</w:t>
            </w:r>
          </w:p>
        </w:tc>
        <w:tc>
          <w:tcPr>
            <w:tcW w:w="4410" w:type="dxa"/>
            <w:vAlign w:val="center"/>
            <w:hideMark/>
          </w:tcPr>
          <w:p w14:paraId="492E3264"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Trial Registration: IRCT20210811052150N1</w:t>
            </w:r>
          </w:p>
        </w:tc>
      </w:tr>
      <w:tr w:rsidR="00512FA6" w:rsidRPr="00CD0C16" w14:paraId="4E865E62"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752317C8"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24</w:t>
            </w:r>
          </w:p>
        </w:tc>
        <w:tc>
          <w:tcPr>
            <w:tcW w:w="5425" w:type="dxa"/>
            <w:vAlign w:val="center"/>
            <w:hideMark/>
          </w:tcPr>
          <w:p w14:paraId="5E543DE7"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Where the full trial protocol can be accessed</w:t>
            </w:r>
          </w:p>
        </w:tc>
        <w:tc>
          <w:tcPr>
            <w:tcW w:w="4410" w:type="dxa"/>
            <w:vAlign w:val="center"/>
            <w:hideMark/>
          </w:tcPr>
          <w:p w14:paraId="60D7B6A2"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Available from the corresponding author upon request</w:t>
            </w:r>
          </w:p>
        </w:tc>
      </w:tr>
      <w:tr w:rsidR="00512FA6" w:rsidRPr="00CD0C16" w14:paraId="798A9149" w14:textId="77777777" w:rsidTr="00676908">
        <w:trPr>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13DFC745"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25</w:t>
            </w:r>
          </w:p>
        </w:tc>
        <w:tc>
          <w:tcPr>
            <w:tcW w:w="5425" w:type="dxa"/>
            <w:vAlign w:val="center"/>
            <w:hideMark/>
          </w:tcPr>
          <w:p w14:paraId="0AEC6A9A"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Sources of funding and other support</w:t>
            </w:r>
          </w:p>
        </w:tc>
        <w:tc>
          <w:tcPr>
            <w:tcW w:w="4410" w:type="dxa"/>
            <w:vAlign w:val="center"/>
            <w:hideMark/>
          </w:tcPr>
          <w:p w14:paraId="2AC242D4" w14:textId="77777777" w:rsidR="00512FA6" w:rsidRPr="00CD0C16" w:rsidRDefault="00512FA6" w:rsidP="00007577">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Funding – No external funding</w:t>
            </w:r>
          </w:p>
        </w:tc>
      </w:tr>
      <w:tr w:rsidR="00512FA6" w:rsidRPr="00CD0C16" w14:paraId="7FACA81C" w14:textId="77777777" w:rsidTr="00676908">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960" w:type="dxa"/>
            <w:vAlign w:val="center"/>
            <w:hideMark/>
          </w:tcPr>
          <w:p w14:paraId="53F4884B" w14:textId="77777777" w:rsidR="00512FA6" w:rsidRPr="00CD0C16" w:rsidRDefault="00512FA6" w:rsidP="00007577">
            <w:pPr>
              <w:bidi w:val="0"/>
              <w:spacing w:after="0" w:line="240" w:lineRule="auto"/>
              <w:jc w:val="both"/>
              <w:rPr>
                <w:rFonts w:eastAsia="Times New Roman"/>
                <w:color w:val="000000"/>
                <w:sz w:val="22"/>
                <w:lang w:bidi="ar-SA"/>
              </w:rPr>
            </w:pPr>
            <w:r w:rsidRPr="00CD0C16">
              <w:rPr>
                <w:rFonts w:eastAsia="Times New Roman"/>
                <w:color w:val="000000"/>
                <w:sz w:val="22"/>
                <w:lang w:bidi="ar-SA"/>
              </w:rPr>
              <w:t>26</w:t>
            </w:r>
          </w:p>
        </w:tc>
        <w:tc>
          <w:tcPr>
            <w:tcW w:w="5425" w:type="dxa"/>
            <w:vAlign w:val="center"/>
            <w:hideMark/>
          </w:tcPr>
          <w:p w14:paraId="671D78F0"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Role of funders</w:t>
            </w:r>
          </w:p>
        </w:tc>
        <w:tc>
          <w:tcPr>
            <w:tcW w:w="4410" w:type="dxa"/>
            <w:vAlign w:val="center"/>
            <w:hideMark/>
          </w:tcPr>
          <w:p w14:paraId="70B58B44" w14:textId="77777777" w:rsidR="00512FA6" w:rsidRPr="00CD0C16" w:rsidRDefault="00512FA6" w:rsidP="00007577">
            <w:pPr>
              <w:bidi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olor w:val="000000"/>
                <w:sz w:val="22"/>
                <w:lang w:bidi="ar-SA"/>
              </w:rPr>
            </w:pPr>
            <w:r w:rsidRPr="00CD0C16">
              <w:rPr>
                <w:rFonts w:eastAsia="Times New Roman"/>
                <w:color w:val="000000"/>
                <w:sz w:val="22"/>
                <w:lang w:bidi="ar-SA"/>
              </w:rPr>
              <w:t>Not applicable</w:t>
            </w:r>
          </w:p>
        </w:tc>
      </w:tr>
    </w:tbl>
    <w:p w14:paraId="33AD2A78" w14:textId="222FA0A5" w:rsidR="00512FA6" w:rsidRDefault="00512FA6" w:rsidP="00007577">
      <w:pPr>
        <w:bidi w:val="0"/>
        <w:jc w:val="both"/>
        <w:rPr>
          <w:rFonts w:asciiTheme="minorHAnsi" w:hAnsiTheme="minorHAnsi"/>
        </w:rPr>
      </w:pPr>
    </w:p>
    <w:p w14:paraId="1832949D" w14:textId="77777777" w:rsidR="00512FA6" w:rsidRDefault="00512FA6" w:rsidP="00007577">
      <w:pPr>
        <w:bidi w:val="0"/>
        <w:spacing w:after="160" w:line="259" w:lineRule="auto"/>
        <w:jc w:val="both"/>
        <w:rPr>
          <w:rFonts w:asciiTheme="minorHAnsi" w:hAnsiTheme="minorHAnsi"/>
        </w:rPr>
      </w:pPr>
      <w:r>
        <w:rPr>
          <w:rFonts w:asciiTheme="minorHAnsi" w:hAnsiTheme="minorHAnsi"/>
        </w:rPr>
        <w:br w:type="page"/>
      </w:r>
    </w:p>
    <w:p w14:paraId="76B8BC5B" w14:textId="78F59814" w:rsidR="00512FA6" w:rsidRPr="00512FA6" w:rsidRDefault="00512FA6" w:rsidP="00007577">
      <w:pPr>
        <w:bidi w:val="0"/>
        <w:jc w:val="both"/>
        <w:rPr>
          <w:b/>
          <w:bCs/>
        </w:rPr>
      </w:pPr>
      <w:r w:rsidRPr="00512FA6">
        <w:rPr>
          <w:b/>
          <w:bCs/>
        </w:rPr>
        <w:lastRenderedPageBreak/>
        <w:t>Sample Size Determination and Power Analysis</w:t>
      </w:r>
    </w:p>
    <w:p w14:paraId="3E345145" w14:textId="43CB1979" w:rsidR="00512FA6" w:rsidRPr="00512FA6" w:rsidRDefault="00512FA6" w:rsidP="00007577">
      <w:pPr>
        <w:bidi w:val="0"/>
        <w:jc w:val="both"/>
        <w:rPr>
          <w:rFonts w:eastAsia="Times New Roman"/>
          <w:lang w:bidi="ar-SA"/>
        </w:rPr>
      </w:pPr>
      <w:r w:rsidRPr="00512FA6">
        <w:rPr>
          <w:rFonts w:eastAsia="Times New Roman"/>
          <w:lang w:bidi="ar-SA"/>
        </w:rPr>
        <w:t>The primary aim of the sample size calculation was to ensure sufficient power to detect a moderate treatment effect between two independent groups on key liver markers (such as ALT and FIB-4). A two-sided test with α = 0.05 was planned within a randomized controlled trial with two arms and equal allocation (1:1). The expected effect was expressed as a standardized mean difference (Cohen’s d</w:t>
      </w:r>
      <w:r w:rsidR="0058385F">
        <w:rPr>
          <w:rFonts w:eastAsia="Times New Roman"/>
          <w:lang w:bidi="ar-SA"/>
        </w:rPr>
        <w:t xml:space="preserve"> </w:t>
      </w:r>
      <w:r w:rsidR="0058385F">
        <w:rPr>
          <w:rFonts w:eastAsia="Times New Roman"/>
          <w:lang w:bidi="ar-SA"/>
        </w:rPr>
        <w:fldChar w:fldCharType="begin"/>
      </w:r>
      <w:r w:rsidR="0058385F">
        <w:rPr>
          <w:rFonts w:eastAsia="Times New Roman"/>
          <w:lang w:bidi="ar-SA"/>
        </w:rPr>
        <w:instrText xml:space="preserve"> ADDIN EN.CITE &lt;EndNote&gt;&lt;Cite&gt;&lt;Author&gt;Cohen&lt;/Author&gt;&lt;Year&gt;2013&lt;/Year&gt;&lt;RecNum&gt;35&lt;/RecNum&gt;&lt;DisplayText&gt;(1)&lt;/DisplayText&gt;&lt;record&gt;&lt;rec-number&gt;35&lt;/rec-number&gt;&lt;foreign-keys&gt;&lt;key app="EN" db-id="5res9rwvnxdpvmevwr5pz05xazpxpvts9sep" timestamp="1757947668"&gt;35&lt;/key&gt;&lt;/foreign-keys&gt;&lt;ref-type name="Book"&gt;6&lt;/ref-type&gt;&lt;contributors&gt;&lt;authors&gt;&lt;author&gt;Cohen, Jacob&lt;/author&gt;&lt;/authors&gt;&lt;/contributors&gt;&lt;titles&gt;&lt;title&gt;Statistical power analysis for the behavioral sciences&lt;/title&gt;&lt;/titles&gt;&lt;dates&gt;&lt;year&gt;2013&lt;/year&gt;&lt;/dates&gt;&lt;publisher&gt;routledge&lt;/publisher&gt;&lt;isbn&gt;0203771583&lt;/isbn&gt;&lt;urls&gt;&lt;/urls&gt;&lt;/record&gt;&lt;/Cite&gt;&lt;/EndNote&gt;</w:instrText>
      </w:r>
      <w:r w:rsidR="0058385F">
        <w:rPr>
          <w:rFonts w:eastAsia="Times New Roman"/>
          <w:lang w:bidi="ar-SA"/>
        </w:rPr>
        <w:fldChar w:fldCharType="separate"/>
      </w:r>
      <w:r w:rsidR="0058385F">
        <w:rPr>
          <w:rFonts w:eastAsia="Times New Roman"/>
          <w:noProof/>
          <w:lang w:bidi="ar-SA"/>
        </w:rPr>
        <w:t>(1)</w:t>
      </w:r>
      <w:r w:rsidR="0058385F">
        <w:rPr>
          <w:rFonts w:eastAsia="Times New Roman"/>
          <w:lang w:bidi="ar-SA"/>
        </w:rPr>
        <w:fldChar w:fldCharType="end"/>
      </w:r>
      <w:r w:rsidRPr="00512FA6">
        <w:rPr>
          <w:rFonts w:eastAsia="Times New Roman"/>
          <w:lang w:bidi="ar-SA"/>
        </w:rPr>
        <w:t>).</w:t>
      </w:r>
    </w:p>
    <w:p w14:paraId="781E8B9F" w14:textId="77777777" w:rsidR="00512FA6" w:rsidRPr="00512FA6" w:rsidRDefault="00512FA6" w:rsidP="00007577">
      <w:pPr>
        <w:bidi w:val="0"/>
        <w:jc w:val="both"/>
        <w:rPr>
          <w:rFonts w:eastAsia="Times New Roman"/>
          <w:lang w:bidi="ar-SA"/>
        </w:rPr>
      </w:pPr>
      <w:r w:rsidRPr="00512FA6">
        <w:rPr>
          <w:rFonts w:eastAsia="Times New Roman"/>
          <w:lang w:bidi="ar-SA"/>
        </w:rPr>
        <w:t>Assumptions</w:t>
      </w:r>
    </w:p>
    <w:p w14:paraId="46DF3E82" w14:textId="77777777" w:rsidR="00512FA6" w:rsidRPr="00512FA6" w:rsidRDefault="00512FA6" w:rsidP="00007577">
      <w:pPr>
        <w:pStyle w:val="ListParagraph"/>
        <w:numPr>
          <w:ilvl w:val="0"/>
          <w:numId w:val="2"/>
        </w:numPr>
        <w:bidi w:val="0"/>
        <w:jc w:val="both"/>
        <w:rPr>
          <w:rFonts w:eastAsia="Times New Roman"/>
          <w:lang w:bidi="ar-SA"/>
        </w:rPr>
      </w:pPr>
      <w:r w:rsidRPr="00512FA6">
        <w:rPr>
          <w:rFonts w:eastAsia="Times New Roman"/>
          <w:lang w:bidi="ar-SA"/>
        </w:rPr>
        <w:t>Two independent groups with approximately equal variance.</w:t>
      </w:r>
    </w:p>
    <w:p w14:paraId="7D6DE2DB" w14:textId="77777777" w:rsidR="00512FA6" w:rsidRPr="00512FA6" w:rsidRDefault="00512FA6" w:rsidP="00007577">
      <w:pPr>
        <w:pStyle w:val="ListParagraph"/>
        <w:numPr>
          <w:ilvl w:val="0"/>
          <w:numId w:val="2"/>
        </w:numPr>
        <w:bidi w:val="0"/>
        <w:jc w:val="both"/>
        <w:rPr>
          <w:rFonts w:eastAsia="Times New Roman"/>
          <w:lang w:bidi="ar-SA"/>
        </w:rPr>
      </w:pPr>
      <w:r w:rsidRPr="00512FA6">
        <w:rPr>
          <w:rFonts w:eastAsia="Times New Roman"/>
          <w:lang w:bidi="ar-SA"/>
        </w:rPr>
        <w:t>Approximate normality of outcomes or adequate sample size for central limit theorem.</w:t>
      </w:r>
    </w:p>
    <w:p w14:paraId="7BA4DF65" w14:textId="77777777" w:rsidR="00512FA6" w:rsidRPr="00512FA6" w:rsidRDefault="00512FA6" w:rsidP="00007577">
      <w:pPr>
        <w:pStyle w:val="ListParagraph"/>
        <w:numPr>
          <w:ilvl w:val="0"/>
          <w:numId w:val="2"/>
        </w:numPr>
        <w:bidi w:val="0"/>
        <w:jc w:val="both"/>
        <w:rPr>
          <w:rFonts w:eastAsia="Times New Roman"/>
          <w:lang w:bidi="ar-SA"/>
        </w:rPr>
      </w:pPr>
      <w:r w:rsidRPr="00512FA6">
        <w:rPr>
          <w:rFonts w:eastAsia="Times New Roman"/>
          <w:lang w:bidi="ar-SA"/>
        </w:rPr>
        <w:t>Two-sided hypothesis test with α = 0.05.</w:t>
      </w:r>
    </w:p>
    <w:p w14:paraId="7F1B1EFF" w14:textId="77777777" w:rsidR="00512FA6" w:rsidRPr="00512FA6" w:rsidRDefault="00512FA6" w:rsidP="00007577">
      <w:pPr>
        <w:pStyle w:val="ListParagraph"/>
        <w:numPr>
          <w:ilvl w:val="0"/>
          <w:numId w:val="2"/>
        </w:numPr>
        <w:bidi w:val="0"/>
        <w:jc w:val="both"/>
        <w:rPr>
          <w:rFonts w:eastAsia="Times New Roman"/>
          <w:lang w:bidi="ar-SA"/>
        </w:rPr>
      </w:pPr>
      <w:r w:rsidRPr="00512FA6">
        <w:rPr>
          <w:rFonts w:eastAsia="Times New Roman"/>
          <w:lang w:bidi="ar-SA"/>
        </w:rPr>
        <w:t>Target power of 80% to detect d = 0.50 (a moderate effect).</w:t>
      </w:r>
    </w:p>
    <w:p w14:paraId="4E811FD6" w14:textId="77777777" w:rsidR="00512FA6" w:rsidRPr="00512FA6" w:rsidRDefault="00512FA6" w:rsidP="00007577">
      <w:pPr>
        <w:pStyle w:val="ListParagraph"/>
        <w:numPr>
          <w:ilvl w:val="0"/>
          <w:numId w:val="2"/>
        </w:numPr>
        <w:bidi w:val="0"/>
        <w:jc w:val="both"/>
        <w:rPr>
          <w:rFonts w:eastAsia="Times New Roman"/>
          <w:lang w:bidi="ar-SA"/>
        </w:rPr>
      </w:pPr>
      <w:r w:rsidRPr="00512FA6">
        <w:rPr>
          <w:rFonts w:eastAsia="Times New Roman"/>
          <w:lang w:bidi="ar-SA"/>
        </w:rPr>
        <w:t>Equal allocation at baseline with allowance for 10% attrition.</w:t>
      </w:r>
    </w:p>
    <w:p w14:paraId="3DEB582E" w14:textId="6AF051E0" w:rsidR="00512FA6" w:rsidRDefault="00512FA6" w:rsidP="00007577">
      <w:pPr>
        <w:bidi w:val="0"/>
        <w:jc w:val="both"/>
        <w:rPr>
          <w:rFonts w:eastAsia="Times New Roman"/>
          <w:lang w:bidi="ar-SA"/>
        </w:rPr>
      </w:pPr>
      <w:r w:rsidRPr="00512FA6">
        <w:rPr>
          <w:rFonts w:eastAsia="Times New Roman"/>
          <w:b/>
          <w:bCs/>
          <w:lang w:bidi="ar-SA"/>
        </w:rPr>
        <w:t>Formula for Two-Group Comparison (Cohen’s d):</w:t>
      </w:r>
      <w:r>
        <w:rPr>
          <w:rFonts w:eastAsia="Times New Roman"/>
          <w:lang w:bidi="ar-SA"/>
        </w:rPr>
        <w:t xml:space="preserve"> </w:t>
      </w:r>
      <w:r w:rsidRPr="00512FA6">
        <w:rPr>
          <w:rFonts w:eastAsia="Times New Roman"/>
          <w:lang w:bidi="ar-SA"/>
        </w:rPr>
        <w:t>For an independent samples t-test with standardized mean difference d</w:t>
      </w:r>
      <w:r w:rsidR="0058385F">
        <w:rPr>
          <w:rFonts w:eastAsia="Times New Roman"/>
          <w:lang w:bidi="ar-SA"/>
        </w:rPr>
        <w:t xml:space="preserve"> </w:t>
      </w:r>
      <w:r w:rsidR="0058385F">
        <w:rPr>
          <w:rFonts w:eastAsia="Times New Roman"/>
          <w:lang w:bidi="ar-SA"/>
        </w:rPr>
        <w:fldChar w:fldCharType="begin"/>
      </w:r>
      <w:r w:rsidR="0058385F">
        <w:rPr>
          <w:rFonts w:eastAsia="Times New Roman"/>
          <w:lang w:bidi="ar-SA"/>
        </w:rPr>
        <w:instrText xml:space="preserve"> ADDIN EN.CITE &lt;EndNote&gt;&lt;Cite&gt;&lt;Author&gt;Chow&lt;/Author&gt;&lt;Year&gt;2017&lt;/Year&gt;&lt;RecNum&gt;36&lt;/RecNum&gt;&lt;DisplayText&gt;(2)&lt;/DisplayText&gt;&lt;record&gt;&lt;rec-number&gt;36&lt;/rec-number&gt;&lt;foreign-keys&gt;&lt;key app="EN" db-id="5res9rwvnxdpvmevwr5pz05xazpxpvts9sep" timestamp="1757947692"&gt;36&lt;/key&gt;&lt;/foreign-keys&gt;&lt;ref-type name="Book"&gt;6&lt;/ref-type&gt;&lt;contributors&gt;&lt;authors&gt;&lt;author&gt;Chow, Shein-Chung&lt;/author&gt;&lt;author&gt;Shao, Jun&lt;/author&gt;&lt;author&gt;Wang, Hansheng&lt;/author&gt;&lt;author&gt;Lokhnygina, Yuliya&lt;/author&gt;&lt;/authors&gt;&lt;/contributors&gt;&lt;titles&gt;&lt;title&gt;Sample size calculations in clinical research&lt;/title&gt;&lt;/titles&gt;&lt;dates&gt;&lt;year&gt;2017&lt;/year&gt;&lt;/dates&gt;&lt;publisher&gt;chapman and hall/CRC&lt;/publisher&gt;&lt;isbn&gt;1315183080&lt;/isbn&gt;&lt;urls&gt;&lt;/urls&gt;&lt;/record&gt;&lt;/Cite&gt;&lt;/EndNote&gt;</w:instrText>
      </w:r>
      <w:r w:rsidR="0058385F">
        <w:rPr>
          <w:rFonts w:eastAsia="Times New Roman"/>
          <w:lang w:bidi="ar-SA"/>
        </w:rPr>
        <w:fldChar w:fldCharType="separate"/>
      </w:r>
      <w:r w:rsidR="0058385F">
        <w:rPr>
          <w:rFonts w:eastAsia="Times New Roman"/>
          <w:noProof/>
          <w:lang w:bidi="ar-SA"/>
        </w:rPr>
        <w:t>(2)</w:t>
      </w:r>
      <w:r w:rsidR="0058385F">
        <w:rPr>
          <w:rFonts w:eastAsia="Times New Roman"/>
          <w:lang w:bidi="ar-SA"/>
        </w:rPr>
        <w:fldChar w:fldCharType="end"/>
      </w:r>
      <w:r w:rsidRPr="00512FA6">
        <w:rPr>
          <w:rFonts w:eastAsia="Times New Roman"/>
          <w:lang w:bidi="ar-SA"/>
        </w:rPr>
        <w:t>:</w:t>
      </w:r>
    </w:p>
    <w:p w14:paraId="2C63BF14" w14:textId="71982152" w:rsidR="00512FA6" w:rsidRPr="00512FA6" w:rsidRDefault="00931913" w:rsidP="00007577">
      <w:pPr>
        <w:bidi w:val="0"/>
        <w:jc w:val="both"/>
        <w:rPr>
          <w:rFonts w:eastAsia="Times New Roman"/>
          <w:lang w:bidi="ar-SA"/>
        </w:rPr>
      </w:pPr>
      <m:oMathPara>
        <m:oMath>
          <m:sSub>
            <m:sSubPr>
              <m:ctrlPr>
                <w:rPr>
                  <w:rFonts w:ascii="Cambria Math" w:eastAsia="Times New Roman" w:hAnsi="Cambria Math"/>
                  <w:i/>
                  <w:lang w:bidi="ar-SA"/>
                </w:rPr>
              </m:ctrlPr>
            </m:sSubPr>
            <m:e>
              <m:r>
                <w:rPr>
                  <w:rFonts w:ascii="Cambria Math" w:eastAsia="Times New Roman" w:hAnsi="Cambria Math"/>
                  <w:lang w:bidi="ar-SA"/>
                </w:rPr>
                <m:t>n</m:t>
              </m:r>
            </m:e>
            <m:sub>
              <m:r>
                <w:rPr>
                  <w:rFonts w:ascii="Cambria Math" w:eastAsia="Times New Roman" w:hAnsi="Cambria Math"/>
                  <w:lang w:bidi="ar-SA"/>
                </w:rPr>
                <m:t>per group</m:t>
              </m:r>
            </m:sub>
          </m:sSub>
          <m:r>
            <w:rPr>
              <w:rFonts w:ascii="Cambria Math" w:eastAsia="Times New Roman" w:hAnsi="Cambria Math"/>
              <w:lang w:bidi="ar-SA"/>
            </w:rPr>
            <m:t xml:space="preserve">= </m:t>
          </m:r>
          <m:f>
            <m:fPr>
              <m:ctrlPr>
                <w:rPr>
                  <w:rFonts w:ascii="Cambria Math" w:eastAsia="Times New Roman" w:hAnsi="Cambria Math"/>
                  <w:i/>
                  <w:lang w:bidi="ar-SA"/>
                </w:rPr>
              </m:ctrlPr>
            </m:fPr>
            <m:num>
              <m:r>
                <w:rPr>
                  <w:rFonts w:ascii="Cambria Math" w:eastAsia="Times New Roman" w:hAnsi="Cambria Math"/>
                  <w:lang w:bidi="ar-SA"/>
                </w:rPr>
                <m:t>2×</m:t>
              </m:r>
              <m:sSup>
                <m:sSupPr>
                  <m:ctrlPr>
                    <w:rPr>
                      <w:rFonts w:ascii="Cambria Math" w:eastAsia="Times New Roman" w:hAnsi="Cambria Math"/>
                      <w:i/>
                      <w:lang w:bidi="ar-SA"/>
                    </w:rPr>
                  </m:ctrlPr>
                </m:sSupPr>
                <m:e>
                  <m:r>
                    <w:rPr>
                      <w:rFonts w:ascii="Cambria Math" w:eastAsia="Times New Roman" w:hAnsi="Cambria Math"/>
                      <w:lang w:bidi="ar-SA"/>
                    </w:rPr>
                    <m:t>(</m:t>
                  </m:r>
                  <m:sSub>
                    <m:sSubPr>
                      <m:ctrlPr>
                        <w:rPr>
                          <w:rFonts w:ascii="Cambria Math" w:eastAsia="Times New Roman" w:hAnsi="Cambria Math"/>
                          <w:i/>
                          <w:lang w:bidi="ar-SA"/>
                        </w:rPr>
                      </m:ctrlPr>
                    </m:sSubPr>
                    <m:e>
                      <m:r>
                        <w:rPr>
                          <w:rFonts w:ascii="Cambria Math" w:eastAsia="Times New Roman" w:hAnsi="Cambria Math"/>
                          <w:lang w:bidi="ar-SA"/>
                        </w:rPr>
                        <m:t>Z</m:t>
                      </m:r>
                    </m:e>
                    <m:sub>
                      <m:r>
                        <w:rPr>
                          <w:rFonts w:ascii="Cambria Math" w:eastAsia="Times New Roman" w:hAnsi="Cambria Math"/>
                          <w:lang w:bidi="ar-SA"/>
                        </w:rPr>
                        <m:t>1-</m:t>
                      </m:r>
                      <m:f>
                        <m:fPr>
                          <m:ctrlPr>
                            <w:rPr>
                              <w:rFonts w:ascii="Cambria Math" w:eastAsia="Times New Roman" w:hAnsi="Cambria Math"/>
                              <w:i/>
                              <w:lang w:bidi="ar-SA"/>
                            </w:rPr>
                          </m:ctrlPr>
                        </m:fPr>
                        <m:num>
                          <m:r>
                            <w:rPr>
                              <w:rFonts w:ascii="Cambria Math" w:eastAsia="Times New Roman" w:hAnsi="Cambria Math"/>
                              <w:lang w:bidi="ar-SA"/>
                            </w:rPr>
                            <m:t>α</m:t>
                          </m:r>
                        </m:num>
                        <m:den>
                          <m:r>
                            <w:rPr>
                              <w:rFonts w:ascii="Cambria Math" w:eastAsia="Times New Roman" w:hAnsi="Cambria Math"/>
                              <w:lang w:bidi="ar-SA"/>
                            </w:rPr>
                            <m:t>2</m:t>
                          </m:r>
                        </m:den>
                      </m:f>
                    </m:sub>
                  </m:sSub>
                  <m:r>
                    <w:rPr>
                      <w:rFonts w:ascii="Cambria Math" w:eastAsia="Times New Roman" w:hAnsi="Cambria Math"/>
                      <w:lang w:bidi="ar-SA"/>
                    </w:rPr>
                    <m:t>+</m:t>
                  </m:r>
                  <m:sSub>
                    <m:sSubPr>
                      <m:ctrlPr>
                        <w:rPr>
                          <w:rFonts w:ascii="Cambria Math" w:eastAsia="Times New Roman" w:hAnsi="Cambria Math"/>
                          <w:i/>
                          <w:lang w:bidi="ar-SA"/>
                        </w:rPr>
                      </m:ctrlPr>
                    </m:sSubPr>
                    <m:e>
                      <m:r>
                        <w:rPr>
                          <w:rFonts w:ascii="Cambria Math" w:eastAsia="Times New Roman" w:hAnsi="Cambria Math"/>
                          <w:lang w:bidi="ar-SA"/>
                        </w:rPr>
                        <m:t>Z</m:t>
                      </m:r>
                    </m:e>
                    <m:sub>
                      <m:r>
                        <w:rPr>
                          <w:rFonts w:ascii="Cambria Math" w:eastAsia="Times New Roman" w:hAnsi="Cambria Math"/>
                          <w:lang w:bidi="ar-SA"/>
                        </w:rPr>
                        <m:t>1-β</m:t>
                      </m:r>
                    </m:sub>
                  </m:sSub>
                  <m:r>
                    <w:rPr>
                      <w:rFonts w:ascii="Cambria Math" w:eastAsia="Times New Roman" w:hAnsi="Cambria Math"/>
                      <w:lang w:bidi="ar-SA"/>
                    </w:rPr>
                    <m:t>)</m:t>
                  </m:r>
                </m:e>
                <m:sup>
                  <m:r>
                    <w:rPr>
                      <w:rFonts w:ascii="Cambria Math" w:eastAsia="Times New Roman" w:hAnsi="Cambria Math"/>
                      <w:lang w:bidi="ar-SA"/>
                    </w:rPr>
                    <m:t>2</m:t>
                  </m:r>
                </m:sup>
              </m:sSup>
            </m:num>
            <m:den>
              <m:sSup>
                <m:sSupPr>
                  <m:ctrlPr>
                    <w:rPr>
                      <w:rFonts w:ascii="Cambria Math" w:eastAsia="Times New Roman" w:hAnsi="Cambria Math"/>
                      <w:i/>
                      <w:lang w:bidi="ar-SA"/>
                    </w:rPr>
                  </m:ctrlPr>
                </m:sSupPr>
                <m:e>
                  <m:r>
                    <w:rPr>
                      <w:rFonts w:ascii="Cambria Math" w:eastAsia="Times New Roman" w:hAnsi="Cambria Math"/>
                      <w:lang w:bidi="ar-SA"/>
                    </w:rPr>
                    <m:t>d</m:t>
                  </m:r>
                </m:e>
                <m:sup>
                  <m:r>
                    <w:rPr>
                      <w:rFonts w:ascii="Cambria Math" w:eastAsia="Times New Roman" w:hAnsi="Cambria Math"/>
                      <w:lang w:bidi="ar-SA"/>
                    </w:rPr>
                    <m:t>2</m:t>
                  </m:r>
                </m:sup>
              </m:sSup>
            </m:den>
          </m:f>
        </m:oMath>
      </m:oMathPara>
    </w:p>
    <w:p w14:paraId="00D840D7" w14:textId="7BA82342" w:rsidR="00512FA6" w:rsidRDefault="00512FA6" w:rsidP="00007577">
      <w:pPr>
        <w:bidi w:val="0"/>
        <w:jc w:val="both"/>
        <w:rPr>
          <w:lang w:bidi="ar-SA"/>
        </w:rPr>
      </w:pPr>
      <w:r>
        <w:t xml:space="preserve">Where </w:t>
      </w:r>
      <m:oMath>
        <m:sSub>
          <m:sSubPr>
            <m:ctrlPr>
              <w:rPr>
                <w:rFonts w:ascii="Cambria Math" w:eastAsia="Times New Roman" w:hAnsi="Cambria Math"/>
                <w:i/>
                <w:lang w:bidi="ar-SA"/>
              </w:rPr>
            </m:ctrlPr>
          </m:sSubPr>
          <m:e>
            <m:r>
              <w:rPr>
                <w:rFonts w:ascii="Cambria Math" w:eastAsia="Times New Roman" w:hAnsi="Cambria Math"/>
                <w:lang w:bidi="ar-SA"/>
              </w:rPr>
              <m:t>Z</m:t>
            </m:r>
          </m:e>
          <m:sub>
            <m:r>
              <w:rPr>
                <w:rFonts w:ascii="Cambria Math" w:eastAsia="Times New Roman" w:hAnsi="Cambria Math"/>
                <w:lang w:bidi="ar-SA"/>
              </w:rPr>
              <m:t>1-</m:t>
            </m:r>
            <m:f>
              <m:fPr>
                <m:ctrlPr>
                  <w:rPr>
                    <w:rFonts w:ascii="Cambria Math" w:eastAsia="Times New Roman" w:hAnsi="Cambria Math"/>
                    <w:i/>
                    <w:lang w:bidi="ar-SA"/>
                  </w:rPr>
                </m:ctrlPr>
              </m:fPr>
              <m:num>
                <m:r>
                  <w:rPr>
                    <w:rFonts w:ascii="Cambria Math" w:eastAsia="Times New Roman" w:hAnsi="Cambria Math"/>
                    <w:lang w:bidi="ar-SA"/>
                  </w:rPr>
                  <m:t>α</m:t>
                </m:r>
              </m:num>
              <m:den>
                <m:r>
                  <w:rPr>
                    <w:rFonts w:ascii="Cambria Math" w:eastAsia="Times New Roman" w:hAnsi="Cambria Math"/>
                    <w:lang w:bidi="ar-SA"/>
                  </w:rPr>
                  <m:t>2</m:t>
                </m:r>
              </m:den>
            </m:f>
          </m:sub>
        </m:sSub>
      </m:oMath>
      <w:r>
        <w:rPr>
          <w:lang w:bidi="ar-SA"/>
        </w:rPr>
        <w:t xml:space="preserve"> = 1.96 for alpha = 0.05 and </w:t>
      </w:r>
      <m:oMath>
        <m:sSub>
          <m:sSubPr>
            <m:ctrlPr>
              <w:rPr>
                <w:rFonts w:ascii="Cambria Math" w:eastAsia="Times New Roman" w:hAnsi="Cambria Math"/>
                <w:i/>
                <w:lang w:bidi="ar-SA"/>
              </w:rPr>
            </m:ctrlPr>
          </m:sSubPr>
          <m:e>
            <m:r>
              <w:rPr>
                <w:rFonts w:ascii="Cambria Math" w:eastAsia="Times New Roman" w:hAnsi="Cambria Math"/>
                <w:lang w:bidi="ar-SA"/>
              </w:rPr>
              <m:t>Z</m:t>
            </m:r>
          </m:e>
          <m:sub>
            <m:r>
              <w:rPr>
                <w:rFonts w:ascii="Cambria Math" w:eastAsia="Times New Roman" w:hAnsi="Cambria Math"/>
                <w:lang w:bidi="ar-SA"/>
              </w:rPr>
              <m:t>1-β</m:t>
            </m:r>
          </m:sub>
        </m:sSub>
      </m:oMath>
      <w:r>
        <w:rPr>
          <w:lang w:bidi="ar-SA"/>
        </w:rPr>
        <w:t xml:space="preserve"> = 0.84 for 80% power.</w:t>
      </w:r>
    </w:p>
    <w:p w14:paraId="7C5D8E23" w14:textId="2C165390" w:rsidR="00512FA6" w:rsidRDefault="00007577" w:rsidP="00007577">
      <w:pPr>
        <w:bidi w:val="0"/>
        <w:jc w:val="both"/>
        <w:rPr>
          <w:rStyle w:val="mord"/>
        </w:rPr>
      </w:pPr>
      <w:r>
        <w:rPr>
          <w:rStyle w:val="mord"/>
        </w:rPr>
        <w:t>After substitution → n = 63 participants per group</w:t>
      </w:r>
    </w:p>
    <w:p w14:paraId="6F908C9B" w14:textId="7FADA931" w:rsidR="00007577" w:rsidRDefault="00007577" w:rsidP="00007577">
      <w:pPr>
        <w:bidi w:val="0"/>
        <w:jc w:val="both"/>
      </w:pPr>
      <w:r w:rsidRPr="00007577">
        <w:t>Allowing for ~10% attrition, the target enrollment was ≥70 per group (≥140 total). This was also consistent with the empirical sample size used in the RCT by Chehrehgosha et al. (2021), which enrolled ~70 patients per arm and observed clinically meaningful improvements in liver steatosis and fibrosis with empagliflozin. Our calculation was conducted independently but aligned with these prior findings.</w:t>
      </w:r>
    </w:p>
    <w:p w14:paraId="4440ADA5" w14:textId="198DB552" w:rsidR="00007577" w:rsidRDefault="00007577" w:rsidP="00007577">
      <w:pPr>
        <w:bidi w:val="0"/>
        <w:jc w:val="both"/>
        <w:rPr>
          <w:b/>
          <w:bCs/>
        </w:rPr>
      </w:pPr>
      <w:r w:rsidRPr="00007577">
        <w:rPr>
          <w:b/>
          <w:bCs/>
        </w:rPr>
        <w:t>Actual Enrollment and Realized Power</w:t>
      </w:r>
    </w:p>
    <w:p w14:paraId="6EA5A503" w14:textId="3093C989" w:rsidR="00007577" w:rsidRPr="00007577" w:rsidRDefault="00007577" w:rsidP="00007577">
      <w:pPr>
        <w:bidi w:val="0"/>
        <w:jc w:val="both"/>
      </w:pPr>
      <w:r w:rsidRPr="00007577">
        <w:lastRenderedPageBreak/>
        <w:t>A total of 143 participants were enrolled: 72 in the intervention arm and 71 in the control arm. After attrition, the final analyzed sample sizes were 69 in the intervention group and 50 in the control group</w:t>
      </w:r>
      <w:r w:rsidRPr="00007577">
        <w:rPr>
          <w:rtl/>
        </w:rPr>
        <w:t>.</w:t>
      </w:r>
    </w:p>
    <w:p w14:paraId="6C71D39E" w14:textId="30A74737" w:rsidR="00007577" w:rsidRDefault="00007577" w:rsidP="00007577">
      <w:pPr>
        <w:bidi w:val="0"/>
        <w:jc w:val="both"/>
      </w:pPr>
      <w:r w:rsidRPr="00007577">
        <w:t>Using the noncentral t approximation:</w:t>
      </w:r>
    </w:p>
    <w:p w14:paraId="1C63D689" w14:textId="3330F331" w:rsidR="00007577" w:rsidRPr="00007577" w:rsidRDefault="00007577" w:rsidP="00007577">
      <w:pPr>
        <w:bidi w:val="0"/>
        <w:jc w:val="both"/>
      </w:pPr>
      <m:oMathPara>
        <m:oMath>
          <m:r>
            <w:rPr>
              <w:rFonts w:ascii="Cambria Math" w:hAnsi="Cambria Math"/>
            </w:rPr>
            <m:t>δ=</m:t>
          </m:r>
          <m:f>
            <m:fPr>
              <m:ctrlPr>
                <w:rPr>
                  <w:rFonts w:ascii="Cambria Math" w:hAnsi="Cambria Math"/>
                  <w:i/>
                </w:rPr>
              </m:ctrlPr>
            </m:fPr>
            <m:num>
              <m:r>
                <w:rPr>
                  <w:rFonts w:ascii="Cambria Math" w:hAnsi="Cambria Math"/>
                </w:rPr>
                <m:t>d</m:t>
              </m:r>
            </m:num>
            <m:den>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2</m:t>
                          </m:r>
                        </m:sub>
                      </m:sSub>
                    </m:den>
                  </m:f>
                </m:e>
              </m:rad>
            </m:den>
          </m:f>
        </m:oMath>
      </m:oMathPara>
    </w:p>
    <w:p w14:paraId="77EE660E" w14:textId="78B709F7" w:rsidR="00007577" w:rsidRDefault="00007577" w:rsidP="00007577">
      <w:pPr>
        <w:bidi w:val="0"/>
        <w:jc w:val="both"/>
      </w:pPr>
      <w:r>
        <w:t>where</w:t>
      </w:r>
      <w:r w:rsidRPr="00007577">
        <w:rPr>
          <w:rFonts w:ascii="Cambria Math" w:hAnsi="Cambria Math"/>
          <w:i/>
        </w:rPr>
        <w:t xml:space="preserve"> </w:t>
      </w:r>
      <m:oMath>
        <m:r>
          <w:rPr>
            <w:rFonts w:ascii="Cambria Math" w:hAnsi="Cambria Math"/>
          </w:rPr>
          <m:t>δ</m:t>
        </m:r>
      </m:oMath>
      <w:r>
        <w:t xml:space="preserve"> is the non-centrality parameter.</w:t>
      </w:r>
    </w:p>
    <w:p w14:paraId="7A0ABE12" w14:textId="2C60EBD5" w:rsidR="00007577" w:rsidRPr="00007577" w:rsidRDefault="00007577" w:rsidP="00007577">
      <w:pPr>
        <w:bidi w:val="0"/>
        <w:spacing w:before="100" w:beforeAutospacing="1" w:after="100" w:afterAutospacing="1" w:line="240" w:lineRule="auto"/>
        <w:jc w:val="left"/>
        <w:rPr>
          <w:rFonts w:eastAsia="Times New Roman"/>
          <w:lang w:bidi="ar-SA"/>
        </w:rPr>
      </w:pPr>
      <w:r w:rsidRPr="00007577">
        <w:rPr>
          <w:rFonts w:eastAsia="Times New Roman" w:hAnsi="Symbol"/>
          <w:lang w:bidi="ar-SA"/>
        </w:rPr>
        <w:t></w:t>
      </w:r>
      <w:r w:rsidRPr="00007577">
        <w:rPr>
          <w:rFonts w:eastAsia="Times New Roman"/>
          <w:lang w:bidi="ar-SA"/>
        </w:rPr>
        <w:t xml:space="preserve"> For d=0.50: power ≈ </w:t>
      </w:r>
      <w:r w:rsidRPr="00007577">
        <w:rPr>
          <w:rFonts w:eastAsia="Times New Roman"/>
          <w:b/>
          <w:bCs/>
          <w:lang w:bidi="ar-SA"/>
        </w:rPr>
        <w:t>0.77</w:t>
      </w:r>
      <w:r w:rsidRPr="00007577">
        <w:rPr>
          <w:rFonts w:eastAsia="Times New Roman"/>
          <w:lang w:bidi="ar-SA"/>
        </w:rPr>
        <w:t xml:space="preserve"> (77%).</w:t>
      </w:r>
    </w:p>
    <w:p w14:paraId="092AA471" w14:textId="604BBCD7" w:rsidR="00007577" w:rsidRPr="00007577" w:rsidRDefault="00007577" w:rsidP="00007577">
      <w:pPr>
        <w:bidi w:val="0"/>
        <w:spacing w:before="100" w:beforeAutospacing="1" w:after="100" w:afterAutospacing="1" w:line="240" w:lineRule="auto"/>
        <w:jc w:val="left"/>
        <w:rPr>
          <w:rFonts w:eastAsia="Times New Roman"/>
          <w:lang w:bidi="ar-SA"/>
        </w:rPr>
      </w:pPr>
      <w:r w:rsidRPr="00007577">
        <w:rPr>
          <w:rFonts w:eastAsia="Times New Roman" w:hAnsi="Symbol"/>
          <w:lang w:bidi="ar-SA"/>
        </w:rPr>
        <w:t></w:t>
      </w:r>
      <w:r w:rsidRPr="00007577">
        <w:rPr>
          <w:rFonts w:eastAsia="Times New Roman"/>
          <w:lang w:bidi="ar-SA"/>
        </w:rPr>
        <w:t xml:space="preserve"> For d=0.52</w:t>
      </w:r>
      <w:r>
        <w:rPr>
          <w:rFonts w:eastAsia="Times New Roman"/>
          <w:lang w:bidi="ar-SA"/>
        </w:rPr>
        <w:t xml:space="preserve">: </w:t>
      </w:r>
      <w:r w:rsidRPr="00007577">
        <w:rPr>
          <w:rFonts w:eastAsia="Times New Roman"/>
          <w:lang w:bidi="ar-SA"/>
        </w:rPr>
        <w:t xml:space="preserve">power ≈ </w:t>
      </w:r>
      <w:r w:rsidRPr="00007577">
        <w:rPr>
          <w:rFonts w:eastAsia="Times New Roman"/>
          <w:b/>
          <w:bCs/>
          <w:lang w:bidi="ar-SA"/>
        </w:rPr>
        <w:t>0.80</w:t>
      </w:r>
      <w:r w:rsidRPr="00007577">
        <w:rPr>
          <w:rFonts w:eastAsia="Times New Roman"/>
          <w:lang w:bidi="ar-SA"/>
        </w:rPr>
        <w:t xml:space="preserve"> (80%).</w:t>
      </w:r>
    </w:p>
    <w:p w14:paraId="43F325BE" w14:textId="650D7D39" w:rsidR="00007577" w:rsidRPr="00007577" w:rsidRDefault="00007577" w:rsidP="00007577">
      <w:pPr>
        <w:bidi w:val="0"/>
        <w:spacing w:before="100" w:beforeAutospacing="1" w:after="100" w:afterAutospacing="1" w:line="240" w:lineRule="auto"/>
        <w:jc w:val="left"/>
        <w:rPr>
          <w:rFonts w:eastAsia="Times New Roman"/>
          <w:lang w:bidi="ar-SA"/>
        </w:rPr>
      </w:pPr>
      <w:r w:rsidRPr="00007577">
        <w:rPr>
          <w:rFonts w:eastAsia="Times New Roman" w:hAnsi="Symbol"/>
          <w:lang w:bidi="ar-SA"/>
        </w:rPr>
        <w:t></w:t>
      </w:r>
      <w:r w:rsidRPr="00007577">
        <w:rPr>
          <w:rFonts w:eastAsia="Times New Roman"/>
          <w:lang w:bidi="ar-SA"/>
        </w:rPr>
        <w:t xml:space="preserve"> For d=0.60: power ≈ </w:t>
      </w:r>
      <w:r w:rsidRPr="00007577">
        <w:rPr>
          <w:rFonts w:eastAsia="Times New Roman"/>
          <w:b/>
          <w:bCs/>
          <w:lang w:bidi="ar-SA"/>
        </w:rPr>
        <w:t>0.90</w:t>
      </w:r>
      <w:r w:rsidRPr="00007577">
        <w:rPr>
          <w:rFonts w:eastAsia="Times New Roman"/>
          <w:lang w:bidi="ar-SA"/>
        </w:rPr>
        <w:t xml:space="preserve"> (90%).</w:t>
      </w:r>
    </w:p>
    <w:p w14:paraId="21064FC1" w14:textId="02553EC7" w:rsidR="00007577" w:rsidRDefault="00007577" w:rsidP="00007577">
      <w:pPr>
        <w:bidi w:val="0"/>
        <w:jc w:val="both"/>
      </w:pPr>
      <w:r w:rsidRPr="00007577">
        <w:t>Thus, the achieved power was slightly below 80% for a moderate effect of d = 0.50 but adequate (≥80%) for effect sizes of d ≥ 0.52.</w:t>
      </w:r>
    </w:p>
    <w:p w14:paraId="1B561330" w14:textId="5A072D53" w:rsidR="00007577" w:rsidRDefault="00007577" w:rsidP="00007577">
      <w:pPr>
        <w:bidi w:val="0"/>
        <w:jc w:val="both"/>
        <w:rPr>
          <w:b/>
          <w:bCs/>
        </w:rPr>
      </w:pPr>
      <w:r w:rsidRPr="00007577">
        <w:rPr>
          <w:b/>
          <w:bCs/>
        </w:rPr>
        <w:t>Sensitivity Analyses</w:t>
      </w:r>
    </w:p>
    <w:p w14:paraId="6062C0E3" w14:textId="000C6C64" w:rsidR="00007577" w:rsidRDefault="00007577" w:rsidP="00007577">
      <w:pPr>
        <w:bidi w:val="0"/>
        <w:jc w:val="both"/>
      </w:pPr>
      <w:r w:rsidRPr="00007577">
        <w:t>Required sample size for varying effect sizes (α = 0.05, 80% power)</w:t>
      </w:r>
    </w:p>
    <w:tbl>
      <w:tblPr>
        <w:tblStyle w:val="TableGrid"/>
        <w:tblW w:w="0" w:type="auto"/>
        <w:tblLook w:val="04A0" w:firstRow="1" w:lastRow="0" w:firstColumn="1" w:lastColumn="0" w:noHBand="0" w:noVBand="1"/>
      </w:tblPr>
      <w:tblGrid>
        <w:gridCol w:w="1616"/>
        <w:gridCol w:w="2450"/>
      </w:tblGrid>
      <w:tr w:rsidR="00007577" w:rsidRPr="00007577" w14:paraId="2346BC6B" w14:textId="77777777" w:rsidTr="00007577">
        <w:tc>
          <w:tcPr>
            <w:tcW w:w="0" w:type="auto"/>
            <w:vAlign w:val="center"/>
            <w:hideMark/>
          </w:tcPr>
          <w:p w14:paraId="4095077F" w14:textId="77777777" w:rsidR="00007577" w:rsidRPr="00007577" w:rsidRDefault="00007577" w:rsidP="00007577">
            <w:pPr>
              <w:bidi w:val="0"/>
              <w:spacing w:after="0" w:line="240" w:lineRule="auto"/>
              <w:jc w:val="center"/>
              <w:rPr>
                <w:rFonts w:eastAsia="Times New Roman"/>
                <w:b/>
                <w:bCs/>
                <w:lang w:bidi="ar-SA"/>
              </w:rPr>
            </w:pPr>
            <w:r w:rsidRPr="00007577">
              <w:rPr>
                <w:rFonts w:eastAsia="Times New Roman"/>
                <w:b/>
                <w:bCs/>
                <w:lang w:bidi="ar-SA"/>
              </w:rPr>
              <w:t>Effect size (d)</w:t>
            </w:r>
          </w:p>
        </w:tc>
        <w:tc>
          <w:tcPr>
            <w:tcW w:w="0" w:type="auto"/>
            <w:vAlign w:val="center"/>
            <w:hideMark/>
          </w:tcPr>
          <w:p w14:paraId="304D5F1E" w14:textId="77777777" w:rsidR="00007577" w:rsidRPr="00007577" w:rsidRDefault="00007577" w:rsidP="00007577">
            <w:pPr>
              <w:bidi w:val="0"/>
              <w:spacing w:after="0" w:line="240" w:lineRule="auto"/>
              <w:jc w:val="center"/>
              <w:rPr>
                <w:rFonts w:eastAsia="Times New Roman"/>
                <w:b/>
                <w:bCs/>
                <w:lang w:bidi="ar-SA"/>
              </w:rPr>
            </w:pPr>
            <w:r w:rsidRPr="00007577">
              <w:rPr>
                <w:rFonts w:eastAsia="Times New Roman"/>
                <w:b/>
                <w:bCs/>
                <w:lang w:bidi="ar-SA"/>
              </w:rPr>
              <w:t>Required n per group</w:t>
            </w:r>
          </w:p>
        </w:tc>
      </w:tr>
      <w:tr w:rsidR="00007577" w:rsidRPr="00007577" w14:paraId="7867399B" w14:textId="77777777" w:rsidTr="00007577">
        <w:tc>
          <w:tcPr>
            <w:tcW w:w="0" w:type="auto"/>
            <w:vAlign w:val="center"/>
            <w:hideMark/>
          </w:tcPr>
          <w:p w14:paraId="6BB72963" w14:textId="77777777" w:rsidR="00007577" w:rsidRPr="00007577" w:rsidRDefault="00007577" w:rsidP="00007577">
            <w:pPr>
              <w:bidi w:val="0"/>
              <w:spacing w:after="0" w:line="240" w:lineRule="auto"/>
              <w:jc w:val="center"/>
              <w:rPr>
                <w:rFonts w:eastAsia="Times New Roman"/>
                <w:lang w:bidi="ar-SA"/>
              </w:rPr>
            </w:pPr>
            <w:r w:rsidRPr="00007577">
              <w:rPr>
                <w:rFonts w:eastAsia="Times New Roman"/>
                <w:lang w:bidi="ar-SA"/>
              </w:rPr>
              <w:t>0.40</w:t>
            </w:r>
          </w:p>
        </w:tc>
        <w:tc>
          <w:tcPr>
            <w:tcW w:w="0" w:type="auto"/>
            <w:vAlign w:val="center"/>
            <w:hideMark/>
          </w:tcPr>
          <w:p w14:paraId="6CBBB6F8" w14:textId="77777777" w:rsidR="00007577" w:rsidRPr="00007577" w:rsidRDefault="00007577" w:rsidP="00007577">
            <w:pPr>
              <w:bidi w:val="0"/>
              <w:spacing w:after="0" w:line="240" w:lineRule="auto"/>
              <w:jc w:val="center"/>
              <w:rPr>
                <w:rFonts w:eastAsia="Times New Roman"/>
                <w:lang w:bidi="ar-SA"/>
              </w:rPr>
            </w:pPr>
            <w:r w:rsidRPr="00007577">
              <w:rPr>
                <w:rFonts w:eastAsia="Times New Roman"/>
                <w:lang w:bidi="ar-SA"/>
              </w:rPr>
              <w:t>99</w:t>
            </w:r>
          </w:p>
        </w:tc>
      </w:tr>
      <w:tr w:rsidR="00007577" w:rsidRPr="00007577" w14:paraId="6F2CE71A" w14:textId="77777777" w:rsidTr="00007577">
        <w:tc>
          <w:tcPr>
            <w:tcW w:w="0" w:type="auto"/>
            <w:vAlign w:val="center"/>
            <w:hideMark/>
          </w:tcPr>
          <w:p w14:paraId="2B19F6B5" w14:textId="77777777" w:rsidR="00007577" w:rsidRPr="00007577" w:rsidRDefault="00007577" w:rsidP="00007577">
            <w:pPr>
              <w:bidi w:val="0"/>
              <w:spacing w:after="0" w:line="240" w:lineRule="auto"/>
              <w:jc w:val="center"/>
              <w:rPr>
                <w:rFonts w:eastAsia="Times New Roman"/>
                <w:lang w:bidi="ar-SA"/>
              </w:rPr>
            </w:pPr>
            <w:r w:rsidRPr="00007577">
              <w:rPr>
                <w:rFonts w:eastAsia="Times New Roman"/>
                <w:lang w:bidi="ar-SA"/>
              </w:rPr>
              <w:t>0.50</w:t>
            </w:r>
          </w:p>
        </w:tc>
        <w:tc>
          <w:tcPr>
            <w:tcW w:w="0" w:type="auto"/>
            <w:vAlign w:val="center"/>
            <w:hideMark/>
          </w:tcPr>
          <w:p w14:paraId="1E1A39EC" w14:textId="77777777" w:rsidR="00007577" w:rsidRPr="00007577" w:rsidRDefault="00007577" w:rsidP="00007577">
            <w:pPr>
              <w:bidi w:val="0"/>
              <w:spacing w:after="0" w:line="240" w:lineRule="auto"/>
              <w:jc w:val="center"/>
              <w:rPr>
                <w:rFonts w:eastAsia="Times New Roman"/>
                <w:lang w:bidi="ar-SA"/>
              </w:rPr>
            </w:pPr>
            <w:r w:rsidRPr="00007577">
              <w:rPr>
                <w:rFonts w:eastAsia="Times New Roman"/>
                <w:lang w:bidi="ar-SA"/>
              </w:rPr>
              <w:t>63</w:t>
            </w:r>
          </w:p>
        </w:tc>
      </w:tr>
      <w:tr w:rsidR="00007577" w:rsidRPr="00007577" w14:paraId="0B49B38B" w14:textId="77777777" w:rsidTr="00007577">
        <w:tc>
          <w:tcPr>
            <w:tcW w:w="0" w:type="auto"/>
            <w:vAlign w:val="center"/>
            <w:hideMark/>
          </w:tcPr>
          <w:p w14:paraId="28AABE84" w14:textId="77777777" w:rsidR="00007577" w:rsidRPr="00007577" w:rsidRDefault="00007577" w:rsidP="00007577">
            <w:pPr>
              <w:bidi w:val="0"/>
              <w:spacing w:after="0" w:line="240" w:lineRule="auto"/>
              <w:jc w:val="center"/>
              <w:rPr>
                <w:rFonts w:eastAsia="Times New Roman"/>
                <w:lang w:bidi="ar-SA"/>
              </w:rPr>
            </w:pPr>
            <w:r w:rsidRPr="00007577">
              <w:rPr>
                <w:rFonts w:eastAsia="Times New Roman"/>
                <w:lang w:bidi="ar-SA"/>
              </w:rPr>
              <w:t>0.60</w:t>
            </w:r>
          </w:p>
        </w:tc>
        <w:tc>
          <w:tcPr>
            <w:tcW w:w="0" w:type="auto"/>
            <w:vAlign w:val="center"/>
            <w:hideMark/>
          </w:tcPr>
          <w:p w14:paraId="395BA159" w14:textId="77777777" w:rsidR="00007577" w:rsidRPr="00007577" w:rsidRDefault="00007577" w:rsidP="00007577">
            <w:pPr>
              <w:bidi w:val="0"/>
              <w:spacing w:after="0" w:line="240" w:lineRule="auto"/>
              <w:jc w:val="center"/>
              <w:rPr>
                <w:rFonts w:eastAsia="Times New Roman"/>
                <w:lang w:bidi="ar-SA"/>
              </w:rPr>
            </w:pPr>
            <w:r w:rsidRPr="00007577">
              <w:rPr>
                <w:rFonts w:eastAsia="Times New Roman"/>
                <w:lang w:bidi="ar-SA"/>
              </w:rPr>
              <w:t>44</w:t>
            </w:r>
          </w:p>
        </w:tc>
      </w:tr>
    </w:tbl>
    <w:p w14:paraId="77A6F877" w14:textId="13599C98" w:rsidR="00007577" w:rsidRDefault="00007577" w:rsidP="00007577">
      <w:pPr>
        <w:bidi w:val="0"/>
        <w:jc w:val="both"/>
      </w:pPr>
    </w:p>
    <w:p w14:paraId="6FD92831" w14:textId="2052A9E6" w:rsidR="00007577" w:rsidRDefault="00007577" w:rsidP="00007577">
      <w:pPr>
        <w:bidi w:val="0"/>
        <w:jc w:val="both"/>
      </w:pPr>
      <w:r w:rsidRPr="00007577">
        <w:t>Achieved power with n₁ = 69 and n₂ = 50</w:t>
      </w:r>
    </w:p>
    <w:tbl>
      <w:tblPr>
        <w:tblStyle w:val="TableGrid"/>
        <w:tblW w:w="0" w:type="auto"/>
        <w:tblLook w:val="04A0" w:firstRow="1" w:lastRow="0" w:firstColumn="1" w:lastColumn="0" w:noHBand="0" w:noVBand="1"/>
      </w:tblPr>
      <w:tblGrid>
        <w:gridCol w:w="1616"/>
        <w:gridCol w:w="1863"/>
      </w:tblGrid>
      <w:tr w:rsidR="00007577" w:rsidRPr="00007577" w14:paraId="1C5DEF64" w14:textId="77777777" w:rsidTr="00007577">
        <w:tc>
          <w:tcPr>
            <w:tcW w:w="0" w:type="auto"/>
            <w:vAlign w:val="center"/>
            <w:hideMark/>
          </w:tcPr>
          <w:p w14:paraId="1445FE35" w14:textId="77777777" w:rsidR="00007577" w:rsidRPr="00007577" w:rsidRDefault="00007577" w:rsidP="00007577">
            <w:pPr>
              <w:bidi w:val="0"/>
              <w:spacing w:after="0" w:line="240" w:lineRule="auto"/>
              <w:jc w:val="center"/>
              <w:rPr>
                <w:rFonts w:eastAsia="Times New Roman"/>
                <w:b/>
                <w:bCs/>
                <w:lang w:bidi="ar-SA"/>
              </w:rPr>
            </w:pPr>
            <w:r w:rsidRPr="00007577">
              <w:rPr>
                <w:rFonts w:eastAsia="Times New Roman"/>
                <w:b/>
                <w:bCs/>
                <w:lang w:bidi="ar-SA"/>
              </w:rPr>
              <w:t>Effect size (d)</w:t>
            </w:r>
          </w:p>
        </w:tc>
        <w:tc>
          <w:tcPr>
            <w:tcW w:w="0" w:type="auto"/>
            <w:vAlign w:val="center"/>
            <w:hideMark/>
          </w:tcPr>
          <w:p w14:paraId="5C35F0A6" w14:textId="77777777" w:rsidR="00007577" w:rsidRPr="00007577" w:rsidRDefault="00007577" w:rsidP="00007577">
            <w:pPr>
              <w:bidi w:val="0"/>
              <w:spacing w:after="0" w:line="240" w:lineRule="auto"/>
              <w:jc w:val="center"/>
              <w:rPr>
                <w:rFonts w:eastAsia="Times New Roman"/>
                <w:b/>
                <w:bCs/>
                <w:lang w:bidi="ar-SA"/>
              </w:rPr>
            </w:pPr>
            <w:r w:rsidRPr="00007577">
              <w:rPr>
                <w:rFonts w:eastAsia="Times New Roman"/>
                <w:b/>
                <w:bCs/>
                <w:lang w:bidi="ar-SA"/>
              </w:rPr>
              <w:t>Achieved power</w:t>
            </w:r>
          </w:p>
        </w:tc>
      </w:tr>
      <w:tr w:rsidR="00007577" w:rsidRPr="00007577" w14:paraId="624CA484" w14:textId="77777777" w:rsidTr="00007577">
        <w:tc>
          <w:tcPr>
            <w:tcW w:w="0" w:type="auto"/>
            <w:vAlign w:val="center"/>
            <w:hideMark/>
          </w:tcPr>
          <w:p w14:paraId="5AB5960F" w14:textId="77777777" w:rsidR="00007577" w:rsidRPr="00007577" w:rsidRDefault="00007577" w:rsidP="00007577">
            <w:pPr>
              <w:bidi w:val="0"/>
              <w:spacing w:after="0" w:line="240" w:lineRule="auto"/>
              <w:jc w:val="center"/>
              <w:rPr>
                <w:rFonts w:eastAsia="Times New Roman"/>
                <w:lang w:bidi="ar-SA"/>
              </w:rPr>
            </w:pPr>
            <w:r w:rsidRPr="00007577">
              <w:rPr>
                <w:rFonts w:eastAsia="Times New Roman"/>
                <w:lang w:bidi="ar-SA"/>
              </w:rPr>
              <w:t>0.40</w:t>
            </w:r>
          </w:p>
        </w:tc>
        <w:tc>
          <w:tcPr>
            <w:tcW w:w="0" w:type="auto"/>
            <w:vAlign w:val="center"/>
            <w:hideMark/>
          </w:tcPr>
          <w:p w14:paraId="034AA946" w14:textId="77777777" w:rsidR="00007577" w:rsidRPr="00007577" w:rsidRDefault="00007577" w:rsidP="00007577">
            <w:pPr>
              <w:bidi w:val="0"/>
              <w:spacing w:after="0" w:line="240" w:lineRule="auto"/>
              <w:jc w:val="center"/>
              <w:rPr>
                <w:rFonts w:eastAsia="Times New Roman"/>
                <w:lang w:bidi="ar-SA"/>
              </w:rPr>
            </w:pPr>
            <w:r w:rsidRPr="00007577">
              <w:rPr>
                <w:rFonts w:eastAsia="Times New Roman"/>
                <w:lang w:bidi="ar-SA"/>
              </w:rPr>
              <w:t>0.58</w:t>
            </w:r>
          </w:p>
        </w:tc>
      </w:tr>
      <w:tr w:rsidR="00007577" w:rsidRPr="00007577" w14:paraId="0B94F8F9" w14:textId="77777777" w:rsidTr="00007577">
        <w:tc>
          <w:tcPr>
            <w:tcW w:w="0" w:type="auto"/>
            <w:vAlign w:val="center"/>
            <w:hideMark/>
          </w:tcPr>
          <w:p w14:paraId="31503DBD" w14:textId="77777777" w:rsidR="00007577" w:rsidRPr="00007577" w:rsidRDefault="00007577" w:rsidP="00007577">
            <w:pPr>
              <w:bidi w:val="0"/>
              <w:spacing w:after="0" w:line="240" w:lineRule="auto"/>
              <w:jc w:val="center"/>
              <w:rPr>
                <w:rFonts w:eastAsia="Times New Roman"/>
                <w:lang w:bidi="ar-SA"/>
              </w:rPr>
            </w:pPr>
            <w:r w:rsidRPr="00007577">
              <w:rPr>
                <w:rFonts w:eastAsia="Times New Roman"/>
                <w:lang w:bidi="ar-SA"/>
              </w:rPr>
              <w:t>0.50</w:t>
            </w:r>
          </w:p>
        </w:tc>
        <w:tc>
          <w:tcPr>
            <w:tcW w:w="0" w:type="auto"/>
            <w:vAlign w:val="center"/>
            <w:hideMark/>
          </w:tcPr>
          <w:p w14:paraId="6E5D47B6" w14:textId="77777777" w:rsidR="00007577" w:rsidRPr="00007577" w:rsidRDefault="00007577" w:rsidP="00007577">
            <w:pPr>
              <w:bidi w:val="0"/>
              <w:spacing w:after="0" w:line="240" w:lineRule="auto"/>
              <w:jc w:val="center"/>
              <w:rPr>
                <w:rFonts w:eastAsia="Times New Roman"/>
                <w:lang w:bidi="ar-SA"/>
              </w:rPr>
            </w:pPr>
            <w:r w:rsidRPr="00007577">
              <w:rPr>
                <w:rFonts w:eastAsia="Times New Roman"/>
                <w:lang w:bidi="ar-SA"/>
              </w:rPr>
              <w:t>0.77</w:t>
            </w:r>
          </w:p>
        </w:tc>
      </w:tr>
      <w:tr w:rsidR="00007577" w:rsidRPr="00007577" w14:paraId="50DFA43C" w14:textId="77777777" w:rsidTr="00007577">
        <w:tc>
          <w:tcPr>
            <w:tcW w:w="0" w:type="auto"/>
            <w:vAlign w:val="center"/>
            <w:hideMark/>
          </w:tcPr>
          <w:p w14:paraId="6D2012A4" w14:textId="77777777" w:rsidR="00007577" w:rsidRPr="00007577" w:rsidRDefault="00007577" w:rsidP="00007577">
            <w:pPr>
              <w:bidi w:val="0"/>
              <w:spacing w:after="0" w:line="240" w:lineRule="auto"/>
              <w:jc w:val="center"/>
              <w:rPr>
                <w:rFonts w:eastAsia="Times New Roman"/>
                <w:lang w:bidi="ar-SA"/>
              </w:rPr>
            </w:pPr>
            <w:r w:rsidRPr="00007577">
              <w:rPr>
                <w:rFonts w:eastAsia="Times New Roman"/>
                <w:lang w:bidi="ar-SA"/>
              </w:rPr>
              <w:t>0.52</w:t>
            </w:r>
          </w:p>
        </w:tc>
        <w:tc>
          <w:tcPr>
            <w:tcW w:w="0" w:type="auto"/>
            <w:vAlign w:val="center"/>
            <w:hideMark/>
          </w:tcPr>
          <w:p w14:paraId="02780189" w14:textId="77777777" w:rsidR="00007577" w:rsidRPr="00007577" w:rsidRDefault="00007577" w:rsidP="00007577">
            <w:pPr>
              <w:bidi w:val="0"/>
              <w:spacing w:after="0" w:line="240" w:lineRule="auto"/>
              <w:jc w:val="center"/>
              <w:rPr>
                <w:rFonts w:eastAsia="Times New Roman"/>
                <w:lang w:bidi="ar-SA"/>
              </w:rPr>
            </w:pPr>
            <w:r w:rsidRPr="00007577">
              <w:rPr>
                <w:rFonts w:eastAsia="Times New Roman"/>
                <w:lang w:bidi="ar-SA"/>
              </w:rPr>
              <w:t>0.80</w:t>
            </w:r>
          </w:p>
        </w:tc>
      </w:tr>
      <w:tr w:rsidR="00007577" w:rsidRPr="00007577" w14:paraId="1C8E0593" w14:textId="77777777" w:rsidTr="00007577">
        <w:tc>
          <w:tcPr>
            <w:tcW w:w="0" w:type="auto"/>
            <w:vAlign w:val="center"/>
            <w:hideMark/>
          </w:tcPr>
          <w:p w14:paraId="2EAC65DF" w14:textId="77777777" w:rsidR="00007577" w:rsidRPr="00007577" w:rsidRDefault="00007577" w:rsidP="00007577">
            <w:pPr>
              <w:bidi w:val="0"/>
              <w:spacing w:after="0" w:line="240" w:lineRule="auto"/>
              <w:jc w:val="center"/>
              <w:rPr>
                <w:rFonts w:eastAsia="Times New Roman"/>
                <w:lang w:bidi="ar-SA"/>
              </w:rPr>
            </w:pPr>
            <w:r w:rsidRPr="00007577">
              <w:rPr>
                <w:rFonts w:eastAsia="Times New Roman"/>
                <w:lang w:bidi="ar-SA"/>
              </w:rPr>
              <w:t>0.60</w:t>
            </w:r>
          </w:p>
        </w:tc>
        <w:tc>
          <w:tcPr>
            <w:tcW w:w="0" w:type="auto"/>
            <w:vAlign w:val="center"/>
            <w:hideMark/>
          </w:tcPr>
          <w:p w14:paraId="26CCDEDA" w14:textId="77777777" w:rsidR="00007577" w:rsidRPr="00007577" w:rsidRDefault="00007577" w:rsidP="00007577">
            <w:pPr>
              <w:bidi w:val="0"/>
              <w:spacing w:after="0" w:line="240" w:lineRule="auto"/>
              <w:jc w:val="center"/>
              <w:rPr>
                <w:rFonts w:eastAsia="Times New Roman"/>
                <w:lang w:bidi="ar-SA"/>
              </w:rPr>
            </w:pPr>
            <w:r w:rsidRPr="00007577">
              <w:rPr>
                <w:rFonts w:eastAsia="Times New Roman"/>
                <w:lang w:bidi="ar-SA"/>
              </w:rPr>
              <w:t>0.90</w:t>
            </w:r>
          </w:p>
        </w:tc>
      </w:tr>
    </w:tbl>
    <w:p w14:paraId="1E4C9CD8" w14:textId="77777777" w:rsidR="00007577" w:rsidRDefault="00007577" w:rsidP="00007577">
      <w:pPr>
        <w:bidi w:val="0"/>
        <w:jc w:val="both"/>
      </w:pPr>
    </w:p>
    <w:p w14:paraId="08788A2D" w14:textId="2786F2D9" w:rsidR="00007577" w:rsidRDefault="00007577" w:rsidP="00007577">
      <w:pPr>
        <w:bidi w:val="0"/>
        <w:jc w:val="both"/>
      </w:pPr>
      <w:r w:rsidRPr="00007577">
        <w:lastRenderedPageBreak/>
        <w:t>This confirms that the study maintained adequate power to detect moderate-to-large effects, though the differential attrition reduced precision for exactly d = 0.50.</w:t>
      </w:r>
    </w:p>
    <w:p w14:paraId="1A3C8A5B" w14:textId="6CA36863" w:rsidR="0058385F" w:rsidRDefault="00007577" w:rsidP="00007577">
      <w:pPr>
        <w:bidi w:val="0"/>
        <w:jc w:val="both"/>
      </w:pPr>
      <w:r w:rsidRPr="00007577">
        <w:t>The trial by Chehrehgosha et al. (2021)</w:t>
      </w:r>
      <w:r w:rsidR="0058385F">
        <w:t xml:space="preserve"> </w:t>
      </w:r>
      <w:r w:rsidR="0058385F">
        <w:rPr>
          <w:rFonts w:asciiTheme="majorBidi" w:hAnsiTheme="majorBidi" w:cstheme="majorBidi"/>
        </w:rPr>
        <w:fldChar w:fldCharType="begin"/>
      </w:r>
      <w:r w:rsidR="0058385F">
        <w:rPr>
          <w:rFonts w:asciiTheme="majorBidi" w:hAnsiTheme="majorBidi" w:cstheme="majorBidi"/>
        </w:rPr>
        <w:instrText xml:space="preserve"> ADDIN EN.CITE &lt;EndNote&gt;&lt;Cite&gt;&lt;Author&gt;Chehrehgosha&lt;/Author&gt;&lt;Year&gt;2021&lt;/Year&gt;&lt;RecNum&gt;26&lt;/RecNum&gt;&lt;DisplayText&gt;(3)&lt;/DisplayText&gt;&lt;record&gt;&lt;rec-number&gt;26&lt;/rec-number&gt;&lt;foreign-keys&gt;&lt;key app="EN" db-id="5res9rwvnxdpvmevwr5pz05xazpxpvts9sep" timestamp="1734096403"&gt;26&lt;/key&gt;&lt;/foreign-keys&gt;&lt;ref-type name="Journal Article"&gt;17&lt;/ref-type&gt;&lt;contributors&gt;&lt;authors&gt;&lt;author&gt;Chehrehgosha, Haleh&lt;/author&gt;&lt;author&gt;Sohrabi, Masoud Reza&lt;/author&gt;&lt;author&gt;Ismail-Beigi, Faramarz&lt;/author&gt;&lt;author&gt;Malek, Mojtaba&lt;/author&gt;&lt;author&gt;Reza Babaei, Mohammad&lt;/author&gt;&lt;author&gt;Zamani, Farhad&lt;/author&gt;&lt;author&gt;Ajdarkosh, Hossein&lt;/author&gt;&lt;author&gt;Khoonsari, Mahmood&lt;/author&gt;&lt;author&gt;Fallah, Afshin Eshghi&lt;/author&gt;&lt;author&gt;Khamseh, Mohammad E.&lt;/author&gt;&lt;/authors&gt;&lt;/contributors&gt;&lt;titles&gt;&lt;title&gt;Empagliflozin Improves Liver Steatosis and Fibrosis in Patients with Non-Alcoholic Fatty Liver Disease and Type 2 Diabetes: A Randomized, Double-Blind, Placebo-Controlled Clinical Trial&lt;/title&gt;&lt;secondary-title&gt;Diabetes Therapy&lt;/secondary-title&gt;&lt;/titles&gt;&lt;periodical&gt;&lt;full-title&gt;Diabetes Therapy&lt;/full-title&gt;&lt;/periodical&gt;&lt;pages&gt;843-861&lt;/pages&gt;&lt;volume&gt;12&lt;/volume&gt;&lt;number&gt;3&lt;/number&gt;&lt;dates&gt;&lt;year&gt;2021&lt;/year&gt;&lt;pub-dates&gt;&lt;date&gt;2021/03/01&lt;/date&gt;&lt;/pub-dates&gt;&lt;/dates&gt;&lt;isbn&gt;1869-6961&lt;/isbn&gt;&lt;urls&gt;&lt;related-urls&gt;&lt;url&gt;https://doi.org/10.1007/s13300-021-01011-3&lt;/url&gt;&lt;/related-urls&gt;&lt;/urls&gt;&lt;electronic-resource-num&gt;10.1007/s13300-021-01011-3&lt;/electronic-resource-num&gt;&lt;/record&gt;&lt;/Cite&gt;&lt;/EndNote&gt;</w:instrText>
      </w:r>
      <w:r w:rsidR="0058385F">
        <w:rPr>
          <w:rFonts w:asciiTheme="majorBidi" w:hAnsiTheme="majorBidi" w:cstheme="majorBidi"/>
        </w:rPr>
        <w:fldChar w:fldCharType="separate"/>
      </w:r>
      <w:r w:rsidR="0058385F">
        <w:rPr>
          <w:rFonts w:asciiTheme="majorBidi" w:hAnsiTheme="majorBidi" w:cstheme="majorBidi"/>
          <w:noProof/>
        </w:rPr>
        <w:t>(3)</w:t>
      </w:r>
      <w:r w:rsidR="0058385F">
        <w:rPr>
          <w:rFonts w:asciiTheme="majorBidi" w:hAnsiTheme="majorBidi" w:cstheme="majorBidi"/>
        </w:rPr>
        <w:fldChar w:fldCharType="end"/>
      </w:r>
      <w:r w:rsidRPr="00007577">
        <w:t xml:space="preserve"> included ~70 patients per arm and demonstrated meaningful improvements in liver outcomes with empagliflozin. We used their study as supportive empirical evidence for our target sample size. However, our a priori calculation was conducted independently and confirmed that ≥63 participants per group (≥70 allowing for attrition) was sufficient.</w:t>
      </w:r>
    </w:p>
    <w:p w14:paraId="27D620A6" w14:textId="329B768C" w:rsidR="00053A70" w:rsidRDefault="0058385F" w:rsidP="0058385F">
      <w:pPr>
        <w:bidi w:val="0"/>
        <w:jc w:val="both"/>
        <w:sectPr w:rsidR="00053A70">
          <w:pgSz w:w="12240" w:h="15840"/>
          <w:pgMar w:top="1440" w:right="1440" w:bottom="1440" w:left="1440" w:header="720" w:footer="720" w:gutter="0"/>
          <w:cols w:space="720"/>
          <w:docGrid w:linePitch="360"/>
        </w:sectPr>
      </w:pPr>
      <w:r>
        <w:t xml:space="preserve">Because the final analyzed sample size provided ~77% power for d = 0.50, we report </w:t>
      </w:r>
      <w:r w:rsidRPr="0058385F">
        <w:rPr>
          <w:rStyle w:val="Strong"/>
          <w:b w:val="0"/>
          <w:bCs w:val="0"/>
        </w:rPr>
        <w:t>effect sizes (Hedges’ g) with 95% confidence intervals</w:t>
      </w:r>
      <w:r w:rsidRPr="0058385F">
        <w:rPr>
          <w:b/>
          <w:bCs/>
        </w:rPr>
        <w:t xml:space="preserve"> </w:t>
      </w:r>
      <w:r>
        <w:t>alongside p-values. This improves interpretability and accounts for the slight reduction in power due to attrition imbalance</w:t>
      </w:r>
    </w:p>
    <w:p w14:paraId="5BCB1CB1" w14:textId="1A189223" w:rsidR="00053A70" w:rsidRDefault="00053A70" w:rsidP="00053A70">
      <w:pPr>
        <w:bidi w:val="0"/>
        <w:jc w:val="both"/>
      </w:pPr>
    </w:p>
    <w:p w14:paraId="5784819B" w14:textId="6D49046D" w:rsidR="00053A70" w:rsidRDefault="00053A70" w:rsidP="00053A70">
      <w:pPr>
        <w:bidi w:val="0"/>
        <w:jc w:val="both"/>
        <w:rPr>
          <w:rFonts w:asciiTheme="majorBidi" w:hAnsiTheme="majorBidi" w:cstheme="majorBidi"/>
        </w:rPr>
      </w:pPr>
      <w:r>
        <w:rPr>
          <w:rFonts w:asciiTheme="majorBidi" w:hAnsiTheme="majorBidi" w:cstheme="majorBidi"/>
          <w:b/>
          <w:bCs/>
        </w:rPr>
        <w:t>Supplementary Table 2</w:t>
      </w:r>
      <w:r w:rsidRPr="004D1476">
        <w:rPr>
          <w:rFonts w:asciiTheme="majorBidi" w:hAnsiTheme="majorBidi" w:cstheme="majorBidi"/>
          <w:b/>
          <w:bCs/>
        </w:rPr>
        <w:t>.</w:t>
      </w:r>
      <w:r w:rsidRPr="00016D49">
        <w:rPr>
          <w:rFonts w:asciiTheme="majorBidi" w:hAnsiTheme="majorBidi" w:cstheme="majorBidi"/>
        </w:rPr>
        <w:t xml:space="preserve"> Changes in Liver Enzymes and Fibrosis Markers Between Baseline and 6-Month Follow-Up</w:t>
      </w:r>
    </w:p>
    <w:tbl>
      <w:tblPr>
        <w:tblStyle w:val="PlainTable11"/>
        <w:tblW w:w="14130" w:type="dxa"/>
        <w:tblInd w:w="-545" w:type="dxa"/>
        <w:tblLook w:val="04A0" w:firstRow="1" w:lastRow="0" w:firstColumn="1" w:lastColumn="0" w:noHBand="0" w:noVBand="1"/>
      </w:tblPr>
      <w:tblGrid>
        <w:gridCol w:w="2754"/>
        <w:gridCol w:w="1874"/>
        <w:gridCol w:w="1760"/>
        <w:gridCol w:w="1416"/>
        <w:gridCol w:w="1911"/>
        <w:gridCol w:w="2063"/>
        <w:gridCol w:w="1056"/>
        <w:gridCol w:w="1296"/>
      </w:tblGrid>
      <w:tr w:rsidR="00053A70" w:rsidRPr="009F5507" w14:paraId="63B461FA" w14:textId="77777777" w:rsidTr="004D1476">
        <w:trPr>
          <w:cnfStyle w:val="100000000000" w:firstRow="1" w:lastRow="0" w:firstColumn="0" w:lastColumn="0" w:oddVBand="0" w:evenVBand="0" w:oddHBand="0"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2754" w:type="dxa"/>
            <w:vAlign w:val="center"/>
            <w:hideMark/>
          </w:tcPr>
          <w:p w14:paraId="116D0ADA" w14:textId="77777777" w:rsidR="00053A70" w:rsidRPr="009F5507" w:rsidRDefault="00053A70" w:rsidP="004D1476">
            <w:pPr>
              <w:jc w:val="center"/>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Pair</w:t>
            </w:r>
          </w:p>
        </w:tc>
        <w:tc>
          <w:tcPr>
            <w:tcW w:w="1874" w:type="dxa"/>
            <w:vAlign w:val="center"/>
            <w:hideMark/>
          </w:tcPr>
          <w:p w14:paraId="1F46041F" w14:textId="77777777" w:rsidR="00053A70" w:rsidRPr="0071726F" w:rsidRDefault="00053A70" w:rsidP="004D1476">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lang w:bidi="ar-SA"/>
              </w:rPr>
            </w:pPr>
            <w:r w:rsidRPr="0071726F">
              <w:rPr>
                <w:rFonts w:asciiTheme="majorBidi" w:eastAsia="Times New Roman" w:hAnsiTheme="majorBidi" w:cstheme="majorBidi"/>
                <w:color w:val="000000"/>
                <w:lang w:bidi="ar-SA"/>
              </w:rPr>
              <w:t xml:space="preserve">Baseline </w:t>
            </w:r>
            <w:r>
              <w:rPr>
                <w:rFonts w:asciiTheme="majorBidi" w:eastAsia="Times New Roman" w:hAnsiTheme="majorBidi" w:cstheme="majorBidi"/>
                <w:color w:val="000000"/>
                <w:lang w:bidi="ar-SA"/>
              </w:rPr>
              <w:t>*</w:t>
            </w:r>
          </w:p>
        </w:tc>
        <w:tc>
          <w:tcPr>
            <w:tcW w:w="1760" w:type="dxa"/>
            <w:vAlign w:val="center"/>
            <w:hideMark/>
          </w:tcPr>
          <w:p w14:paraId="5C18D235" w14:textId="77777777" w:rsidR="00053A70" w:rsidRPr="0071726F" w:rsidRDefault="00053A70" w:rsidP="004D1476">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lang w:bidi="ar-SA"/>
              </w:rPr>
            </w:pPr>
            <w:r w:rsidRPr="0071726F">
              <w:rPr>
                <w:rFonts w:asciiTheme="majorBidi" w:eastAsia="Times New Roman" w:hAnsiTheme="majorBidi" w:cstheme="majorBidi"/>
                <w:color w:val="000000"/>
                <w:lang w:bidi="ar-SA"/>
              </w:rPr>
              <w:t>6-Month</w:t>
            </w:r>
          </w:p>
        </w:tc>
        <w:tc>
          <w:tcPr>
            <w:tcW w:w="1416" w:type="dxa"/>
            <w:vAlign w:val="center"/>
            <w:hideMark/>
          </w:tcPr>
          <w:p w14:paraId="3F4516E4" w14:textId="77777777" w:rsidR="00053A70" w:rsidRPr="0071726F" w:rsidRDefault="00053A70" w:rsidP="004D1476">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lang w:bidi="ar-SA"/>
              </w:rPr>
            </w:pPr>
            <w:r w:rsidRPr="0071726F">
              <w:rPr>
                <w:rFonts w:asciiTheme="majorBidi" w:eastAsia="Times New Roman" w:hAnsiTheme="majorBidi" w:cstheme="majorBidi"/>
                <w:color w:val="000000"/>
                <w:lang w:bidi="ar-SA"/>
              </w:rPr>
              <w:t>Correlation</w:t>
            </w:r>
          </w:p>
        </w:tc>
        <w:tc>
          <w:tcPr>
            <w:tcW w:w="1911" w:type="dxa"/>
            <w:vAlign w:val="center"/>
            <w:hideMark/>
          </w:tcPr>
          <w:p w14:paraId="588C0849" w14:textId="77777777" w:rsidR="00053A70" w:rsidRPr="0071726F" w:rsidRDefault="00053A70" w:rsidP="004D1476">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lang w:bidi="ar-SA"/>
              </w:rPr>
            </w:pPr>
            <w:r w:rsidRPr="0071726F">
              <w:rPr>
                <w:rFonts w:asciiTheme="majorBidi" w:eastAsia="Times New Roman" w:hAnsiTheme="majorBidi" w:cstheme="majorBidi"/>
                <w:color w:val="000000"/>
                <w:lang w:bidi="ar-SA"/>
              </w:rPr>
              <w:t>Mean Difference (SD)</w:t>
            </w:r>
          </w:p>
        </w:tc>
        <w:tc>
          <w:tcPr>
            <w:tcW w:w="2063" w:type="dxa"/>
            <w:vAlign w:val="center"/>
            <w:hideMark/>
          </w:tcPr>
          <w:p w14:paraId="0F26C219" w14:textId="77777777" w:rsidR="00053A70" w:rsidRPr="0071726F" w:rsidRDefault="00053A70" w:rsidP="004D1476">
            <w:pPr>
              <w:bidi w:val="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lang w:bidi="ar-SA"/>
              </w:rPr>
            </w:pPr>
            <w:r w:rsidRPr="0071726F">
              <w:rPr>
                <w:rFonts w:asciiTheme="majorBidi" w:eastAsia="Times New Roman" w:hAnsiTheme="majorBidi" w:cstheme="majorBidi"/>
                <w:color w:val="000000"/>
                <w:lang w:bidi="ar-SA"/>
              </w:rPr>
              <w:t xml:space="preserve">95% CI </w:t>
            </w:r>
          </w:p>
        </w:tc>
        <w:tc>
          <w:tcPr>
            <w:tcW w:w="1056" w:type="dxa"/>
            <w:vAlign w:val="center"/>
            <w:hideMark/>
          </w:tcPr>
          <w:p w14:paraId="5CF0E9EF" w14:textId="77777777" w:rsidR="00053A70" w:rsidRPr="0071726F" w:rsidRDefault="00053A70" w:rsidP="004D1476">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lang w:bidi="ar-SA"/>
              </w:rPr>
            </w:pPr>
            <w:r w:rsidRPr="0071726F">
              <w:rPr>
                <w:rFonts w:asciiTheme="majorBidi" w:eastAsia="Times New Roman" w:hAnsiTheme="majorBidi" w:cstheme="majorBidi"/>
                <w:color w:val="000000"/>
                <w:lang w:bidi="ar-SA"/>
              </w:rPr>
              <w:t>t</w:t>
            </w:r>
          </w:p>
        </w:tc>
        <w:tc>
          <w:tcPr>
            <w:tcW w:w="1296" w:type="dxa"/>
            <w:vAlign w:val="center"/>
            <w:hideMark/>
          </w:tcPr>
          <w:p w14:paraId="214B6026" w14:textId="77777777" w:rsidR="00053A70" w:rsidRPr="0071726F" w:rsidRDefault="00053A70" w:rsidP="004D1476">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lang w:bidi="ar-SA"/>
              </w:rPr>
            </w:pPr>
            <w:r w:rsidRPr="0071726F">
              <w:rPr>
                <w:rFonts w:asciiTheme="majorBidi" w:eastAsia="Times New Roman" w:hAnsiTheme="majorBidi" w:cstheme="majorBidi"/>
                <w:color w:val="000000"/>
                <w:lang w:bidi="ar-SA"/>
              </w:rPr>
              <w:t>p-value</w:t>
            </w:r>
          </w:p>
        </w:tc>
      </w:tr>
      <w:tr w:rsidR="00053A70" w:rsidRPr="009F5507" w14:paraId="0435D2EB" w14:textId="77777777" w:rsidTr="004D147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54" w:type="dxa"/>
            <w:vAlign w:val="center"/>
            <w:hideMark/>
          </w:tcPr>
          <w:p w14:paraId="1A1F9B4D" w14:textId="77777777" w:rsidR="00053A70" w:rsidRPr="009F5507" w:rsidRDefault="00053A70" w:rsidP="004D1476">
            <w:pPr>
              <w:jc w:val="center"/>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GGT (IU/L)</w:t>
            </w:r>
          </w:p>
        </w:tc>
        <w:tc>
          <w:tcPr>
            <w:tcW w:w="1874" w:type="dxa"/>
            <w:vAlign w:val="center"/>
            <w:hideMark/>
          </w:tcPr>
          <w:p w14:paraId="49958687"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52.87 (22.34)</w:t>
            </w:r>
          </w:p>
        </w:tc>
        <w:tc>
          <w:tcPr>
            <w:tcW w:w="1760" w:type="dxa"/>
            <w:vAlign w:val="center"/>
            <w:hideMark/>
          </w:tcPr>
          <w:p w14:paraId="0856D3AB"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37.15 (13.74)</w:t>
            </w:r>
          </w:p>
        </w:tc>
        <w:tc>
          <w:tcPr>
            <w:tcW w:w="1416" w:type="dxa"/>
            <w:vAlign w:val="center"/>
            <w:hideMark/>
          </w:tcPr>
          <w:p w14:paraId="06030CCF"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0.63</w:t>
            </w:r>
          </w:p>
        </w:tc>
        <w:tc>
          <w:tcPr>
            <w:tcW w:w="1911" w:type="dxa"/>
            <w:vAlign w:val="center"/>
            <w:hideMark/>
          </w:tcPr>
          <w:p w14:paraId="3E0F11D4"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15.71 (17.34)</w:t>
            </w:r>
          </w:p>
        </w:tc>
        <w:tc>
          <w:tcPr>
            <w:tcW w:w="2063" w:type="dxa"/>
            <w:vAlign w:val="center"/>
            <w:hideMark/>
          </w:tcPr>
          <w:p w14:paraId="632BC76F"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12.57, 18.86</w:t>
            </w:r>
          </w:p>
        </w:tc>
        <w:tc>
          <w:tcPr>
            <w:tcW w:w="1056" w:type="dxa"/>
            <w:vAlign w:val="center"/>
            <w:hideMark/>
          </w:tcPr>
          <w:p w14:paraId="218EC9DD"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9.8</w:t>
            </w:r>
            <w:r>
              <w:rPr>
                <w:rFonts w:asciiTheme="majorBidi" w:eastAsia="Times New Roman" w:hAnsiTheme="majorBidi" w:cstheme="majorBidi"/>
                <w:color w:val="000000"/>
                <w:lang w:bidi="ar-SA"/>
              </w:rPr>
              <w:t>9</w:t>
            </w:r>
          </w:p>
        </w:tc>
        <w:tc>
          <w:tcPr>
            <w:tcW w:w="1296" w:type="dxa"/>
            <w:vAlign w:val="center"/>
            <w:hideMark/>
          </w:tcPr>
          <w:p w14:paraId="7DE2E345"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&lt; 0.001</w:t>
            </w:r>
          </w:p>
        </w:tc>
      </w:tr>
      <w:tr w:rsidR="00053A70" w:rsidRPr="009F5507" w14:paraId="716E1E61" w14:textId="77777777" w:rsidTr="004D1476">
        <w:trPr>
          <w:trHeight w:val="288"/>
        </w:trPr>
        <w:tc>
          <w:tcPr>
            <w:cnfStyle w:val="001000000000" w:firstRow="0" w:lastRow="0" w:firstColumn="1" w:lastColumn="0" w:oddVBand="0" w:evenVBand="0" w:oddHBand="0" w:evenHBand="0" w:firstRowFirstColumn="0" w:firstRowLastColumn="0" w:lastRowFirstColumn="0" w:lastRowLastColumn="0"/>
            <w:tcW w:w="2754" w:type="dxa"/>
            <w:vAlign w:val="center"/>
            <w:hideMark/>
          </w:tcPr>
          <w:p w14:paraId="1FE936CC" w14:textId="77777777" w:rsidR="00053A70" w:rsidRPr="009F5507" w:rsidRDefault="00053A70" w:rsidP="004D1476">
            <w:pPr>
              <w:jc w:val="center"/>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AST (IU/L)</w:t>
            </w:r>
          </w:p>
        </w:tc>
        <w:tc>
          <w:tcPr>
            <w:tcW w:w="1874" w:type="dxa"/>
            <w:vAlign w:val="center"/>
            <w:hideMark/>
          </w:tcPr>
          <w:p w14:paraId="50E7F724"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44.97 (13.25)</w:t>
            </w:r>
          </w:p>
        </w:tc>
        <w:tc>
          <w:tcPr>
            <w:tcW w:w="1760" w:type="dxa"/>
            <w:vAlign w:val="center"/>
            <w:hideMark/>
          </w:tcPr>
          <w:p w14:paraId="6E010168"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32.91 (10.84)</w:t>
            </w:r>
          </w:p>
        </w:tc>
        <w:tc>
          <w:tcPr>
            <w:tcW w:w="1416" w:type="dxa"/>
            <w:vAlign w:val="center"/>
            <w:hideMark/>
          </w:tcPr>
          <w:p w14:paraId="379FF11C"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0.48</w:t>
            </w:r>
          </w:p>
        </w:tc>
        <w:tc>
          <w:tcPr>
            <w:tcW w:w="1911" w:type="dxa"/>
            <w:vAlign w:val="center"/>
            <w:hideMark/>
          </w:tcPr>
          <w:p w14:paraId="0DF1A29B"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12.07 (12.46)</w:t>
            </w:r>
          </w:p>
        </w:tc>
        <w:tc>
          <w:tcPr>
            <w:tcW w:w="2063" w:type="dxa"/>
            <w:vAlign w:val="center"/>
            <w:hideMark/>
          </w:tcPr>
          <w:p w14:paraId="09F7C936"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9.81, 14.33</w:t>
            </w:r>
          </w:p>
        </w:tc>
        <w:tc>
          <w:tcPr>
            <w:tcW w:w="1056" w:type="dxa"/>
            <w:vAlign w:val="center"/>
            <w:hideMark/>
          </w:tcPr>
          <w:p w14:paraId="01EED93D"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10.5</w:t>
            </w:r>
            <w:r>
              <w:rPr>
                <w:rFonts w:asciiTheme="majorBidi" w:eastAsia="Times New Roman" w:hAnsiTheme="majorBidi" w:cstheme="majorBidi"/>
                <w:color w:val="000000"/>
                <w:lang w:bidi="ar-SA"/>
              </w:rPr>
              <w:t>7</w:t>
            </w:r>
          </w:p>
        </w:tc>
        <w:tc>
          <w:tcPr>
            <w:tcW w:w="1296" w:type="dxa"/>
            <w:vAlign w:val="center"/>
            <w:hideMark/>
          </w:tcPr>
          <w:p w14:paraId="4310AA9D"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&lt; 0.001</w:t>
            </w:r>
          </w:p>
        </w:tc>
      </w:tr>
      <w:tr w:rsidR="00053A70" w:rsidRPr="009F5507" w14:paraId="182DB063" w14:textId="77777777" w:rsidTr="004D147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54" w:type="dxa"/>
            <w:vAlign w:val="center"/>
            <w:hideMark/>
          </w:tcPr>
          <w:p w14:paraId="28905BD0" w14:textId="77777777" w:rsidR="00053A70" w:rsidRPr="009F5507" w:rsidRDefault="00053A70" w:rsidP="004D1476">
            <w:pPr>
              <w:jc w:val="center"/>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ALT (IU/L)</w:t>
            </w:r>
          </w:p>
        </w:tc>
        <w:tc>
          <w:tcPr>
            <w:tcW w:w="1874" w:type="dxa"/>
            <w:vAlign w:val="center"/>
            <w:hideMark/>
          </w:tcPr>
          <w:p w14:paraId="451EF5AE"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61.33 (39.57)</w:t>
            </w:r>
          </w:p>
        </w:tc>
        <w:tc>
          <w:tcPr>
            <w:tcW w:w="1760" w:type="dxa"/>
            <w:vAlign w:val="center"/>
            <w:hideMark/>
          </w:tcPr>
          <w:p w14:paraId="4FC3FA1D"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35.51 (11.66)</w:t>
            </w:r>
          </w:p>
        </w:tc>
        <w:tc>
          <w:tcPr>
            <w:tcW w:w="1416" w:type="dxa"/>
            <w:vAlign w:val="center"/>
            <w:hideMark/>
          </w:tcPr>
          <w:p w14:paraId="2C5F0593"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0.1</w:t>
            </w:r>
            <w:r>
              <w:rPr>
                <w:rFonts w:asciiTheme="majorBidi" w:eastAsia="Times New Roman" w:hAnsiTheme="majorBidi" w:cstheme="majorBidi"/>
                <w:color w:val="000000"/>
                <w:lang w:bidi="ar-SA"/>
              </w:rPr>
              <w:t>8</w:t>
            </w:r>
          </w:p>
        </w:tc>
        <w:tc>
          <w:tcPr>
            <w:tcW w:w="1911" w:type="dxa"/>
            <w:vAlign w:val="center"/>
            <w:hideMark/>
          </w:tcPr>
          <w:p w14:paraId="5465A67A"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25.82 (39.24)</w:t>
            </w:r>
          </w:p>
        </w:tc>
        <w:tc>
          <w:tcPr>
            <w:tcW w:w="2063" w:type="dxa"/>
            <w:vAlign w:val="center"/>
            <w:hideMark/>
          </w:tcPr>
          <w:p w14:paraId="5AB07A80"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18.69, 32.94</w:t>
            </w:r>
          </w:p>
        </w:tc>
        <w:tc>
          <w:tcPr>
            <w:tcW w:w="1056" w:type="dxa"/>
            <w:vAlign w:val="center"/>
            <w:hideMark/>
          </w:tcPr>
          <w:p w14:paraId="3F5854B8"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7.1</w:t>
            </w:r>
            <w:r>
              <w:rPr>
                <w:rFonts w:asciiTheme="majorBidi" w:eastAsia="Times New Roman" w:hAnsiTheme="majorBidi" w:cstheme="majorBidi"/>
                <w:color w:val="000000"/>
                <w:lang w:bidi="ar-SA"/>
              </w:rPr>
              <w:t>8</w:t>
            </w:r>
          </w:p>
        </w:tc>
        <w:tc>
          <w:tcPr>
            <w:tcW w:w="1296" w:type="dxa"/>
            <w:vAlign w:val="center"/>
            <w:hideMark/>
          </w:tcPr>
          <w:p w14:paraId="3AB6F6FA"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&lt; 0.001</w:t>
            </w:r>
          </w:p>
        </w:tc>
      </w:tr>
      <w:tr w:rsidR="00053A70" w:rsidRPr="009F5507" w14:paraId="75E35420" w14:textId="77777777" w:rsidTr="004D1476">
        <w:trPr>
          <w:trHeight w:val="288"/>
        </w:trPr>
        <w:tc>
          <w:tcPr>
            <w:cnfStyle w:val="001000000000" w:firstRow="0" w:lastRow="0" w:firstColumn="1" w:lastColumn="0" w:oddVBand="0" w:evenVBand="0" w:oddHBand="0" w:evenHBand="0" w:firstRowFirstColumn="0" w:firstRowLastColumn="0" w:lastRowFirstColumn="0" w:lastRowLastColumn="0"/>
            <w:tcW w:w="2754" w:type="dxa"/>
            <w:vAlign w:val="center"/>
            <w:hideMark/>
          </w:tcPr>
          <w:p w14:paraId="2BD47818" w14:textId="77777777" w:rsidR="00053A70" w:rsidRPr="009F5507" w:rsidRDefault="00053A70" w:rsidP="004D1476">
            <w:pPr>
              <w:jc w:val="center"/>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ALP (IU/L)</w:t>
            </w:r>
          </w:p>
        </w:tc>
        <w:tc>
          <w:tcPr>
            <w:tcW w:w="1874" w:type="dxa"/>
            <w:vAlign w:val="center"/>
            <w:hideMark/>
          </w:tcPr>
          <w:p w14:paraId="110FF80E"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191.56 (56.99)</w:t>
            </w:r>
          </w:p>
        </w:tc>
        <w:tc>
          <w:tcPr>
            <w:tcW w:w="1760" w:type="dxa"/>
            <w:vAlign w:val="center"/>
            <w:hideMark/>
          </w:tcPr>
          <w:p w14:paraId="2CABE191"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188.87 (55.09)</w:t>
            </w:r>
          </w:p>
        </w:tc>
        <w:tc>
          <w:tcPr>
            <w:tcW w:w="1416" w:type="dxa"/>
            <w:vAlign w:val="center"/>
            <w:hideMark/>
          </w:tcPr>
          <w:p w14:paraId="58F93F28"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w:t>
            </w:r>
            <w:r>
              <w:rPr>
                <w:rFonts w:asciiTheme="majorBidi" w:eastAsia="Times New Roman" w:hAnsiTheme="majorBidi" w:cstheme="majorBidi"/>
                <w:color w:val="000000"/>
                <w:lang w:bidi="ar-SA"/>
              </w:rPr>
              <w:t>90</w:t>
            </w:r>
          </w:p>
        </w:tc>
        <w:tc>
          <w:tcPr>
            <w:tcW w:w="1911" w:type="dxa"/>
            <w:vAlign w:val="center"/>
            <w:hideMark/>
          </w:tcPr>
          <w:p w14:paraId="6CF8C64F"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2.69 (25.31)</w:t>
            </w:r>
          </w:p>
        </w:tc>
        <w:tc>
          <w:tcPr>
            <w:tcW w:w="2063" w:type="dxa"/>
            <w:vAlign w:val="center"/>
            <w:hideMark/>
          </w:tcPr>
          <w:p w14:paraId="1EDCAA4E"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-1.90, 7.29</w:t>
            </w:r>
          </w:p>
        </w:tc>
        <w:tc>
          <w:tcPr>
            <w:tcW w:w="1056" w:type="dxa"/>
            <w:vAlign w:val="center"/>
            <w:hideMark/>
          </w:tcPr>
          <w:p w14:paraId="127E3181"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1.16</w:t>
            </w:r>
          </w:p>
        </w:tc>
        <w:tc>
          <w:tcPr>
            <w:tcW w:w="1296" w:type="dxa"/>
            <w:vAlign w:val="center"/>
            <w:hideMark/>
          </w:tcPr>
          <w:p w14:paraId="0E3DDA10"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0.248</w:t>
            </w:r>
          </w:p>
        </w:tc>
      </w:tr>
      <w:tr w:rsidR="00053A70" w:rsidRPr="009F5507" w14:paraId="67CC47E8" w14:textId="77777777" w:rsidTr="004D147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54" w:type="dxa"/>
            <w:vAlign w:val="center"/>
            <w:hideMark/>
          </w:tcPr>
          <w:p w14:paraId="2D1F584C" w14:textId="77777777" w:rsidR="00053A70" w:rsidRPr="009F5507" w:rsidRDefault="00053A70" w:rsidP="004D1476">
            <w:pPr>
              <w:jc w:val="center"/>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Total Bilirubin (mg/dL)</w:t>
            </w:r>
          </w:p>
        </w:tc>
        <w:tc>
          <w:tcPr>
            <w:tcW w:w="1874" w:type="dxa"/>
            <w:vAlign w:val="center"/>
            <w:hideMark/>
          </w:tcPr>
          <w:p w14:paraId="268B1B13"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0.87 (0.31)</w:t>
            </w:r>
          </w:p>
        </w:tc>
        <w:tc>
          <w:tcPr>
            <w:tcW w:w="1760" w:type="dxa"/>
            <w:vAlign w:val="center"/>
            <w:hideMark/>
          </w:tcPr>
          <w:p w14:paraId="419A7BF9"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0.87 (0.27)</w:t>
            </w:r>
          </w:p>
        </w:tc>
        <w:tc>
          <w:tcPr>
            <w:tcW w:w="1416" w:type="dxa"/>
            <w:vAlign w:val="center"/>
            <w:hideMark/>
          </w:tcPr>
          <w:p w14:paraId="5E92D1A7"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0.84</w:t>
            </w:r>
          </w:p>
        </w:tc>
        <w:tc>
          <w:tcPr>
            <w:tcW w:w="1911" w:type="dxa"/>
            <w:vAlign w:val="center"/>
            <w:hideMark/>
          </w:tcPr>
          <w:p w14:paraId="4181D779"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-0.0</w:t>
            </w:r>
            <w:r>
              <w:rPr>
                <w:rFonts w:asciiTheme="majorBidi" w:eastAsia="Times New Roman" w:hAnsiTheme="majorBidi" w:cstheme="majorBidi"/>
                <w:color w:val="000000"/>
                <w:lang w:bidi="ar-SA"/>
              </w:rPr>
              <w:t>1</w:t>
            </w:r>
            <w:r w:rsidRPr="009F5507">
              <w:rPr>
                <w:rFonts w:asciiTheme="majorBidi" w:eastAsia="Times New Roman" w:hAnsiTheme="majorBidi" w:cstheme="majorBidi"/>
                <w:color w:val="000000"/>
                <w:lang w:bidi="ar-SA"/>
              </w:rPr>
              <w:t xml:space="preserve"> (0.17)</w:t>
            </w:r>
          </w:p>
        </w:tc>
        <w:tc>
          <w:tcPr>
            <w:tcW w:w="2063" w:type="dxa"/>
            <w:vAlign w:val="center"/>
            <w:hideMark/>
          </w:tcPr>
          <w:p w14:paraId="2D3414B3"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-0.0</w:t>
            </w:r>
            <w:r>
              <w:rPr>
                <w:rFonts w:asciiTheme="majorBidi" w:eastAsia="Times New Roman" w:hAnsiTheme="majorBidi" w:cstheme="majorBidi"/>
                <w:color w:val="000000"/>
                <w:lang w:bidi="ar-SA"/>
              </w:rPr>
              <w:t>4</w:t>
            </w:r>
            <w:r w:rsidRPr="009F5507">
              <w:rPr>
                <w:rFonts w:asciiTheme="majorBidi" w:eastAsia="Times New Roman" w:hAnsiTheme="majorBidi" w:cstheme="majorBidi"/>
                <w:color w:val="000000"/>
                <w:lang w:bidi="ar-SA"/>
              </w:rPr>
              <w:t>, 0.0</w:t>
            </w:r>
            <w:r>
              <w:rPr>
                <w:rFonts w:asciiTheme="majorBidi" w:eastAsia="Times New Roman" w:hAnsiTheme="majorBidi" w:cstheme="majorBidi"/>
                <w:color w:val="000000"/>
                <w:lang w:bidi="ar-SA"/>
              </w:rPr>
              <w:t>3</w:t>
            </w:r>
          </w:p>
        </w:tc>
        <w:tc>
          <w:tcPr>
            <w:tcW w:w="1056" w:type="dxa"/>
            <w:vAlign w:val="center"/>
            <w:hideMark/>
          </w:tcPr>
          <w:p w14:paraId="420AE567"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-0.32</w:t>
            </w:r>
          </w:p>
        </w:tc>
        <w:tc>
          <w:tcPr>
            <w:tcW w:w="1296" w:type="dxa"/>
            <w:vAlign w:val="center"/>
            <w:hideMark/>
          </w:tcPr>
          <w:p w14:paraId="370F7A1C"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0.747</w:t>
            </w:r>
          </w:p>
        </w:tc>
      </w:tr>
      <w:tr w:rsidR="00053A70" w:rsidRPr="009F5507" w14:paraId="1D1EB42D" w14:textId="77777777" w:rsidTr="004D1476">
        <w:trPr>
          <w:trHeight w:val="288"/>
        </w:trPr>
        <w:tc>
          <w:tcPr>
            <w:cnfStyle w:val="001000000000" w:firstRow="0" w:lastRow="0" w:firstColumn="1" w:lastColumn="0" w:oddVBand="0" w:evenVBand="0" w:oddHBand="0" w:evenHBand="0" w:firstRowFirstColumn="0" w:firstRowLastColumn="0" w:lastRowFirstColumn="0" w:lastRowLastColumn="0"/>
            <w:tcW w:w="2754" w:type="dxa"/>
            <w:vAlign w:val="center"/>
            <w:hideMark/>
          </w:tcPr>
          <w:p w14:paraId="22EF70EA" w14:textId="77777777" w:rsidR="00053A70" w:rsidRPr="009F5507" w:rsidRDefault="00053A70" w:rsidP="004D1476">
            <w:pPr>
              <w:jc w:val="center"/>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Direct Bilirubin (mg/dL)</w:t>
            </w:r>
          </w:p>
        </w:tc>
        <w:tc>
          <w:tcPr>
            <w:tcW w:w="1874" w:type="dxa"/>
            <w:vAlign w:val="center"/>
            <w:hideMark/>
          </w:tcPr>
          <w:p w14:paraId="56CB8E7C"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0.26 (0.20)</w:t>
            </w:r>
          </w:p>
        </w:tc>
        <w:tc>
          <w:tcPr>
            <w:tcW w:w="1760" w:type="dxa"/>
            <w:vAlign w:val="center"/>
            <w:hideMark/>
          </w:tcPr>
          <w:p w14:paraId="5A25FDD7"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0.23 (0.17)</w:t>
            </w:r>
          </w:p>
        </w:tc>
        <w:tc>
          <w:tcPr>
            <w:tcW w:w="1416" w:type="dxa"/>
            <w:vAlign w:val="center"/>
            <w:hideMark/>
          </w:tcPr>
          <w:p w14:paraId="7E88164A"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0.8</w:t>
            </w:r>
            <w:r>
              <w:rPr>
                <w:rFonts w:asciiTheme="majorBidi" w:eastAsia="Times New Roman" w:hAnsiTheme="majorBidi" w:cstheme="majorBidi"/>
                <w:color w:val="000000"/>
                <w:lang w:bidi="ar-SA"/>
              </w:rPr>
              <w:t>2</w:t>
            </w:r>
          </w:p>
        </w:tc>
        <w:tc>
          <w:tcPr>
            <w:tcW w:w="1911" w:type="dxa"/>
            <w:vAlign w:val="center"/>
            <w:hideMark/>
          </w:tcPr>
          <w:p w14:paraId="45CC1862"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0.03 (0.1</w:t>
            </w:r>
            <w:r>
              <w:rPr>
                <w:rFonts w:asciiTheme="majorBidi" w:eastAsia="Times New Roman" w:hAnsiTheme="majorBidi" w:cstheme="majorBidi"/>
                <w:color w:val="000000"/>
                <w:lang w:bidi="ar-SA"/>
              </w:rPr>
              <w:t>2</w:t>
            </w:r>
            <w:r w:rsidRPr="009F5507">
              <w:rPr>
                <w:rFonts w:asciiTheme="majorBidi" w:eastAsia="Times New Roman" w:hAnsiTheme="majorBidi" w:cstheme="majorBidi"/>
                <w:color w:val="000000"/>
                <w:lang w:bidi="ar-SA"/>
              </w:rPr>
              <w:t>)</w:t>
            </w:r>
          </w:p>
        </w:tc>
        <w:tc>
          <w:tcPr>
            <w:tcW w:w="2063" w:type="dxa"/>
            <w:vAlign w:val="center"/>
            <w:hideMark/>
          </w:tcPr>
          <w:p w14:paraId="41D0390D"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0.0</w:t>
            </w:r>
            <w:r>
              <w:rPr>
                <w:rFonts w:asciiTheme="majorBidi" w:eastAsia="Times New Roman" w:hAnsiTheme="majorBidi" w:cstheme="majorBidi"/>
                <w:color w:val="000000"/>
                <w:lang w:bidi="ar-SA"/>
              </w:rPr>
              <w:t>1</w:t>
            </w:r>
            <w:r w:rsidRPr="009F5507">
              <w:rPr>
                <w:rFonts w:asciiTheme="majorBidi" w:eastAsia="Times New Roman" w:hAnsiTheme="majorBidi" w:cstheme="majorBidi"/>
                <w:color w:val="000000"/>
                <w:lang w:bidi="ar-SA"/>
              </w:rPr>
              <w:t>, 0.05</w:t>
            </w:r>
          </w:p>
        </w:tc>
        <w:tc>
          <w:tcPr>
            <w:tcW w:w="1056" w:type="dxa"/>
            <w:vAlign w:val="center"/>
            <w:hideMark/>
          </w:tcPr>
          <w:p w14:paraId="6C296C34"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2.7</w:t>
            </w:r>
            <w:r>
              <w:rPr>
                <w:rFonts w:asciiTheme="majorBidi" w:eastAsia="Times New Roman" w:hAnsiTheme="majorBidi" w:cstheme="majorBidi"/>
                <w:color w:val="000000"/>
                <w:lang w:bidi="ar-SA"/>
              </w:rPr>
              <w:t>3</w:t>
            </w:r>
          </w:p>
        </w:tc>
        <w:tc>
          <w:tcPr>
            <w:tcW w:w="1296" w:type="dxa"/>
            <w:vAlign w:val="center"/>
            <w:hideMark/>
          </w:tcPr>
          <w:p w14:paraId="0C2907D9"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0.007</w:t>
            </w:r>
          </w:p>
        </w:tc>
      </w:tr>
      <w:tr w:rsidR="00053A70" w:rsidRPr="009F5507" w14:paraId="55504237" w14:textId="77777777" w:rsidTr="004D147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54" w:type="dxa"/>
            <w:vAlign w:val="center"/>
            <w:hideMark/>
          </w:tcPr>
          <w:p w14:paraId="3DF2D97F" w14:textId="77777777" w:rsidR="00053A70" w:rsidRPr="009F5507" w:rsidRDefault="00053A70" w:rsidP="004D1476">
            <w:pPr>
              <w:jc w:val="center"/>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FIB-4 Index</w:t>
            </w:r>
          </w:p>
        </w:tc>
        <w:tc>
          <w:tcPr>
            <w:tcW w:w="1874" w:type="dxa"/>
            <w:vAlign w:val="center"/>
            <w:hideMark/>
          </w:tcPr>
          <w:p w14:paraId="288EAAFD"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1.31 (0.51)</w:t>
            </w:r>
          </w:p>
        </w:tc>
        <w:tc>
          <w:tcPr>
            <w:tcW w:w="1760" w:type="dxa"/>
            <w:vAlign w:val="center"/>
            <w:hideMark/>
          </w:tcPr>
          <w:p w14:paraId="04427B30"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1.21 (0.44)</w:t>
            </w:r>
          </w:p>
        </w:tc>
        <w:tc>
          <w:tcPr>
            <w:tcW w:w="1416" w:type="dxa"/>
            <w:vAlign w:val="center"/>
            <w:hideMark/>
          </w:tcPr>
          <w:p w14:paraId="057C9AA9"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0.8</w:t>
            </w:r>
            <w:r>
              <w:rPr>
                <w:rFonts w:asciiTheme="majorBidi" w:eastAsia="Times New Roman" w:hAnsiTheme="majorBidi" w:cstheme="majorBidi"/>
                <w:color w:val="000000"/>
                <w:lang w:bidi="ar-SA"/>
              </w:rPr>
              <w:t>2</w:t>
            </w:r>
          </w:p>
        </w:tc>
        <w:tc>
          <w:tcPr>
            <w:tcW w:w="1911" w:type="dxa"/>
            <w:vAlign w:val="center"/>
            <w:hideMark/>
          </w:tcPr>
          <w:p w14:paraId="1845FE0B"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0.10 (0.29)</w:t>
            </w:r>
          </w:p>
        </w:tc>
        <w:tc>
          <w:tcPr>
            <w:tcW w:w="2063" w:type="dxa"/>
            <w:vAlign w:val="center"/>
            <w:hideMark/>
          </w:tcPr>
          <w:p w14:paraId="502FABC2"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0.0</w:t>
            </w:r>
            <w:r>
              <w:rPr>
                <w:rFonts w:asciiTheme="majorBidi" w:eastAsia="Times New Roman" w:hAnsiTheme="majorBidi" w:cstheme="majorBidi"/>
                <w:color w:val="000000"/>
                <w:lang w:bidi="ar-SA"/>
              </w:rPr>
              <w:t>5</w:t>
            </w:r>
            <w:r w:rsidRPr="009F5507">
              <w:rPr>
                <w:rFonts w:asciiTheme="majorBidi" w:eastAsia="Times New Roman" w:hAnsiTheme="majorBidi" w:cstheme="majorBidi"/>
                <w:color w:val="000000"/>
                <w:lang w:bidi="ar-SA"/>
              </w:rPr>
              <w:t>, 0.1</w:t>
            </w:r>
            <w:r>
              <w:rPr>
                <w:rFonts w:asciiTheme="majorBidi" w:eastAsia="Times New Roman" w:hAnsiTheme="majorBidi" w:cstheme="majorBidi"/>
                <w:color w:val="000000"/>
                <w:lang w:bidi="ar-SA"/>
              </w:rPr>
              <w:t>6</w:t>
            </w:r>
          </w:p>
        </w:tc>
        <w:tc>
          <w:tcPr>
            <w:tcW w:w="1056" w:type="dxa"/>
            <w:vAlign w:val="center"/>
            <w:hideMark/>
          </w:tcPr>
          <w:p w14:paraId="4FDD216B"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3.8</w:t>
            </w:r>
            <w:r>
              <w:rPr>
                <w:rFonts w:asciiTheme="majorBidi" w:eastAsia="Times New Roman" w:hAnsiTheme="majorBidi" w:cstheme="majorBidi"/>
                <w:color w:val="000000"/>
                <w:lang w:bidi="ar-SA"/>
              </w:rPr>
              <w:t>1</w:t>
            </w:r>
          </w:p>
        </w:tc>
        <w:tc>
          <w:tcPr>
            <w:tcW w:w="1296" w:type="dxa"/>
            <w:vAlign w:val="center"/>
            <w:hideMark/>
          </w:tcPr>
          <w:p w14:paraId="7157EDF2" w14:textId="77777777" w:rsidR="00053A70" w:rsidRPr="009F5507" w:rsidRDefault="00053A70" w:rsidP="004D1476">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&lt; 0.001</w:t>
            </w:r>
          </w:p>
        </w:tc>
      </w:tr>
      <w:tr w:rsidR="00053A70" w:rsidRPr="009F5507" w14:paraId="1BD619EF" w14:textId="77777777" w:rsidTr="004D1476">
        <w:trPr>
          <w:trHeight w:val="288"/>
        </w:trPr>
        <w:tc>
          <w:tcPr>
            <w:cnfStyle w:val="001000000000" w:firstRow="0" w:lastRow="0" w:firstColumn="1" w:lastColumn="0" w:oddVBand="0" w:evenVBand="0" w:oddHBand="0" w:evenHBand="0" w:firstRowFirstColumn="0" w:firstRowLastColumn="0" w:lastRowFirstColumn="0" w:lastRowLastColumn="0"/>
            <w:tcW w:w="2754" w:type="dxa"/>
            <w:vAlign w:val="center"/>
            <w:hideMark/>
          </w:tcPr>
          <w:p w14:paraId="03092801" w14:textId="77777777" w:rsidR="00053A70" w:rsidRPr="009F5507" w:rsidRDefault="00053A70" w:rsidP="004D1476">
            <w:pPr>
              <w:jc w:val="center"/>
              <w:rPr>
                <w:rFonts w:asciiTheme="majorBidi" w:eastAsia="Times New Roman" w:hAnsiTheme="majorBidi" w:cstheme="majorBidi"/>
                <w:color w:val="000000"/>
                <w:lang w:bidi="ar-SA"/>
              </w:rPr>
            </w:pPr>
            <w:r w:rsidRPr="009F5507">
              <w:rPr>
                <w:rFonts w:asciiTheme="majorBidi" w:eastAsia="Times New Roman" w:hAnsiTheme="majorBidi" w:cstheme="majorBidi"/>
                <w:color w:val="000000"/>
                <w:lang w:bidi="ar-SA"/>
              </w:rPr>
              <w:t>NFS Score</w:t>
            </w:r>
          </w:p>
        </w:tc>
        <w:tc>
          <w:tcPr>
            <w:tcW w:w="1874" w:type="dxa"/>
            <w:vAlign w:val="center"/>
            <w:hideMark/>
          </w:tcPr>
          <w:p w14:paraId="115050AF"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4D1476">
              <w:rPr>
                <w:rFonts w:asciiTheme="majorBidi" w:eastAsia="Times New Roman" w:hAnsiTheme="majorBidi" w:cstheme="majorBidi"/>
                <w:color w:val="000000"/>
                <w:lang w:bidi="ar-SA"/>
              </w:rPr>
              <w:t>–0.996 (1.28)</w:t>
            </w:r>
          </w:p>
        </w:tc>
        <w:tc>
          <w:tcPr>
            <w:tcW w:w="1760" w:type="dxa"/>
            <w:vAlign w:val="center"/>
            <w:hideMark/>
          </w:tcPr>
          <w:p w14:paraId="51340465"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4D1476">
              <w:rPr>
                <w:rFonts w:asciiTheme="majorBidi" w:eastAsia="Times New Roman" w:hAnsiTheme="majorBidi" w:cstheme="majorBidi"/>
                <w:color w:val="000000"/>
                <w:lang w:bidi="ar-SA"/>
              </w:rPr>
              <w:t>–0.9</w:t>
            </w:r>
            <w:r>
              <w:rPr>
                <w:rFonts w:asciiTheme="majorBidi" w:eastAsia="Times New Roman" w:hAnsiTheme="majorBidi" w:cstheme="majorBidi"/>
                <w:color w:val="000000"/>
                <w:lang w:bidi="ar-SA"/>
              </w:rPr>
              <w:t>3</w:t>
            </w:r>
            <w:r w:rsidRPr="004D1476">
              <w:rPr>
                <w:rFonts w:asciiTheme="majorBidi" w:eastAsia="Times New Roman" w:hAnsiTheme="majorBidi" w:cstheme="majorBidi"/>
                <w:color w:val="000000"/>
                <w:lang w:bidi="ar-SA"/>
              </w:rPr>
              <w:t xml:space="preserve"> (1.08)</w:t>
            </w:r>
          </w:p>
        </w:tc>
        <w:tc>
          <w:tcPr>
            <w:tcW w:w="1416" w:type="dxa"/>
            <w:vAlign w:val="center"/>
            <w:hideMark/>
          </w:tcPr>
          <w:p w14:paraId="539977B9" w14:textId="77777777" w:rsidR="00053A70" w:rsidRPr="00B5727F"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4D1476">
              <w:rPr>
                <w:rFonts w:asciiTheme="majorBidi" w:eastAsia="Times New Roman" w:hAnsiTheme="majorBidi" w:cstheme="majorBidi"/>
                <w:color w:val="000000"/>
                <w:lang w:bidi="ar-SA"/>
              </w:rPr>
              <w:t>0.8</w:t>
            </w:r>
            <w:r>
              <w:rPr>
                <w:rFonts w:asciiTheme="majorBidi" w:eastAsia="Times New Roman" w:hAnsiTheme="majorBidi" w:cstheme="majorBidi"/>
                <w:color w:val="000000"/>
                <w:lang w:bidi="ar-SA"/>
              </w:rPr>
              <w:t>7</w:t>
            </w:r>
          </w:p>
        </w:tc>
        <w:tc>
          <w:tcPr>
            <w:tcW w:w="1911" w:type="dxa"/>
            <w:vAlign w:val="center"/>
            <w:hideMark/>
          </w:tcPr>
          <w:p w14:paraId="4192D6AA"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4D1476">
              <w:rPr>
                <w:rFonts w:asciiTheme="majorBidi" w:eastAsia="Times New Roman" w:hAnsiTheme="majorBidi" w:cstheme="majorBidi"/>
                <w:color w:val="000000"/>
                <w:lang w:bidi="ar-SA"/>
              </w:rPr>
              <w:t>–0.07 (0.64)</w:t>
            </w:r>
          </w:p>
        </w:tc>
        <w:tc>
          <w:tcPr>
            <w:tcW w:w="2063" w:type="dxa"/>
            <w:vAlign w:val="center"/>
            <w:hideMark/>
          </w:tcPr>
          <w:p w14:paraId="39420529"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4D1476">
              <w:rPr>
                <w:rFonts w:asciiTheme="majorBidi" w:eastAsia="Times New Roman" w:hAnsiTheme="majorBidi" w:cstheme="majorBidi"/>
                <w:color w:val="000000"/>
                <w:lang w:bidi="ar-SA"/>
              </w:rPr>
              <w:t>–0.1</w:t>
            </w:r>
            <w:r>
              <w:rPr>
                <w:rFonts w:asciiTheme="majorBidi" w:eastAsia="Times New Roman" w:hAnsiTheme="majorBidi" w:cstheme="majorBidi"/>
                <w:color w:val="000000"/>
                <w:lang w:bidi="ar-SA"/>
              </w:rPr>
              <w:t>9</w:t>
            </w:r>
            <w:r w:rsidRPr="004D1476">
              <w:rPr>
                <w:rFonts w:asciiTheme="majorBidi" w:eastAsia="Times New Roman" w:hAnsiTheme="majorBidi" w:cstheme="majorBidi"/>
                <w:color w:val="000000"/>
                <w:lang w:bidi="ar-SA"/>
              </w:rPr>
              <w:t>, 0.0</w:t>
            </w:r>
            <w:r>
              <w:rPr>
                <w:rFonts w:asciiTheme="majorBidi" w:eastAsia="Times New Roman" w:hAnsiTheme="majorBidi" w:cstheme="majorBidi"/>
                <w:color w:val="000000"/>
                <w:lang w:bidi="ar-SA"/>
              </w:rPr>
              <w:t>5</w:t>
            </w:r>
          </w:p>
        </w:tc>
        <w:tc>
          <w:tcPr>
            <w:tcW w:w="1056" w:type="dxa"/>
            <w:vAlign w:val="center"/>
            <w:hideMark/>
          </w:tcPr>
          <w:p w14:paraId="34CCC1B9"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4D1476">
              <w:rPr>
                <w:rFonts w:asciiTheme="majorBidi" w:eastAsia="Times New Roman" w:hAnsiTheme="majorBidi" w:cstheme="majorBidi"/>
                <w:color w:val="000000"/>
                <w:lang w:bidi="ar-SA"/>
              </w:rPr>
              <w:t>–1.1</w:t>
            </w:r>
            <w:r>
              <w:rPr>
                <w:rFonts w:asciiTheme="majorBidi" w:eastAsia="Times New Roman" w:hAnsiTheme="majorBidi" w:cstheme="majorBidi"/>
                <w:color w:val="000000"/>
                <w:lang w:bidi="ar-SA"/>
              </w:rPr>
              <w:t>9</w:t>
            </w:r>
          </w:p>
        </w:tc>
        <w:tc>
          <w:tcPr>
            <w:tcW w:w="1296" w:type="dxa"/>
            <w:vAlign w:val="center"/>
            <w:hideMark/>
          </w:tcPr>
          <w:p w14:paraId="2E30A927" w14:textId="77777777" w:rsidR="00053A70" w:rsidRPr="009F5507" w:rsidRDefault="00053A70" w:rsidP="004D1476">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lang w:bidi="ar-SA"/>
              </w:rPr>
            </w:pPr>
            <w:r w:rsidRPr="004D1476">
              <w:rPr>
                <w:rFonts w:asciiTheme="majorBidi" w:eastAsia="Times New Roman" w:hAnsiTheme="majorBidi" w:cstheme="majorBidi"/>
                <w:color w:val="000000"/>
                <w:lang w:bidi="ar-SA"/>
              </w:rPr>
              <w:t>0.237</w:t>
            </w:r>
          </w:p>
        </w:tc>
      </w:tr>
    </w:tbl>
    <w:p w14:paraId="7FAD945A" w14:textId="77777777" w:rsidR="00053A70" w:rsidRDefault="00053A70" w:rsidP="00053A70">
      <w:pPr>
        <w:jc w:val="both"/>
        <w:rPr>
          <w:rFonts w:asciiTheme="majorBidi" w:hAnsiTheme="majorBidi" w:cstheme="majorBidi"/>
        </w:rPr>
      </w:pPr>
    </w:p>
    <w:p w14:paraId="4121392E" w14:textId="77777777" w:rsidR="00053A70" w:rsidRPr="004D1476" w:rsidRDefault="00053A70" w:rsidP="00053A70">
      <w:pPr>
        <w:bidi w:val="0"/>
        <w:jc w:val="both"/>
        <w:rPr>
          <w:rFonts w:asciiTheme="majorBidi" w:hAnsiTheme="majorBidi" w:cstheme="majorBidi"/>
          <w:sz w:val="22"/>
          <w:szCs w:val="22"/>
        </w:rPr>
      </w:pPr>
      <w:r>
        <w:rPr>
          <w:rFonts w:asciiTheme="majorBidi" w:hAnsiTheme="majorBidi" w:cstheme="majorBidi"/>
        </w:rPr>
        <w:t xml:space="preserve">* </w:t>
      </w:r>
      <w:r w:rsidRPr="004D1476">
        <w:rPr>
          <w:rFonts w:asciiTheme="majorBidi" w:hAnsiTheme="majorBidi" w:cstheme="majorBidi"/>
          <w:sz w:val="22"/>
          <w:szCs w:val="22"/>
        </w:rPr>
        <w:t>Values are presented as mean (standard deviation, SD). Mean differences are derived from paired-sample t-tests, with corresponding 95% confidence intervals (CI), correlation coefficients, and p-values shown. p-values &lt;0.05 were considered statistically significant. Abbreviations: GGT, γ-glutamyl transferase; AST, aspartate aminotransferase; ALT, alanine aminotransferase; ALP, alkaline phosphatase; FIB-4, Fibrosis-4 index; NFS, NAFLD fibrosis score.</w:t>
      </w:r>
    </w:p>
    <w:p w14:paraId="3FA92886" w14:textId="77777777" w:rsidR="00053A70" w:rsidRDefault="00053A70" w:rsidP="00053A70">
      <w:pPr>
        <w:bidi w:val="0"/>
        <w:jc w:val="both"/>
        <w:sectPr w:rsidR="00053A70" w:rsidSect="00053A70">
          <w:pgSz w:w="15840" w:h="12240" w:orient="landscape"/>
          <w:pgMar w:top="1440" w:right="1440" w:bottom="1440" w:left="1440" w:header="720" w:footer="720" w:gutter="0"/>
          <w:cols w:space="720"/>
          <w:docGrid w:linePitch="360"/>
        </w:sectPr>
      </w:pPr>
    </w:p>
    <w:p w14:paraId="3BAB0868" w14:textId="2B6E4065" w:rsidR="00053A70" w:rsidRDefault="00053A70" w:rsidP="00053A70">
      <w:pPr>
        <w:bidi w:val="0"/>
        <w:jc w:val="both"/>
      </w:pPr>
    </w:p>
    <w:p w14:paraId="55A20512" w14:textId="51096E4C" w:rsidR="00C44B20" w:rsidRDefault="00C44B20" w:rsidP="00053A70">
      <w:pPr>
        <w:bidi w:val="0"/>
        <w:spacing w:after="160"/>
        <w:jc w:val="both"/>
        <w:rPr>
          <w:b/>
          <w:bCs/>
        </w:rPr>
      </w:pPr>
      <w:r>
        <w:rPr>
          <w:rStyle w:val="Strong"/>
        </w:rPr>
        <w:t xml:space="preserve">Supplementary Figure 1. </w:t>
      </w:r>
      <w:r w:rsidRPr="00C44B20">
        <w:rPr>
          <w:rStyle w:val="Strong"/>
          <w:b w:val="0"/>
          <w:bCs w:val="0"/>
        </w:rPr>
        <w:t>Forest plot of adjusted mean differences (95% CI) between experimental and control groups at 6 months.</w:t>
      </w:r>
      <w:r w:rsidRPr="00C44B20">
        <w:rPr>
          <w:b/>
          <w:bCs/>
        </w:rPr>
        <w:t xml:space="preserve"> </w:t>
      </w:r>
    </w:p>
    <w:p w14:paraId="12DBDC93" w14:textId="77777777" w:rsidR="00C44B20" w:rsidRPr="00C44B20" w:rsidRDefault="00C44B20" w:rsidP="00C44B20">
      <w:pPr>
        <w:bidi w:val="0"/>
        <w:spacing w:after="160"/>
        <w:jc w:val="both"/>
        <w:rPr>
          <w:b/>
          <w:bCs/>
        </w:rPr>
      </w:pPr>
    </w:p>
    <w:p w14:paraId="06812577" w14:textId="355BDA91" w:rsidR="00C44B20" w:rsidRDefault="001A70F0" w:rsidP="00C44B20">
      <w:pPr>
        <w:bidi w:val="0"/>
        <w:spacing w:after="160"/>
        <w:jc w:val="left"/>
      </w:pPr>
      <w:r>
        <w:rPr>
          <w:noProof/>
        </w:rPr>
        <w:drawing>
          <wp:inline distT="0" distB="0" distL="0" distR="0" wp14:anchorId="1FDCCB03" wp14:editId="14DBEB8B">
            <wp:extent cx="5227455" cy="3903837"/>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34823" cy="3909340"/>
                    </a:xfrm>
                    <a:prstGeom prst="rect">
                      <a:avLst/>
                    </a:prstGeom>
                  </pic:spPr>
                </pic:pic>
              </a:graphicData>
            </a:graphic>
          </wp:inline>
        </w:drawing>
      </w:r>
    </w:p>
    <w:p w14:paraId="63A99B91" w14:textId="77777777" w:rsidR="00C44B20" w:rsidRDefault="00C44B20" w:rsidP="00C44B20">
      <w:pPr>
        <w:bidi w:val="0"/>
        <w:jc w:val="both"/>
      </w:pPr>
    </w:p>
    <w:p w14:paraId="40A2D8CE" w14:textId="0971431F" w:rsidR="00987FD6" w:rsidRDefault="00C44B20" w:rsidP="00C44B20">
      <w:pPr>
        <w:bidi w:val="0"/>
        <w:jc w:val="both"/>
        <w:sectPr w:rsidR="00987FD6" w:rsidSect="00053A70">
          <w:pgSz w:w="12240" w:h="15840"/>
          <w:pgMar w:top="1440" w:right="1440" w:bottom="1440" w:left="1440" w:header="720" w:footer="720" w:gutter="0"/>
          <w:cols w:space="720"/>
          <w:docGrid w:linePitch="360"/>
        </w:sectPr>
      </w:pPr>
      <w:r>
        <w:t>*</w:t>
      </w:r>
      <w:r w:rsidR="001A70F0" w:rsidRPr="001A70F0">
        <w:t>Values were obtained using ANCOVA adjusted for baseline levels and age. Negative values indicate lower outcomes in the experimental group compared with the control group. Liver enzymes (ALT, AST, and GGT) and fasting blood sugar (FBS) showed significant reductions with empagliflozin compared to control. The FIB-4 index was also significantly lower in the intervention group, suggesting improved fibrosis. The NAFLD fibrosis score (NFS) showed no significant between-group difference. Platelet counts were comparable between groups. For visualization purposes, both FIB-4 and NFS values were multiplied by 10 to enhance visibility of effect sizes on the plot.</w:t>
      </w:r>
    </w:p>
    <w:p w14:paraId="385F3FDE" w14:textId="19D9DCAD" w:rsidR="00987FD6" w:rsidRDefault="004D4506" w:rsidP="00987FD6">
      <w:pPr>
        <w:bidi w:val="0"/>
        <w:jc w:val="both"/>
      </w:pPr>
      <w:r w:rsidRPr="004D4506">
        <w:rPr>
          <w:b/>
          <w:bCs/>
        </w:rPr>
        <w:lastRenderedPageBreak/>
        <w:t>Supplementary Table 3.</w:t>
      </w:r>
      <w:r w:rsidRPr="004D4506">
        <w:t xml:space="preserve"> Mixed-effects model results for changes in liver and metabolic outcomes at 6 months in patients with type 2 diabetes and NAFLD.</w:t>
      </w:r>
    </w:p>
    <w:tbl>
      <w:tblPr>
        <w:tblStyle w:val="PlainTable1"/>
        <w:tblW w:w="13741" w:type="dxa"/>
        <w:tblInd w:w="-455" w:type="dxa"/>
        <w:tblLook w:val="04A0" w:firstRow="1" w:lastRow="0" w:firstColumn="1" w:lastColumn="0" w:noHBand="0" w:noVBand="1"/>
      </w:tblPr>
      <w:tblGrid>
        <w:gridCol w:w="1980"/>
        <w:gridCol w:w="2041"/>
        <w:gridCol w:w="1466"/>
        <w:gridCol w:w="1470"/>
        <w:gridCol w:w="1179"/>
        <w:gridCol w:w="1183"/>
        <w:gridCol w:w="2442"/>
        <w:gridCol w:w="1980"/>
      </w:tblGrid>
      <w:tr w:rsidR="00987FD6" w:rsidRPr="00987FD6" w14:paraId="157167EA" w14:textId="77777777" w:rsidTr="00987F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5B3D00D4" w14:textId="77777777" w:rsidR="00987FD6" w:rsidRPr="00987FD6" w:rsidRDefault="00987FD6" w:rsidP="00987FD6">
            <w:pPr>
              <w:bidi w:val="0"/>
              <w:spacing w:after="0" w:line="240" w:lineRule="auto"/>
              <w:jc w:val="center"/>
              <w:rPr>
                <w:rFonts w:eastAsia="Times New Roman"/>
                <w:lang w:bidi="ar-SA"/>
              </w:rPr>
            </w:pPr>
            <w:r w:rsidRPr="00987FD6">
              <w:rPr>
                <w:rFonts w:eastAsia="Times New Roman"/>
                <w:lang w:bidi="ar-SA"/>
              </w:rPr>
              <w:t>Outcome</w:t>
            </w:r>
          </w:p>
        </w:tc>
        <w:tc>
          <w:tcPr>
            <w:tcW w:w="2041" w:type="dxa"/>
            <w:vAlign w:val="center"/>
            <w:hideMark/>
          </w:tcPr>
          <w:p w14:paraId="4E55A140" w14:textId="77777777" w:rsidR="00987FD6" w:rsidRPr="00987FD6" w:rsidRDefault="00987FD6" w:rsidP="00987FD6">
            <w:pPr>
              <w:bidi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lang w:bidi="ar-SA"/>
              </w:rPr>
            </w:pPr>
            <w:r w:rsidRPr="00987FD6">
              <w:rPr>
                <w:rFonts w:eastAsia="Times New Roman"/>
                <w:lang w:bidi="ar-SA"/>
              </w:rPr>
              <w:t>Model</w:t>
            </w:r>
          </w:p>
        </w:tc>
        <w:tc>
          <w:tcPr>
            <w:tcW w:w="0" w:type="auto"/>
            <w:vAlign w:val="center"/>
            <w:hideMark/>
          </w:tcPr>
          <w:p w14:paraId="46180518" w14:textId="77777777" w:rsidR="00987FD6" w:rsidRPr="00987FD6" w:rsidRDefault="00987FD6" w:rsidP="00987FD6">
            <w:pPr>
              <w:bidi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lang w:bidi="ar-SA"/>
              </w:rPr>
            </w:pPr>
            <w:r w:rsidRPr="00987FD6">
              <w:rPr>
                <w:rFonts w:eastAsia="Times New Roman"/>
                <w:lang w:bidi="ar-SA"/>
              </w:rPr>
              <w:t>Baseline Mean (Exp)</w:t>
            </w:r>
          </w:p>
        </w:tc>
        <w:tc>
          <w:tcPr>
            <w:tcW w:w="0" w:type="auto"/>
            <w:vAlign w:val="center"/>
            <w:hideMark/>
          </w:tcPr>
          <w:p w14:paraId="22883254" w14:textId="77777777" w:rsidR="00987FD6" w:rsidRPr="00987FD6" w:rsidRDefault="00987FD6" w:rsidP="00987FD6">
            <w:pPr>
              <w:bidi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lang w:bidi="ar-SA"/>
              </w:rPr>
            </w:pPr>
            <w:r w:rsidRPr="00987FD6">
              <w:rPr>
                <w:rFonts w:eastAsia="Times New Roman"/>
                <w:lang w:bidi="ar-SA"/>
              </w:rPr>
              <w:t>Baseline Mean (Ctrl)</w:t>
            </w:r>
          </w:p>
        </w:tc>
        <w:tc>
          <w:tcPr>
            <w:tcW w:w="0" w:type="auto"/>
            <w:vAlign w:val="center"/>
            <w:hideMark/>
          </w:tcPr>
          <w:p w14:paraId="5DFF745D" w14:textId="77777777" w:rsidR="00987FD6" w:rsidRPr="00987FD6" w:rsidRDefault="00987FD6" w:rsidP="00987FD6">
            <w:pPr>
              <w:bidi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lang w:bidi="ar-SA"/>
              </w:rPr>
            </w:pPr>
            <w:r w:rsidRPr="00987FD6">
              <w:rPr>
                <w:rFonts w:eastAsia="Times New Roman"/>
                <w:lang w:bidi="ar-SA"/>
              </w:rPr>
              <w:t>6-mo Mean (Exp)</w:t>
            </w:r>
          </w:p>
        </w:tc>
        <w:tc>
          <w:tcPr>
            <w:tcW w:w="0" w:type="auto"/>
            <w:vAlign w:val="center"/>
            <w:hideMark/>
          </w:tcPr>
          <w:p w14:paraId="2C20084D" w14:textId="77777777" w:rsidR="00987FD6" w:rsidRPr="00987FD6" w:rsidRDefault="00987FD6" w:rsidP="00987FD6">
            <w:pPr>
              <w:bidi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lang w:bidi="ar-SA"/>
              </w:rPr>
            </w:pPr>
            <w:r w:rsidRPr="00987FD6">
              <w:rPr>
                <w:rFonts w:eastAsia="Times New Roman"/>
                <w:lang w:bidi="ar-SA"/>
              </w:rPr>
              <w:t>6-mo Mean (Ctrl)</w:t>
            </w:r>
          </w:p>
        </w:tc>
        <w:tc>
          <w:tcPr>
            <w:tcW w:w="2442" w:type="dxa"/>
            <w:vAlign w:val="center"/>
            <w:hideMark/>
          </w:tcPr>
          <w:p w14:paraId="63EB36C1" w14:textId="77777777" w:rsidR="00987FD6" w:rsidRPr="00987FD6" w:rsidRDefault="00987FD6" w:rsidP="00987FD6">
            <w:pPr>
              <w:bidi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lang w:bidi="ar-SA"/>
              </w:rPr>
            </w:pPr>
            <w:r w:rsidRPr="00987FD6">
              <w:rPr>
                <w:rFonts w:eastAsia="Times New Roman"/>
                <w:lang w:bidi="ar-SA"/>
              </w:rPr>
              <w:t>Adjusted Mean Difference at 6 mo (95% CI)</w:t>
            </w:r>
          </w:p>
        </w:tc>
        <w:tc>
          <w:tcPr>
            <w:tcW w:w="0" w:type="auto"/>
            <w:vAlign w:val="center"/>
            <w:hideMark/>
          </w:tcPr>
          <w:p w14:paraId="51A08093" w14:textId="77777777" w:rsidR="00987FD6" w:rsidRPr="00987FD6" w:rsidRDefault="00987FD6" w:rsidP="00987FD6">
            <w:pPr>
              <w:bidi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lang w:bidi="ar-SA"/>
              </w:rPr>
            </w:pPr>
            <w:r w:rsidRPr="00987FD6">
              <w:rPr>
                <w:rFonts w:eastAsia="Times New Roman"/>
                <w:lang w:bidi="ar-SA"/>
              </w:rPr>
              <w:t>p-value (Group×Time)</w:t>
            </w:r>
          </w:p>
        </w:tc>
      </w:tr>
      <w:tr w:rsidR="00987FD6" w:rsidRPr="00987FD6" w14:paraId="10786310" w14:textId="77777777" w:rsidTr="00987F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3AAC2DB0" w14:textId="77777777" w:rsidR="00987FD6" w:rsidRPr="00987FD6" w:rsidRDefault="00987FD6" w:rsidP="00987FD6">
            <w:pPr>
              <w:bidi w:val="0"/>
              <w:spacing w:after="0" w:line="240" w:lineRule="auto"/>
              <w:jc w:val="center"/>
              <w:rPr>
                <w:rFonts w:eastAsia="Times New Roman"/>
                <w:lang w:bidi="ar-SA"/>
              </w:rPr>
            </w:pPr>
            <w:r w:rsidRPr="00987FD6">
              <w:rPr>
                <w:rFonts w:eastAsia="Times New Roman"/>
                <w:lang w:bidi="ar-SA"/>
              </w:rPr>
              <w:t>ALT (IU/L)</w:t>
            </w:r>
          </w:p>
        </w:tc>
        <w:tc>
          <w:tcPr>
            <w:tcW w:w="2041" w:type="dxa"/>
            <w:vAlign w:val="center"/>
            <w:hideMark/>
          </w:tcPr>
          <w:p w14:paraId="7A617CD2"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Mixed model (age-adjusted)</w:t>
            </w:r>
          </w:p>
        </w:tc>
        <w:tc>
          <w:tcPr>
            <w:tcW w:w="0" w:type="auto"/>
            <w:vAlign w:val="center"/>
            <w:hideMark/>
          </w:tcPr>
          <w:p w14:paraId="08FE73DC"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71.9</w:t>
            </w:r>
          </w:p>
        </w:tc>
        <w:tc>
          <w:tcPr>
            <w:tcW w:w="0" w:type="auto"/>
            <w:vAlign w:val="center"/>
            <w:hideMark/>
          </w:tcPr>
          <w:p w14:paraId="24AF843C"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48.5</w:t>
            </w:r>
          </w:p>
        </w:tc>
        <w:tc>
          <w:tcPr>
            <w:tcW w:w="0" w:type="auto"/>
            <w:vAlign w:val="center"/>
            <w:hideMark/>
          </w:tcPr>
          <w:p w14:paraId="7C70A5F2"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29.4</w:t>
            </w:r>
          </w:p>
        </w:tc>
        <w:tc>
          <w:tcPr>
            <w:tcW w:w="0" w:type="auto"/>
            <w:vAlign w:val="center"/>
            <w:hideMark/>
          </w:tcPr>
          <w:p w14:paraId="089B1EF1"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43.9</w:t>
            </w:r>
          </w:p>
        </w:tc>
        <w:tc>
          <w:tcPr>
            <w:tcW w:w="2442" w:type="dxa"/>
            <w:vAlign w:val="center"/>
            <w:hideMark/>
          </w:tcPr>
          <w:p w14:paraId="41FEB7ED"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–14.5 (–21.5 to –7.6)</w:t>
            </w:r>
          </w:p>
        </w:tc>
        <w:tc>
          <w:tcPr>
            <w:tcW w:w="0" w:type="auto"/>
            <w:vAlign w:val="center"/>
            <w:hideMark/>
          </w:tcPr>
          <w:p w14:paraId="63E2D7A9"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&lt;0.001</w:t>
            </w:r>
          </w:p>
        </w:tc>
      </w:tr>
      <w:tr w:rsidR="00987FD6" w:rsidRPr="00987FD6" w14:paraId="14803286" w14:textId="77777777" w:rsidTr="00987FD6">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757D092B" w14:textId="77777777" w:rsidR="00987FD6" w:rsidRPr="00987FD6" w:rsidRDefault="00987FD6" w:rsidP="00987FD6">
            <w:pPr>
              <w:bidi w:val="0"/>
              <w:spacing w:after="0" w:line="240" w:lineRule="auto"/>
              <w:jc w:val="center"/>
              <w:rPr>
                <w:rFonts w:eastAsia="Times New Roman"/>
                <w:lang w:bidi="ar-SA"/>
              </w:rPr>
            </w:pPr>
            <w:r w:rsidRPr="00987FD6">
              <w:rPr>
                <w:rFonts w:eastAsia="Times New Roman"/>
                <w:lang w:bidi="ar-SA"/>
              </w:rPr>
              <w:t>AST (IU/L)</w:t>
            </w:r>
          </w:p>
        </w:tc>
        <w:tc>
          <w:tcPr>
            <w:tcW w:w="2041" w:type="dxa"/>
            <w:vAlign w:val="center"/>
            <w:hideMark/>
          </w:tcPr>
          <w:p w14:paraId="58D5A4D7" w14:textId="77777777" w:rsidR="00987FD6" w:rsidRPr="00987FD6" w:rsidRDefault="00987FD6" w:rsidP="00987FD6">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Mixed model (age-adjusted)</w:t>
            </w:r>
          </w:p>
        </w:tc>
        <w:tc>
          <w:tcPr>
            <w:tcW w:w="0" w:type="auto"/>
            <w:vAlign w:val="center"/>
            <w:hideMark/>
          </w:tcPr>
          <w:p w14:paraId="1721AD71" w14:textId="77777777" w:rsidR="00987FD6" w:rsidRPr="00987FD6" w:rsidRDefault="00987FD6" w:rsidP="00987FD6">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46.1</w:t>
            </w:r>
          </w:p>
        </w:tc>
        <w:tc>
          <w:tcPr>
            <w:tcW w:w="0" w:type="auto"/>
            <w:vAlign w:val="center"/>
            <w:hideMark/>
          </w:tcPr>
          <w:p w14:paraId="020779A8" w14:textId="77777777" w:rsidR="00987FD6" w:rsidRPr="00987FD6" w:rsidRDefault="00987FD6" w:rsidP="00987FD6">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43.4</w:t>
            </w:r>
          </w:p>
        </w:tc>
        <w:tc>
          <w:tcPr>
            <w:tcW w:w="0" w:type="auto"/>
            <w:vAlign w:val="center"/>
            <w:hideMark/>
          </w:tcPr>
          <w:p w14:paraId="73D2DEF2" w14:textId="77777777" w:rsidR="00987FD6" w:rsidRPr="00987FD6" w:rsidRDefault="00987FD6" w:rsidP="00987FD6">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27.7</w:t>
            </w:r>
          </w:p>
        </w:tc>
        <w:tc>
          <w:tcPr>
            <w:tcW w:w="0" w:type="auto"/>
            <w:vAlign w:val="center"/>
            <w:hideMark/>
          </w:tcPr>
          <w:p w14:paraId="7BBFDD9A" w14:textId="77777777" w:rsidR="00987FD6" w:rsidRPr="00987FD6" w:rsidRDefault="00987FD6" w:rsidP="00987FD6">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40.0</w:t>
            </w:r>
          </w:p>
        </w:tc>
        <w:tc>
          <w:tcPr>
            <w:tcW w:w="2442" w:type="dxa"/>
            <w:vAlign w:val="center"/>
            <w:hideMark/>
          </w:tcPr>
          <w:p w14:paraId="0AA55F40" w14:textId="11B9B3D8" w:rsidR="00987FD6" w:rsidRPr="00987FD6" w:rsidRDefault="00987FD6" w:rsidP="00987FD6">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–12.3 (–15.6 to –9.0) *</w:t>
            </w:r>
          </w:p>
        </w:tc>
        <w:tc>
          <w:tcPr>
            <w:tcW w:w="0" w:type="auto"/>
            <w:vAlign w:val="center"/>
            <w:hideMark/>
          </w:tcPr>
          <w:p w14:paraId="0543C8EF" w14:textId="77777777" w:rsidR="00987FD6" w:rsidRPr="00987FD6" w:rsidRDefault="00987FD6" w:rsidP="00987FD6">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&lt;0.001</w:t>
            </w:r>
          </w:p>
        </w:tc>
      </w:tr>
      <w:tr w:rsidR="00987FD6" w:rsidRPr="00987FD6" w14:paraId="34A049F0" w14:textId="77777777" w:rsidTr="00987F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151EECEA" w14:textId="77777777" w:rsidR="00987FD6" w:rsidRPr="00987FD6" w:rsidRDefault="00987FD6" w:rsidP="00987FD6">
            <w:pPr>
              <w:bidi w:val="0"/>
              <w:spacing w:after="0" w:line="240" w:lineRule="auto"/>
              <w:jc w:val="center"/>
              <w:rPr>
                <w:rFonts w:eastAsia="Times New Roman"/>
                <w:lang w:bidi="ar-SA"/>
              </w:rPr>
            </w:pPr>
            <w:r w:rsidRPr="00987FD6">
              <w:rPr>
                <w:rFonts w:eastAsia="Times New Roman"/>
                <w:lang w:bidi="ar-SA"/>
              </w:rPr>
              <w:t>GGT (IU/L)</w:t>
            </w:r>
          </w:p>
        </w:tc>
        <w:tc>
          <w:tcPr>
            <w:tcW w:w="2041" w:type="dxa"/>
            <w:vAlign w:val="center"/>
            <w:hideMark/>
          </w:tcPr>
          <w:p w14:paraId="5E738341"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Mixed model (age-adjusted)</w:t>
            </w:r>
          </w:p>
        </w:tc>
        <w:tc>
          <w:tcPr>
            <w:tcW w:w="0" w:type="auto"/>
            <w:vAlign w:val="center"/>
            <w:hideMark/>
          </w:tcPr>
          <w:p w14:paraId="107F41F0"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60.3</w:t>
            </w:r>
          </w:p>
        </w:tc>
        <w:tc>
          <w:tcPr>
            <w:tcW w:w="0" w:type="auto"/>
            <w:vAlign w:val="center"/>
            <w:hideMark/>
          </w:tcPr>
          <w:p w14:paraId="7D11482F"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43.6</w:t>
            </w:r>
          </w:p>
        </w:tc>
        <w:tc>
          <w:tcPr>
            <w:tcW w:w="0" w:type="auto"/>
            <w:vAlign w:val="center"/>
            <w:hideMark/>
          </w:tcPr>
          <w:p w14:paraId="1B0B3587"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34.0</w:t>
            </w:r>
          </w:p>
        </w:tc>
        <w:tc>
          <w:tcPr>
            <w:tcW w:w="0" w:type="auto"/>
            <w:vAlign w:val="center"/>
            <w:hideMark/>
          </w:tcPr>
          <w:p w14:paraId="181138AA"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41.5</w:t>
            </w:r>
          </w:p>
        </w:tc>
        <w:tc>
          <w:tcPr>
            <w:tcW w:w="2442" w:type="dxa"/>
            <w:vAlign w:val="center"/>
            <w:hideMark/>
          </w:tcPr>
          <w:p w14:paraId="67B78335" w14:textId="56753425"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–7.5 (–11.0 to –4.0) *</w:t>
            </w:r>
          </w:p>
        </w:tc>
        <w:tc>
          <w:tcPr>
            <w:tcW w:w="0" w:type="auto"/>
            <w:vAlign w:val="center"/>
            <w:hideMark/>
          </w:tcPr>
          <w:p w14:paraId="063183F7"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&lt;0.001</w:t>
            </w:r>
          </w:p>
        </w:tc>
      </w:tr>
      <w:tr w:rsidR="00987FD6" w:rsidRPr="00987FD6" w14:paraId="6736C5A8" w14:textId="77777777" w:rsidTr="00987FD6">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0441404D" w14:textId="77777777" w:rsidR="00987FD6" w:rsidRPr="00987FD6" w:rsidRDefault="00987FD6" w:rsidP="00987FD6">
            <w:pPr>
              <w:bidi w:val="0"/>
              <w:spacing w:after="0" w:line="240" w:lineRule="auto"/>
              <w:jc w:val="center"/>
              <w:rPr>
                <w:rFonts w:eastAsia="Times New Roman"/>
                <w:lang w:bidi="ar-SA"/>
              </w:rPr>
            </w:pPr>
            <w:r w:rsidRPr="00987FD6">
              <w:rPr>
                <w:rFonts w:eastAsia="Times New Roman"/>
                <w:lang w:bidi="ar-SA"/>
              </w:rPr>
              <w:t>FBS (mg/dL)</w:t>
            </w:r>
          </w:p>
        </w:tc>
        <w:tc>
          <w:tcPr>
            <w:tcW w:w="2041" w:type="dxa"/>
            <w:vAlign w:val="center"/>
            <w:hideMark/>
          </w:tcPr>
          <w:p w14:paraId="564C81B8" w14:textId="77777777" w:rsidR="00987FD6" w:rsidRPr="00987FD6" w:rsidRDefault="00987FD6" w:rsidP="00987FD6">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Mixed model (age-adjusted)</w:t>
            </w:r>
          </w:p>
        </w:tc>
        <w:tc>
          <w:tcPr>
            <w:tcW w:w="0" w:type="auto"/>
            <w:vAlign w:val="center"/>
            <w:hideMark/>
          </w:tcPr>
          <w:p w14:paraId="50194F14" w14:textId="77777777" w:rsidR="00987FD6" w:rsidRPr="00987FD6" w:rsidRDefault="00987FD6" w:rsidP="00987FD6">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124.6</w:t>
            </w:r>
          </w:p>
        </w:tc>
        <w:tc>
          <w:tcPr>
            <w:tcW w:w="0" w:type="auto"/>
            <w:vAlign w:val="center"/>
            <w:hideMark/>
          </w:tcPr>
          <w:p w14:paraId="75FB86EE" w14:textId="77777777" w:rsidR="00987FD6" w:rsidRPr="00987FD6" w:rsidRDefault="00987FD6" w:rsidP="00987FD6">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112.9</w:t>
            </w:r>
          </w:p>
        </w:tc>
        <w:tc>
          <w:tcPr>
            <w:tcW w:w="0" w:type="auto"/>
            <w:vAlign w:val="center"/>
            <w:hideMark/>
          </w:tcPr>
          <w:p w14:paraId="4D746267" w14:textId="77777777" w:rsidR="00987FD6" w:rsidRPr="00987FD6" w:rsidRDefault="00987FD6" w:rsidP="00987FD6">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104.5</w:t>
            </w:r>
          </w:p>
        </w:tc>
        <w:tc>
          <w:tcPr>
            <w:tcW w:w="0" w:type="auto"/>
            <w:vAlign w:val="center"/>
            <w:hideMark/>
          </w:tcPr>
          <w:p w14:paraId="04EFF2B2" w14:textId="77777777" w:rsidR="00987FD6" w:rsidRPr="00987FD6" w:rsidRDefault="00987FD6" w:rsidP="00987FD6">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107.6</w:t>
            </w:r>
          </w:p>
        </w:tc>
        <w:tc>
          <w:tcPr>
            <w:tcW w:w="2442" w:type="dxa"/>
            <w:vAlign w:val="center"/>
            <w:hideMark/>
          </w:tcPr>
          <w:p w14:paraId="043E5203" w14:textId="7F79D258" w:rsidR="00987FD6" w:rsidRPr="00987FD6" w:rsidRDefault="00987FD6" w:rsidP="00987FD6">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–3.1 (–7.8 to +1.6)</w:t>
            </w:r>
          </w:p>
        </w:tc>
        <w:tc>
          <w:tcPr>
            <w:tcW w:w="0" w:type="auto"/>
            <w:vAlign w:val="center"/>
            <w:hideMark/>
          </w:tcPr>
          <w:p w14:paraId="65DCEB2B" w14:textId="77777777" w:rsidR="00987FD6" w:rsidRPr="00987FD6" w:rsidRDefault="00987FD6" w:rsidP="00987FD6">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&lt;0.001</w:t>
            </w:r>
          </w:p>
        </w:tc>
      </w:tr>
      <w:tr w:rsidR="00987FD6" w:rsidRPr="00987FD6" w14:paraId="534290DE" w14:textId="77777777" w:rsidTr="00987F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3B49B398" w14:textId="77777777" w:rsidR="00987FD6" w:rsidRPr="00987FD6" w:rsidRDefault="00987FD6" w:rsidP="00987FD6">
            <w:pPr>
              <w:bidi w:val="0"/>
              <w:spacing w:after="0" w:line="240" w:lineRule="auto"/>
              <w:jc w:val="center"/>
              <w:rPr>
                <w:rFonts w:eastAsia="Times New Roman"/>
                <w:lang w:bidi="ar-SA"/>
              </w:rPr>
            </w:pPr>
            <w:r w:rsidRPr="00987FD6">
              <w:rPr>
                <w:rFonts w:eastAsia="Times New Roman"/>
                <w:lang w:bidi="ar-SA"/>
              </w:rPr>
              <w:t>FIB-4</w:t>
            </w:r>
          </w:p>
        </w:tc>
        <w:tc>
          <w:tcPr>
            <w:tcW w:w="2041" w:type="dxa"/>
            <w:vAlign w:val="center"/>
            <w:hideMark/>
          </w:tcPr>
          <w:p w14:paraId="157BA7D6"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Mixed model (age-adjusted)</w:t>
            </w:r>
          </w:p>
        </w:tc>
        <w:tc>
          <w:tcPr>
            <w:tcW w:w="0" w:type="auto"/>
            <w:vAlign w:val="center"/>
            <w:hideMark/>
          </w:tcPr>
          <w:p w14:paraId="43E27982"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1.26</w:t>
            </w:r>
          </w:p>
        </w:tc>
        <w:tc>
          <w:tcPr>
            <w:tcW w:w="0" w:type="auto"/>
            <w:vAlign w:val="center"/>
            <w:hideMark/>
          </w:tcPr>
          <w:p w14:paraId="625C55FA"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1.37</w:t>
            </w:r>
          </w:p>
        </w:tc>
        <w:tc>
          <w:tcPr>
            <w:tcW w:w="0" w:type="auto"/>
            <w:vAlign w:val="center"/>
            <w:hideMark/>
          </w:tcPr>
          <w:p w14:paraId="0B5B4B4A"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1.13</w:t>
            </w:r>
          </w:p>
        </w:tc>
        <w:tc>
          <w:tcPr>
            <w:tcW w:w="0" w:type="auto"/>
            <w:vAlign w:val="center"/>
            <w:hideMark/>
          </w:tcPr>
          <w:p w14:paraId="486405D6"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1.32</w:t>
            </w:r>
          </w:p>
        </w:tc>
        <w:tc>
          <w:tcPr>
            <w:tcW w:w="2442" w:type="dxa"/>
            <w:vAlign w:val="center"/>
            <w:hideMark/>
          </w:tcPr>
          <w:p w14:paraId="4040C62C"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–0.20 (–0.43 to +0.02)</w:t>
            </w:r>
          </w:p>
        </w:tc>
        <w:tc>
          <w:tcPr>
            <w:tcW w:w="0" w:type="auto"/>
            <w:vAlign w:val="center"/>
            <w:hideMark/>
          </w:tcPr>
          <w:p w14:paraId="0FFF6140"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0.098</w:t>
            </w:r>
          </w:p>
        </w:tc>
      </w:tr>
      <w:tr w:rsidR="001A70F0" w:rsidRPr="00987FD6" w14:paraId="776E7C7E" w14:textId="77777777" w:rsidTr="00987FD6">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3BBC6C77" w14:textId="77777777" w:rsidR="001A70F0" w:rsidRPr="00987FD6" w:rsidRDefault="001A70F0" w:rsidP="001A70F0">
            <w:pPr>
              <w:bidi w:val="0"/>
              <w:spacing w:after="0" w:line="240" w:lineRule="auto"/>
              <w:jc w:val="center"/>
              <w:rPr>
                <w:rFonts w:eastAsia="Times New Roman"/>
                <w:lang w:bidi="ar-SA"/>
              </w:rPr>
            </w:pPr>
            <w:r w:rsidRPr="00987FD6">
              <w:rPr>
                <w:rFonts w:eastAsia="Times New Roman"/>
                <w:lang w:bidi="ar-SA"/>
              </w:rPr>
              <w:t>NFS</w:t>
            </w:r>
          </w:p>
        </w:tc>
        <w:tc>
          <w:tcPr>
            <w:tcW w:w="2041" w:type="dxa"/>
            <w:vAlign w:val="center"/>
            <w:hideMark/>
          </w:tcPr>
          <w:p w14:paraId="4699E693" w14:textId="77777777" w:rsidR="001A70F0" w:rsidRPr="00987FD6" w:rsidRDefault="001A70F0" w:rsidP="001A70F0">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987FD6">
              <w:rPr>
                <w:rFonts w:eastAsia="Times New Roman"/>
                <w:lang w:bidi="ar-SA"/>
              </w:rPr>
              <w:t>Mixed model (age-adjusted)</w:t>
            </w:r>
          </w:p>
        </w:tc>
        <w:tc>
          <w:tcPr>
            <w:tcW w:w="0" w:type="auto"/>
            <w:vAlign w:val="center"/>
            <w:hideMark/>
          </w:tcPr>
          <w:p w14:paraId="192F6AF9" w14:textId="6EBF34A6" w:rsidR="001A70F0" w:rsidRPr="00987FD6" w:rsidRDefault="001A70F0" w:rsidP="001A70F0">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CD7135">
              <w:rPr>
                <w:rFonts w:eastAsia="Times New Roman"/>
                <w:lang w:bidi="ar-SA"/>
              </w:rPr>
              <w:t>–1.21</w:t>
            </w:r>
          </w:p>
        </w:tc>
        <w:tc>
          <w:tcPr>
            <w:tcW w:w="0" w:type="auto"/>
            <w:vAlign w:val="center"/>
            <w:hideMark/>
          </w:tcPr>
          <w:p w14:paraId="4B279691" w14:textId="7BD55887" w:rsidR="001A70F0" w:rsidRPr="00987FD6" w:rsidRDefault="001A70F0" w:rsidP="001A70F0">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CD7135">
              <w:rPr>
                <w:rFonts w:eastAsia="Times New Roman"/>
                <w:lang w:bidi="ar-SA"/>
              </w:rPr>
              <w:t>–0.70</w:t>
            </w:r>
          </w:p>
        </w:tc>
        <w:tc>
          <w:tcPr>
            <w:tcW w:w="0" w:type="auto"/>
            <w:vAlign w:val="center"/>
            <w:hideMark/>
          </w:tcPr>
          <w:p w14:paraId="48C816C9" w14:textId="46260F15" w:rsidR="001A70F0" w:rsidRPr="00987FD6" w:rsidRDefault="001A70F0" w:rsidP="001A70F0">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CD7135">
              <w:rPr>
                <w:rFonts w:eastAsia="Times New Roman"/>
                <w:lang w:bidi="ar-SA"/>
              </w:rPr>
              <w:t>–1.09</w:t>
            </w:r>
          </w:p>
        </w:tc>
        <w:tc>
          <w:tcPr>
            <w:tcW w:w="0" w:type="auto"/>
            <w:vAlign w:val="center"/>
            <w:hideMark/>
          </w:tcPr>
          <w:p w14:paraId="3F1EFC41" w14:textId="3004BD04" w:rsidR="001A70F0" w:rsidRPr="00987FD6" w:rsidRDefault="001A70F0" w:rsidP="001A70F0">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CD7135">
              <w:rPr>
                <w:rFonts w:eastAsia="Times New Roman"/>
                <w:lang w:bidi="ar-SA"/>
              </w:rPr>
              <w:t>–0.70</w:t>
            </w:r>
          </w:p>
        </w:tc>
        <w:tc>
          <w:tcPr>
            <w:tcW w:w="2442" w:type="dxa"/>
            <w:vAlign w:val="center"/>
            <w:hideMark/>
          </w:tcPr>
          <w:p w14:paraId="22C01E49" w14:textId="1F99D11C" w:rsidR="001A70F0" w:rsidRPr="00987FD6" w:rsidRDefault="001A70F0" w:rsidP="001A70F0">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CD7135">
              <w:rPr>
                <w:rFonts w:eastAsia="Times New Roman"/>
                <w:lang w:bidi="ar-SA"/>
              </w:rPr>
              <w:t>–0.38 (–0.91 to 0.15)</w:t>
            </w:r>
          </w:p>
        </w:tc>
        <w:tc>
          <w:tcPr>
            <w:tcW w:w="0" w:type="auto"/>
            <w:vAlign w:val="center"/>
            <w:hideMark/>
          </w:tcPr>
          <w:p w14:paraId="3F5693BC" w14:textId="40561C1B" w:rsidR="001A70F0" w:rsidRPr="00987FD6" w:rsidRDefault="001A70F0" w:rsidP="001A70F0">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CD7135">
              <w:rPr>
                <w:rFonts w:eastAsia="Times New Roman"/>
                <w:lang w:bidi="ar-SA"/>
              </w:rPr>
              <w:t>0.261</w:t>
            </w:r>
          </w:p>
        </w:tc>
      </w:tr>
      <w:tr w:rsidR="00987FD6" w:rsidRPr="00987FD6" w14:paraId="67A9D125" w14:textId="77777777" w:rsidTr="00987F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64AAEEDF" w14:textId="77777777" w:rsidR="00987FD6" w:rsidRPr="00987FD6" w:rsidRDefault="00987FD6" w:rsidP="00987FD6">
            <w:pPr>
              <w:bidi w:val="0"/>
              <w:spacing w:after="0" w:line="240" w:lineRule="auto"/>
              <w:jc w:val="center"/>
              <w:rPr>
                <w:rFonts w:eastAsia="Times New Roman"/>
                <w:lang w:bidi="ar-SA"/>
              </w:rPr>
            </w:pPr>
            <w:r w:rsidRPr="00987FD6">
              <w:rPr>
                <w:rFonts w:eastAsia="Times New Roman"/>
                <w:lang w:bidi="ar-SA"/>
              </w:rPr>
              <w:t>Platelet count (×10³/µL)</w:t>
            </w:r>
          </w:p>
        </w:tc>
        <w:tc>
          <w:tcPr>
            <w:tcW w:w="2041" w:type="dxa"/>
            <w:vAlign w:val="center"/>
            <w:hideMark/>
          </w:tcPr>
          <w:p w14:paraId="0C9AE005"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Mixed model (age-adjusted)</w:t>
            </w:r>
          </w:p>
        </w:tc>
        <w:tc>
          <w:tcPr>
            <w:tcW w:w="0" w:type="auto"/>
            <w:vAlign w:val="center"/>
            <w:hideMark/>
          </w:tcPr>
          <w:p w14:paraId="2C90CEB9"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248.4</w:t>
            </w:r>
          </w:p>
        </w:tc>
        <w:tc>
          <w:tcPr>
            <w:tcW w:w="0" w:type="auto"/>
            <w:vAlign w:val="center"/>
            <w:hideMark/>
          </w:tcPr>
          <w:p w14:paraId="4A575DCE"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227.4</w:t>
            </w:r>
          </w:p>
        </w:tc>
        <w:tc>
          <w:tcPr>
            <w:tcW w:w="0" w:type="auto"/>
            <w:vAlign w:val="center"/>
            <w:hideMark/>
          </w:tcPr>
          <w:p w14:paraId="14B6966F"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234.2</w:t>
            </w:r>
          </w:p>
        </w:tc>
        <w:tc>
          <w:tcPr>
            <w:tcW w:w="0" w:type="auto"/>
            <w:vAlign w:val="center"/>
            <w:hideMark/>
          </w:tcPr>
          <w:p w14:paraId="3BB5D7B2"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228.1</w:t>
            </w:r>
          </w:p>
        </w:tc>
        <w:tc>
          <w:tcPr>
            <w:tcW w:w="2442" w:type="dxa"/>
            <w:vAlign w:val="center"/>
            <w:hideMark/>
          </w:tcPr>
          <w:p w14:paraId="4A20AA6B"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+6.2 (–7.5 to +19.9)</w:t>
            </w:r>
          </w:p>
        </w:tc>
        <w:tc>
          <w:tcPr>
            <w:tcW w:w="0" w:type="auto"/>
            <w:vAlign w:val="center"/>
            <w:hideMark/>
          </w:tcPr>
          <w:p w14:paraId="6236B425" w14:textId="77777777" w:rsidR="00987FD6" w:rsidRPr="00987FD6" w:rsidRDefault="00987FD6" w:rsidP="00987FD6">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987FD6">
              <w:rPr>
                <w:rFonts w:eastAsia="Times New Roman"/>
                <w:lang w:bidi="ar-SA"/>
              </w:rPr>
              <w:t>0.154</w:t>
            </w:r>
          </w:p>
        </w:tc>
      </w:tr>
    </w:tbl>
    <w:p w14:paraId="6635E5E3" w14:textId="77777777" w:rsidR="00987FD6" w:rsidRDefault="00987FD6" w:rsidP="00987FD6">
      <w:pPr>
        <w:bidi w:val="0"/>
        <w:jc w:val="both"/>
      </w:pPr>
    </w:p>
    <w:p w14:paraId="0A81D535" w14:textId="77777777" w:rsidR="004D4506" w:rsidRDefault="002A4D2C" w:rsidP="004D4506">
      <w:pPr>
        <w:bidi w:val="0"/>
        <w:jc w:val="both"/>
      </w:pPr>
      <w:r w:rsidRPr="002A4D2C">
        <w:t>* Estimated marginal means (EMMs) with standard errors (SE) and 95% confidence intervals (CIs) are presented for each group (empagliflozin vs. control) at baseline and 6 months. Models were fitted using linear mixed-effects regression with restricted maximum likelihood (REML) estimation, including fixed effects for group (empagliflozin vs. control), time (baseline vs. 6 months), age, and the group × time interaction. Repeated measures were modeled with a compound symmetry covariance structure at the participant level. Reported p-values for group × time interaction test whether the change over time differed significantly between groups. Negative adjusted mean differences indicate greater reductions in the empagliflozin group compared with controls.</w:t>
      </w:r>
    </w:p>
    <w:p w14:paraId="087679FF" w14:textId="77777777" w:rsidR="004D4506" w:rsidRDefault="004D4506" w:rsidP="004D4506">
      <w:pPr>
        <w:bidi w:val="0"/>
        <w:jc w:val="both"/>
        <w:rPr>
          <w:b/>
          <w:bCs/>
        </w:rPr>
      </w:pPr>
    </w:p>
    <w:p w14:paraId="549C0E74" w14:textId="31DD0E33" w:rsidR="00C44B20" w:rsidRDefault="004D4506" w:rsidP="004D4506">
      <w:pPr>
        <w:bidi w:val="0"/>
        <w:jc w:val="both"/>
      </w:pPr>
      <w:r w:rsidRPr="004D4506">
        <w:rPr>
          <w:b/>
          <w:bCs/>
        </w:rPr>
        <w:t>Supplementary Table 4.</w:t>
      </w:r>
      <w:r w:rsidRPr="004D4506">
        <w:t xml:space="preserve"> Subgroup analysis of empagliflozin dosage effects on liver and metabolic outcomes at 6 months (ANCOVA adjusted for baseline values and age)</w:t>
      </w:r>
    </w:p>
    <w:tbl>
      <w:tblPr>
        <w:tblStyle w:val="PlainTable11"/>
        <w:tblW w:w="0" w:type="auto"/>
        <w:tblInd w:w="-185" w:type="dxa"/>
        <w:tblLook w:val="04A0" w:firstRow="1" w:lastRow="0" w:firstColumn="1" w:lastColumn="0" w:noHBand="0" w:noVBand="1"/>
      </w:tblPr>
      <w:tblGrid>
        <w:gridCol w:w="2070"/>
        <w:gridCol w:w="3016"/>
        <w:gridCol w:w="3016"/>
        <w:gridCol w:w="3883"/>
        <w:gridCol w:w="977"/>
      </w:tblGrid>
      <w:tr w:rsidR="00B7368C" w:rsidRPr="00B7368C" w14:paraId="4D94C7A9" w14:textId="77777777" w:rsidTr="00B7368C">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070" w:type="dxa"/>
            <w:vAlign w:val="center"/>
            <w:hideMark/>
          </w:tcPr>
          <w:p w14:paraId="7E977670" w14:textId="77777777" w:rsidR="00B7368C" w:rsidRPr="00B7368C" w:rsidRDefault="00B7368C" w:rsidP="00B7368C">
            <w:pPr>
              <w:bidi w:val="0"/>
              <w:spacing w:after="0" w:line="240" w:lineRule="auto"/>
              <w:jc w:val="center"/>
              <w:rPr>
                <w:rFonts w:eastAsia="Times New Roman"/>
                <w:lang w:bidi="ar-SA"/>
              </w:rPr>
            </w:pPr>
            <w:r w:rsidRPr="00B7368C">
              <w:rPr>
                <w:rFonts w:eastAsia="Times New Roman"/>
                <w:lang w:bidi="ar-SA"/>
              </w:rPr>
              <w:t>Outcome</w:t>
            </w:r>
          </w:p>
        </w:tc>
        <w:tc>
          <w:tcPr>
            <w:tcW w:w="0" w:type="auto"/>
            <w:vAlign w:val="center"/>
            <w:hideMark/>
          </w:tcPr>
          <w:p w14:paraId="13A7A565" w14:textId="77777777" w:rsidR="00B7368C" w:rsidRPr="00B7368C" w:rsidRDefault="00B7368C" w:rsidP="00B7368C">
            <w:pPr>
              <w:bidi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10 mg adj. mean (95% CI)</w:t>
            </w:r>
          </w:p>
        </w:tc>
        <w:tc>
          <w:tcPr>
            <w:tcW w:w="0" w:type="auto"/>
            <w:vAlign w:val="center"/>
            <w:hideMark/>
          </w:tcPr>
          <w:p w14:paraId="2180CD2A" w14:textId="77777777" w:rsidR="00B7368C" w:rsidRPr="00B7368C" w:rsidRDefault="00B7368C" w:rsidP="00B7368C">
            <w:pPr>
              <w:bidi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25 mg adj. mean (95% CI)</w:t>
            </w:r>
          </w:p>
        </w:tc>
        <w:tc>
          <w:tcPr>
            <w:tcW w:w="0" w:type="auto"/>
            <w:vAlign w:val="center"/>
            <w:hideMark/>
          </w:tcPr>
          <w:p w14:paraId="654B83F2" w14:textId="77777777" w:rsidR="00B7368C" w:rsidRPr="00B7368C" w:rsidRDefault="00B7368C" w:rsidP="00B7368C">
            <w:pPr>
              <w:bidi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Adjusted mean difference (95% CI)</w:t>
            </w:r>
          </w:p>
        </w:tc>
        <w:tc>
          <w:tcPr>
            <w:tcW w:w="0" w:type="auto"/>
            <w:vAlign w:val="center"/>
            <w:hideMark/>
          </w:tcPr>
          <w:p w14:paraId="1D11C3E4" w14:textId="77777777" w:rsidR="00B7368C" w:rsidRPr="00B7368C" w:rsidRDefault="00B7368C" w:rsidP="00B7368C">
            <w:pPr>
              <w:bidi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p-value</w:t>
            </w:r>
          </w:p>
        </w:tc>
      </w:tr>
      <w:tr w:rsidR="00B7368C" w:rsidRPr="00B7368C" w14:paraId="370A02B5" w14:textId="77777777" w:rsidTr="00B7368C">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070" w:type="dxa"/>
            <w:vAlign w:val="center"/>
            <w:hideMark/>
          </w:tcPr>
          <w:p w14:paraId="5FBC8352" w14:textId="77777777" w:rsidR="00B7368C" w:rsidRPr="00B7368C" w:rsidRDefault="00B7368C" w:rsidP="00B7368C">
            <w:pPr>
              <w:bidi w:val="0"/>
              <w:spacing w:after="0" w:line="240" w:lineRule="auto"/>
              <w:jc w:val="center"/>
              <w:rPr>
                <w:rFonts w:eastAsia="Times New Roman"/>
                <w:lang w:bidi="ar-SA"/>
              </w:rPr>
            </w:pPr>
            <w:r w:rsidRPr="00B7368C">
              <w:rPr>
                <w:rFonts w:eastAsia="Times New Roman"/>
                <w:lang w:bidi="ar-SA"/>
              </w:rPr>
              <w:t>ALT (IU/L)</w:t>
            </w:r>
          </w:p>
        </w:tc>
        <w:tc>
          <w:tcPr>
            <w:tcW w:w="0" w:type="auto"/>
            <w:vAlign w:val="center"/>
            <w:hideMark/>
          </w:tcPr>
          <w:p w14:paraId="5E06D454"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31.0 (28.3 – 33.8)</w:t>
            </w:r>
          </w:p>
        </w:tc>
        <w:tc>
          <w:tcPr>
            <w:tcW w:w="0" w:type="auto"/>
            <w:vAlign w:val="center"/>
            <w:hideMark/>
          </w:tcPr>
          <w:p w14:paraId="470C77CD"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27.0 (21.8 – 32.3)</w:t>
            </w:r>
          </w:p>
        </w:tc>
        <w:tc>
          <w:tcPr>
            <w:tcW w:w="0" w:type="auto"/>
            <w:vAlign w:val="center"/>
            <w:hideMark/>
          </w:tcPr>
          <w:p w14:paraId="445CD2C8"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3.98 (–2.04 to 9.99)</w:t>
            </w:r>
          </w:p>
        </w:tc>
        <w:tc>
          <w:tcPr>
            <w:tcW w:w="0" w:type="auto"/>
            <w:vAlign w:val="center"/>
            <w:hideMark/>
          </w:tcPr>
          <w:p w14:paraId="380F1E4B"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0.192</w:t>
            </w:r>
          </w:p>
        </w:tc>
      </w:tr>
      <w:tr w:rsidR="00B7368C" w:rsidRPr="00B7368C" w14:paraId="2B3754DF" w14:textId="77777777" w:rsidTr="00B7368C">
        <w:trPr>
          <w:trHeight w:val="576"/>
        </w:trPr>
        <w:tc>
          <w:tcPr>
            <w:cnfStyle w:val="001000000000" w:firstRow="0" w:lastRow="0" w:firstColumn="1" w:lastColumn="0" w:oddVBand="0" w:evenVBand="0" w:oddHBand="0" w:evenHBand="0" w:firstRowFirstColumn="0" w:firstRowLastColumn="0" w:lastRowFirstColumn="0" w:lastRowLastColumn="0"/>
            <w:tcW w:w="2070" w:type="dxa"/>
            <w:vAlign w:val="center"/>
            <w:hideMark/>
          </w:tcPr>
          <w:p w14:paraId="16169CF8" w14:textId="77777777" w:rsidR="00B7368C" w:rsidRPr="00B7368C" w:rsidRDefault="00B7368C" w:rsidP="00B7368C">
            <w:pPr>
              <w:bidi w:val="0"/>
              <w:spacing w:after="0" w:line="240" w:lineRule="auto"/>
              <w:jc w:val="center"/>
              <w:rPr>
                <w:rFonts w:eastAsia="Times New Roman"/>
                <w:lang w:bidi="ar-SA"/>
              </w:rPr>
            </w:pPr>
            <w:r w:rsidRPr="00B7368C">
              <w:rPr>
                <w:rFonts w:eastAsia="Times New Roman"/>
                <w:lang w:bidi="ar-SA"/>
              </w:rPr>
              <w:t>AST (IU/L)</w:t>
            </w:r>
          </w:p>
        </w:tc>
        <w:tc>
          <w:tcPr>
            <w:tcW w:w="0" w:type="auto"/>
            <w:vAlign w:val="center"/>
            <w:hideMark/>
          </w:tcPr>
          <w:p w14:paraId="7C9086F2" w14:textId="77777777" w:rsidR="00B7368C" w:rsidRPr="00B7368C" w:rsidRDefault="00B7368C" w:rsidP="00B7368C">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29.0 (27.1 – 31.0)</w:t>
            </w:r>
          </w:p>
        </w:tc>
        <w:tc>
          <w:tcPr>
            <w:tcW w:w="0" w:type="auto"/>
            <w:vAlign w:val="center"/>
            <w:hideMark/>
          </w:tcPr>
          <w:p w14:paraId="4F95DC3D" w14:textId="77777777" w:rsidR="00B7368C" w:rsidRPr="00B7368C" w:rsidRDefault="00B7368C" w:rsidP="00B7368C">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25.9 (22.1 – 29.6)</w:t>
            </w:r>
          </w:p>
        </w:tc>
        <w:tc>
          <w:tcPr>
            <w:tcW w:w="0" w:type="auto"/>
            <w:vAlign w:val="center"/>
            <w:hideMark/>
          </w:tcPr>
          <w:p w14:paraId="432EE069" w14:textId="77777777" w:rsidR="00B7368C" w:rsidRPr="00B7368C" w:rsidRDefault="00B7368C" w:rsidP="00B7368C">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3.19 (–1.03 to 7.41)</w:t>
            </w:r>
          </w:p>
        </w:tc>
        <w:tc>
          <w:tcPr>
            <w:tcW w:w="0" w:type="auto"/>
            <w:vAlign w:val="center"/>
            <w:hideMark/>
          </w:tcPr>
          <w:p w14:paraId="7863E439" w14:textId="77777777" w:rsidR="00B7368C" w:rsidRPr="00B7368C" w:rsidRDefault="00B7368C" w:rsidP="00B7368C">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0.136</w:t>
            </w:r>
          </w:p>
        </w:tc>
      </w:tr>
      <w:tr w:rsidR="00B7368C" w:rsidRPr="00B7368C" w14:paraId="37EF4B36" w14:textId="77777777" w:rsidTr="00B7368C">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070" w:type="dxa"/>
            <w:vAlign w:val="center"/>
            <w:hideMark/>
          </w:tcPr>
          <w:p w14:paraId="04BFB3BA" w14:textId="77777777" w:rsidR="00B7368C" w:rsidRPr="00B7368C" w:rsidRDefault="00B7368C" w:rsidP="00B7368C">
            <w:pPr>
              <w:bidi w:val="0"/>
              <w:spacing w:after="0" w:line="240" w:lineRule="auto"/>
              <w:jc w:val="center"/>
              <w:rPr>
                <w:rFonts w:eastAsia="Times New Roman"/>
                <w:lang w:bidi="ar-SA"/>
              </w:rPr>
            </w:pPr>
            <w:r w:rsidRPr="00B7368C">
              <w:rPr>
                <w:rFonts w:eastAsia="Times New Roman"/>
                <w:lang w:bidi="ar-SA"/>
              </w:rPr>
              <w:t>GGT (IU/L)</w:t>
            </w:r>
          </w:p>
        </w:tc>
        <w:tc>
          <w:tcPr>
            <w:tcW w:w="0" w:type="auto"/>
            <w:vAlign w:val="center"/>
            <w:hideMark/>
          </w:tcPr>
          <w:p w14:paraId="495E8956"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35.0 (32.5 – 37.4)</w:t>
            </w:r>
          </w:p>
        </w:tc>
        <w:tc>
          <w:tcPr>
            <w:tcW w:w="0" w:type="auto"/>
            <w:vAlign w:val="center"/>
            <w:hideMark/>
          </w:tcPr>
          <w:p w14:paraId="4AC78CDF"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30.6 (25.9 – 35.3)</w:t>
            </w:r>
          </w:p>
        </w:tc>
        <w:tc>
          <w:tcPr>
            <w:tcW w:w="0" w:type="auto"/>
            <w:vAlign w:val="center"/>
            <w:hideMark/>
          </w:tcPr>
          <w:p w14:paraId="64741EAD"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4.42 (–0.91 to 9.75)</w:t>
            </w:r>
          </w:p>
        </w:tc>
        <w:tc>
          <w:tcPr>
            <w:tcW w:w="0" w:type="auto"/>
            <w:vAlign w:val="center"/>
            <w:hideMark/>
          </w:tcPr>
          <w:p w14:paraId="55C9C09E"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0.102</w:t>
            </w:r>
          </w:p>
        </w:tc>
      </w:tr>
      <w:tr w:rsidR="00B7368C" w:rsidRPr="00B7368C" w14:paraId="2CA7F5CC" w14:textId="77777777" w:rsidTr="00B7368C">
        <w:trPr>
          <w:trHeight w:val="576"/>
        </w:trPr>
        <w:tc>
          <w:tcPr>
            <w:cnfStyle w:val="001000000000" w:firstRow="0" w:lastRow="0" w:firstColumn="1" w:lastColumn="0" w:oddVBand="0" w:evenVBand="0" w:oddHBand="0" w:evenHBand="0" w:firstRowFirstColumn="0" w:firstRowLastColumn="0" w:lastRowFirstColumn="0" w:lastRowLastColumn="0"/>
            <w:tcW w:w="2070" w:type="dxa"/>
            <w:vAlign w:val="center"/>
            <w:hideMark/>
          </w:tcPr>
          <w:p w14:paraId="722519FA" w14:textId="77777777" w:rsidR="00B7368C" w:rsidRPr="00B7368C" w:rsidRDefault="00B7368C" w:rsidP="00B7368C">
            <w:pPr>
              <w:bidi w:val="0"/>
              <w:spacing w:after="0" w:line="240" w:lineRule="auto"/>
              <w:jc w:val="center"/>
              <w:rPr>
                <w:rFonts w:eastAsia="Times New Roman"/>
                <w:lang w:bidi="ar-SA"/>
              </w:rPr>
            </w:pPr>
            <w:r w:rsidRPr="00B7368C">
              <w:rPr>
                <w:rFonts w:eastAsia="Times New Roman"/>
                <w:lang w:bidi="ar-SA"/>
              </w:rPr>
              <w:t>FIB-4</w:t>
            </w:r>
          </w:p>
        </w:tc>
        <w:tc>
          <w:tcPr>
            <w:tcW w:w="0" w:type="auto"/>
            <w:vAlign w:val="center"/>
            <w:hideMark/>
          </w:tcPr>
          <w:p w14:paraId="146270FA" w14:textId="77777777" w:rsidR="00B7368C" w:rsidRPr="00B7368C" w:rsidRDefault="00B7368C" w:rsidP="00B7368C">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1.05 (0.99 – 1.11)</w:t>
            </w:r>
          </w:p>
        </w:tc>
        <w:tc>
          <w:tcPr>
            <w:tcW w:w="0" w:type="auto"/>
            <w:vAlign w:val="center"/>
            <w:hideMark/>
          </w:tcPr>
          <w:p w14:paraId="1F94E2B1" w14:textId="77777777" w:rsidR="00B7368C" w:rsidRPr="00B7368C" w:rsidRDefault="00B7368C" w:rsidP="00B7368C">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1.08 (0.97 – 1.19)</w:t>
            </w:r>
          </w:p>
        </w:tc>
        <w:tc>
          <w:tcPr>
            <w:tcW w:w="0" w:type="auto"/>
            <w:vAlign w:val="center"/>
            <w:hideMark/>
          </w:tcPr>
          <w:p w14:paraId="2DC958CC" w14:textId="77777777" w:rsidR="00B7368C" w:rsidRPr="00B7368C" w:rsidRDefault="00B7368C" w:rsidP="00B7368C">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–0.03 (–0.16 to 0.09)</w:t>
            </w:r>
          </w:p>
        </w:tc>
        <w:tc>
          <w:tcPr>
            <w:tcW w:w="0" w:type="auto"/>
            <w:vAlign w:val="center"/>
            <w:hideMark/>
          </w:tcPr>
          <w:p w14:paraId="2060624D" w14:textId="77777777" w:rsidR="00B7368C" w:rsidRPr="00B7368C" w:rsidRDefault="00B7368C" w:rsidP="00B7368C">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0.616</w:t>
            </w:r>
          </w:p>
        </w:tc>
      </w:tr>
      <w:tr w:rsidR="00B7368C" w:rsidRPr="00B7368C" w14:paraId="31D78108" w14:textId="77777777" w:rsidTr="00B7368C">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070" w:type="dxa"/>
            <w:vAlign w:val="center"/>
            <w:hideMark/>
          </w:tcPr>
          <w:p w14:paraId="428D5413" w14:textId="77777777" w:rsidR="00B7368C" w:rsidRPr="00B7368C" w:rsidRDefault="00B7368C" w:rsidP="00B7368C">
            <w:pPr>
              <w:bidi w:val="0"/>
              <w:spacing w:after="0" w:line="240" w:lineRule="auto"/>
              <w:jc w:val="center"/>
              <w:rPr>
                <w:rFonts w:eastAsia="Times New Roman"/>
                <w:lang w:bidi="ar-SA"/>
              </w:rPr>
            </w:pPr>
            <w:r w:rsidRPr="00B7368C">
              <w:rPr>
                <w:rFonts w:eastAsia="Times New Roman"/>
                <w:lang w:bidi="ar-SA"/>
              </w:rPr>
              <w:t>NFS</w:t>
            </w:r>
          </w:p>
        </w:tc>
        <w:tc>
          <w:tcPr>
            <w:tcW w:w="0" w:type="auto"/>
            <w:vAlign w:val="center"/>
            <w:hideMark/>
          </w:tcPr>
          <w:p w14:paraId="42DF22E3"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–1.29 (–1.45 to –1.13)</w:t>
            </w:r>
          </w:p>
        </w:tc>
        <w:tc>
          <w:tcPr>
            <w:tcW w:w="0" w:type="auto"/>
            <w:vAlign w:val="center"/>
            <w:hideMark/>
          </w:tcPr>
          <w:p w14:paraId="054A2AF8"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–0.87 (–1.17 to –0.57)</w:t>
            </w:r>
          </w:p>
        </w:tc>
        <w:tc>
          <w:tcPr>
            <w:tcW w:w="0" w:type="auto"/>
            <w:vAlign w:val="center"/>
            <w:hideMark/>
          </w:tcPr>
          <w:p w14:paraId="095F3108"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–0.42 (–0.77 to –0.08)</w:t>
            </w:r>
          </w:p>
        </w:tc>
        <w:tc>
          <w:tcPr>
            <w:tcW w:w="0" w:type="auto"/>
            <w:vAlign w:val="center"/>
            <w:hideMark/>
          </w:tcPr>
          <w:p w14:paraId="23E8B794"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0.017</w:t>
            </w:r>
          </w:p>
        </w:tc>
      </w:tr>
      <w:tr w:rsidR="00B7368C" w:rsidRPr="00B7368C" w14:paraId="6BF7DD4E" w14:textId="77777777" w:rsidTr="00B7368C">
        <w:trPr>
          <w:trHeight w:val="576"/>
        </w:trPr>
        <w:tc>
          <w:tcPr>
            <w:cnfStyle w:val="001000000000" w:firstRow="0" w:lastRow="0" w:firstColumn="1" w:lastColumn="0" w:oddVBand="0" w:evenVBand="0" w:oddHBand="0" w:evenHBand="0" w:firstRowFirstColumn="0" w:firstRowLastColumn="0" w:lastRowFirstColumn="0" w:lastRowLastColumn="0"/>
            <w:tcW w:w="2070" w:type="dxa"/>
            <w:vAlign w:val="center"/>
            <w:hideMark/>
          </w:tcPr>
          <w:p w14:paraId="337DE8B3" w14:textId="77777777" w:rsidR="00B7368C" w:rsidRPr="00B7368C" w:rsidRDefault="00B7368C" w:rsidP="00B7368C">
            <w:pPr>
              <w:bidi w:val="0"/>
              <w:spacing w:after="0" w:line="240" w:lineRule="auto"/>
              <w:jc w:val="center"/>
              <w:rPr>
                <w:rFonts w:eastAsia="Times New Roman"/>
                <w:lang w:bidi="ar-SA"/>
              </w:rPr>
            </w:pPr>
            <w:r w:rsidRPr="00B7368C">
              <w:rPr>
                <w:rFonts w:eastAsia="Times New Roman"/>
                <w:lang w:bidi="ar-SA"/>
              </w:rPr>
              <w:t>PLT (/µL)</w:t>
            </w:r>
          </w:p>
        </w:tc>
        <w:tc>
          <w:tcPr>
            <w:tcW w:w="0" w:type="auto"/>
            <w:vAlign w:val="center"/>
            <w:hideMark/>
          </w:tcPr>
          <w:p w14:paraId="0054D7E0" w14:textId="77777777" w:rsidR="00B7368C" w:rsidRPr="00B7368C" w:rsidRDefault="00B7368C" w:rsidP="00B7368C">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244,504 (230,239 – 258,768)</w:t>
            </w:r>
          </w:p>
        </w:tc>
        <w:tc>
          <w:tcPr>
            <w:tcW w:w="0" w:type="auto"/>
            <w:vAlign w:val="center"/>
            <w:hideMark/>
          </w:tcPr>
          <w:p w14:paraId="51EA4C5E" w14:textId="77777777" w:rsidR="00B7368C" w:rsidRPr="00B7368C" w:rsidRDefault="00B7368C" w:rsidP="00B7368C">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202,119 (174,752 – 229,487)</w:t>
            </w:r>
          </w:p>
        </w:tc>
        <w:tc>
          <w:tcPr>
            <w:tcW w:w="0" w:type="auto"/>
            <w:vAlign w:val="center"/>
            <w:hideMark/>
          </w:tcPr>
          <w:p w14:paraId="2480A17F" w14:textId="77777777" w:rsidR="00B7368C" w:rsidRPr="00B7368C" w:rsidRDefault="00B7368C" w:rsidP="00B7368C">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42,385 (11,318 – 73,451)</w:t>
            </w:r>
          </w:p>
        </w:tc>
        <w:tc>
          <w:tcPr>
            <w:tcW w:w="0" w:type="auto"/>
            <w:vAlign w:val="center"/>
            <w:hideMark/>
          </w:tcPr>
          <w:p w14:paraId="75C043D9" w14:textId="77777777" w:rsidR="00B7368C" w:rsidRPr="00B7368C" w:rsidRDefault="00B7368C" w:rsidP="00B7368C">
            <w:pPr>
              <w:bidi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bidi="ar-SA"/>
              </w:rPr>
            </w:pPr>
            <w:r w:rsidRPr="00B7368C">
              <w:rPr>
                <w:rFonts w:eastAsia="Times New Roman"/>
                <w:lang w:bidi="ar-SA"/>
              </w:rPr>
              <w:t>0.008</w:t>
            </w:r>
          </w:p>
        </w:tc>
      </w:tr>
      <w:tr w:rsidR="00B7368C" w:rsidRPr="00B7368C" w14:paraId="497D6F1E" w14:textId="77777777" w:rsidTr="00B7368C">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070" w:type="dxa"/>
            <w:vAlign w:val="center"/>
            <w:hideMark/>
          </w:tcPr>
          <w:p w14:paraId="1EF1F4BF" w14:textId="77777777" w:rsidR="00B7368C" w:rsidRPr="00B7368C" w:rsidRDefault="00B7368C" w:rsidP="00B7368C">
            <w:pPr>
              <w:bidi w:val="0"/>
              <w:spacing w:after="0" w:line="240" w:lineRule="auto"/>
              <w:jc w:val="center"/>
              <w:rPr>
                <w:rFonts w:eastAsia="Times New Roman"/>
                <w:lang w:bidi="ar-SA"/>
              </w:rPr>
            </w:pPr>
            <w:r w:rsidRPr="00B7368C">
              <w:rPr>
                <w:rFonts w:eastAsia="Times New Roman"/>
                <w:lang w:bidi="ar-SA"/>
              </w:rPr>
              <w:t>FBS (mg/dL)</w:t>
            </w:r>
          </w:p>
        </w:tc>
        <w:tc>
          <w:tcPr>
            <w:tcW w:w="0" w:type="auto"/>
            <w:vAlign w:val="center"/>
            <w:hideMark/>
          </w:tcPr>
          <w:p w14:paraId="4346FD28"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105.7 (103.6 – 107.7)</w:t>
            </w:r>
          </w:p>
        </w:tc>
        <w:tc>
          <w:tcPr>
            <w:tcW w:w="0" w:type="auto"/>
            <w:vAlign w:val="center"/>
            <w:hideMark/>
          </w:tcPr>
          <w:p w14:paraId="156AC319"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99.9 (96.0 – 103.8)</w:t>
            </w:r>
          </w:p>
        </w:tc>
        <w:tc>
          <w:tcPr>
            <w:tcW w:w="0" w:type="auto"/>
            <w:vAlign w:val="center"/>
            <w:hideMark/>
          </w:tcPr>
          <w:p w14:paraId="3BCB4836"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5.77 (1.29 – 10.24)</w:t>
            </w:r>
          </w:p>
        </w:tc>
        <w:tc>
          <w:tcPr>
            <w:tcW w:w="0" w:type="auto"/>
            <w:vAlign w:val="center"/>
            <w:hideMark/>
          </w:tcPr>
          <w:p w14:paraId="009E06F4" w14:textId="77777777" w:rsidR="00B7368C" w:rsidRPr="00B7368C" w:rsidRDefault="00B7368C" w:rsidP="00B7368C">
            <w:pPr>
              <w:bidi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bidi="ar-SA"/>
              </w:rPr>
            </w:pPr>
            <w:r w:rsidRPr="00B7368C">
              <w:rPr>
                <w:rFonts w:eastAsia="Times New Roman"/>
                <w:lang w:bidi="ar-SA"/>
              </w:rPr>
              <w:t>0.012</w:t>
            </w:r>
          </w:p>
        </w:tc>
      </w:tr>
    </w:tbl>
    <w:p w14:paraId="089EDDEE" w14:textId="4432D958" w:rsidR="00C44B20" w:rsidRDefault="00C44B20" w:rsidP="00C44B20">
      <w:pPr>
        <w:bidi w:val="0"/>
        <w:jc w:val="both"/>
      </w:pPr>
    </w:p>
    <w:p w14:paraId="6DC8D72A" w14:textId="108A2E91" w:rsidR="004D4506" w:rsidRDefault="004D4506" w:rsidP="004D4506">
      <w:pPr>
        <w:bidi w:val="0"/>
        <w:jc w:val="both"/>
      </w:pPr>
      <w:r>
        <w:t xml:space="preserve">* </w:t>
      </w:r>
      <w:r w:rsidRPr="004D4506">
        <w:t>Supplementary Table 4 presents the subgroup analysis comparing 10 mg and 25 mg empagliflozin doses at 6 months, adjusted for baseline values and age. Outcomes included liver enzymes (ALT, AST, GGT), non-invasive fibrosis markers (FIB-4 and NFS), platelet counts, and fasting blood sugar (FBS). Estimated marginal means (95% CI) and adjusted mean differences with Bonferroni-corrected p-values are reported. Significant differences were observed in NFS, platelet counts, and FBS, while other outcomes showed no significant dose-related variation.</w:t>
      </w:r>
    </w:p>
    <w:p w14:paraId="18C60141" w14:textId="7F2ADFFE" w:rsidR="00C44B20" w:rsidRDefault="00C44B20" w:rsidP="00C44B20">
      <w:pPr>
        <w:bidi w:val="0"/>
        <w:jc w:val="both"/>
      </w:pPr>
    </w:p>
    <w:p w14:paraId="2AE01B1F" w14:textId="727D33E0" w:rsidR="00C44B20" w:rsidRDefault="00C44B20" w:rsidP="00C44B20">
      <w:pPr>
        <w:bidi w:val="0"/>
        <w:jc w:val="both"/>
      </w:pPr>
    </w:p>
    <w:p w14:paraId="2DC958FB" w14:textId="4C706347" w:rsidR="00C44B20" w:rsidRPr="00F455F1" w:rsidRDefault="00F455F1" w:rsidP="00F455F1">
      <w:pPr>
        <w:bidi w:val="0"/>
        <w:jc w:val="both"/>
        <w:rPr>
          <w:b/>
          <w:bCs/>
        </w:rPr>
      </w:pPr>
      <w:r w:rsidRPr="00F455F1">
        <w:rPr>
          <w:b/>
          <w:bCs/>
        </w:rPr>
        <w:t>References</w:t>
      </w:r>
    </w:p>
    <w:p w14:paraId="6B09516C" w14:textId="77777777" w:rsidR="0058385F" w:rsidRPr="0058385F" w:rsidRDefault="0058385F" w:rsidP="0058385F">
      <w:pPr>
        <w:pStyle w:val="EndNoteBibliography"/>
        <w:bidi w:val="0"/>
        <w:spacing w:after="0"/>
      </w:pPr>
      <w:r>
        <w:fldChar w:fldCharType="begin"/>
      </w:r>
      <w:r>
        <w:instrText xml:space="preserve"> ADDIN EN.REFLIST </w:instrText>
      </w:r>
      <w:r>
        <w:fldChar w:fldCharType="separate"/>
      </w:r>
      <w:r w:rsidRPr="0058385F">
        <w:t>1.</w:t>
      </w:r>
      <w:r w:rsidRPr="0058385F">
        <w:tab/>
        <w:t>Cohen J. Statistical power analysis for the behavioral sciences: routledge; 2013.</w:t>
      </w:r>
    </w:p>
    <w:p w14:paraId="1EAAC1AB" w14:textId="77777777" w:rsidR="0058385F" w:rsidRPr="0058385F" w:rsidRDefault="0058385F" w:rsidP="0058385F">
      <w:pPr>
        <w:pStyle w:val="EndNoteBibliography"/>
        <w:bidi w:val="0"/>
        <w:spacing w:after="0"/>
      </w:pPr>
      <w:r w:rsidRPr="0058385F">
        <w:t>2.</w:t>
      </w:r>
      <w:r w:rsidRPr="0058385F">
        <w:tab/>
        <w:t>Chow S-C, Shao J, Wang H, Lokhnygina Y. Sample size calculations in clinical research: chapman and hall/CRC; 2017.</w:t>
      </w:r>
    </w:p>
    <w:p w14:paraId="2EBD2CEA" w14:textId="77777777" w:rsidR="0058385F" w:rsidRPr="0058385F" w:rsidRDefault="0058385F" w:rsidP="0058385F">
      <w:pPr>
        <w:pStyle w:val="EndNoteBibliography"/>
        <w:bidi w:val="0"/>
      </w:pPr>
      <w:r w:rsidRPr="0058385F">
        <w:t>3.</w:t>
      </w:r>
      <w:r w:rsidRPr="0058385F">
        <w:tab/>
        <w:t>Chehrehgosha H, Sohrabi MR, Ismail-Beigi F, Malek M, Reza Babaei M, Zamani F, et al. Empagliflozin Improves Liver Steatosis and Fibrosis in Patients with Non-Alcoholic Fatty Liver Disease and Type 2 Diabetes: A Randomized, Double-Blind, Placebo-Controlled Clinical Trial. Diabetes Therapy. 2021;12(3):843-61.</w:t>
      </w:r>
    </w:p>
    <w:p w14:paraId="7F1F3410" w14:textId="4BE51756" w:rsidR="00007577" w:rsidRPr="00007577" w:rsidRDefault="0058385F" w:rsidP="0058385F">
      <w:pPr>
        <w:bidi w:val="0"/>
        <w:jc w:val="both"/>
      </w:pPr>
      <w:r>
        <w:fldChar w:fldCharType="end"/>
      </w:r>
    </w:p>
    <w:sectPr w:rsidR="00007577" w:rsidRPr="00007577" w:rsidSect="00987FD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76A25"/>
    <w:multiLevelType w:val="multilevel"/>
    <w:tmpl w:val="A6545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321079"/>
    <w:multiLevelType w:val="hybridMultilevel"/>
    <w:tmpl w:val="47F04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O0sLAwNzY3NbcwNTRS0lEKTi0uzszPAykwqQUAOOINui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res9rwvnxdpvmevwr5pz05xazpxpvts9sep&quot;&gt;My EndNote Library&lt;record-ids&gt;&lt;item&gt;26&lt;/item&gt;&lt;item&gt;35&lt;/item&gt;&lt;item&gt;36&lt;/item&gt;&lt;/record-ids&gt;&lt;/item&gt;&lt;/Libraries&gt;"/>
  </w:docVars>
  <w:rsids>
    <w:rsidRoot w:val="00CD0C16"/>
    <w:rsid w:val="00007577"/>
    <w:rsid w:val="00053A70"/>
    <w:rsid w:val="00073B2A"/>
    <w:rsid w:val="001A70F0"/>
    <w:rsid w:val="00275892"/>
    <w:rsid w:val="002A4D2C"/>
    <w:rsid w:val="003F51EB"/>
    <w:rsid w:val="004D4506"/>
    <w:rsid w:val="00512FA6"/>
    <w:rsid w:val="0058385F"/>
    <w:rsid w:val="00701993"/>
    <w:rsid w:val="007A0BBD"/>
    <w:rsid w:val="007E1153"/>
    <w:rsid w:val="00931913"/>
    <w:rsid w:val="00987FD6"/>
    <w:rsid w:val="00B7368C"/>
    <w:rsid w:val="00C44B20"/>
    <w:rsid w:val="00CD0C16"/>
    <w:rsid w:val="00CD7135"/>
    <w:rsid w:val="00F054C6"/>
    <w:rsid w:val="00F266B5"/>
    <w:rsid w:val="00F455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C1A00"/>
  <w15:chartTrackingRefBased/>
  <w15:docId w15:val="{D8B0A1B4-D043-432E-ADD6-B6952A3C8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A6"/>
    <w:pPr>
      <w:bidi/>
      <w:spacing w:after="200" w:line="360" w:lineRule="auto"/>
      <w:jc w:val="right"/>
    </w:pPr>
    <w:rPr>
      <w:rFonts w:ascii="Times New Roman" w:eastAsiaTheme="minorEastAsia" w:hAnsi="Times New Roman" w:cs="Times New Roman"/>
      <w:sz w:val="24"/>
      <w:szCs w:val="24"/>
      <w:lang w:bidi="fa-IR"/>
    </w:rPr>
  </w:style>
  <w:style w:type="paragraph" w:styleId="Heading2">
    <w:name w:val="heading 2"/>
    <w:basedOn w:val="Normal"/>
    <w:link w:val="Heading2Char"/>
    <w:uiPriority w:val="9"/>
    <w:qFormat/>
    <w:rsid w:val="00512FA6"/>
    <w:pPr>
      <w:bidi w:val="0"/>
      <w:spacing w:before="100" w:beforeAutospacing="1" w:after="100" w:afterAutospacing="1" w:line="240" w:lineRule="auto"/>
      <w:outlineLvl w:val="1"/>
    </w:pPr>
    <w:rPr>
      <w:rFonts w:eastAsia="Times New Roman"/>
      <w:b/>
      <w:bCs/>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41"/>
    <w:rsid w:val="00CD0C1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512FA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12FA6"/>
    <w:pPr>
      <w:bidi w:val="0"/>
      <w:spacing w:before="100" w:beforeAutospacing="1" w:after="100" w:afterAutospacing="1" w:line="240" w:lineRule="auto"/>
    </w:pPr>
    <w:rPr>
      <w:rFonts w:eastAsia="Times New Roman"/>
      <w:lang w:bidi="ar-SA"/>
    </w:rPr>
  </w:style>
  <w:style w:type="character" w:styleId="Strong">
    <w:name w:val="Strong"/>
    <w:basedOn w:val="DefaultParagraphFont"/>
    <w:uiPriority w:val="22"/>
    <w:qFormat/>
    <w:rsid w:val="00512FA6"/>
    <w:rPr>
      <w:b/>
      <w:bCs/>
    </w:rPr>
  </w:style>
  <w:style w:type="character" w:customStyle="1" w:styleId="katex-mathml">
    <w:name w:val="katex-mathml"/>
    <w:basedOn w:val="DefaultParagraphFont"/>
    <w:rsid w:val="00512FA6"/>
  </w:style>
  <w:style w:type="character" w:customStyle="1" w:styleId="mord">
    <w:name w:val="mord"/>
    <w:basedOn w:val="DefaultParagraphFont"/>
    <w:rsid w:val="00512FA6"/>
  </w:style>
  <w:style w:type="paragraph" w:styleId="ListParagraph">
    <w:name w:val="List Paragraph"/>
    <w:basedOn w:val="Normal"/>
    <w:uiPriority w:val="34"/>
    <w:qFormat/>
    <w:rsid w:val="00512FA6"/>
    <w:pPr>
      <w:ind w:left="720"/>
      <w:contextualSpacing/>
    </w:pPr>
  </w:style>
  <w:style w:type="character" w:styleId="PlaceholderText">
    <w:name w:val="Placeholder Text"/>
    <w:basedOn w:val="DefaultParagraphFont"/>
    <w:uiPriority w:val="99"/>
    <w:semiHidden/>
    <w:rsid w:val="00512FA6"/>
    <w:rPr>
      <w:color w:val="808080"/>
    </w:rPr>
  </w:style>
  <w:style w:type="character" w:customStyle="1" w:styleId="mrel">
    <w:name w:val="mrel"/>
    <w:basedOn w:val="DefaultParagraphFont"/>
    <w:rsid w:val="00007577"/>
  </w:style>
  <w:style w:type="table" w:styleId="TableGrid">
    <w:name w:val="Table Grid"/>
    <w:basedOn w:val="TableNormal"/>
    <w:uiPriority w:val="39"/>
    <w:rsid w:val="00007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58385F"/>
    <w:pPr>
      <w:spacing w:after="0"/>
      <w:jc w:val="center"/>
    </w:pPr>
    <w:rPr>
      <w:noProof/>
    </w:rPr>
  </w:style>
  <w:style w:type="character" w:customStyle="1" w:styleId="EndNoteBibliographyTitleChar">
    <w:name w:val="EndNote Bibliography Title Char"/>
    <w:basedOn w:val="DefaultParagraphFont"/>
    <w:link w:val="EndNoteBibliographyTitle"/>
    <w:rsid w:val="0058385F"/>
    <w:rPr>
      <w:rFonts w:ascii="Times New Roman" w:eastAsiaTheme="minorEastAsia" w:hAnsi="Times New Roman" w:cs="Times New Roman"/>
      <w:noProof/>
      <w:sz w:val="24"/>
      <w:szCs w:val="24"/>
      <w:lang w:bidi="fa-IR"/>
    </w:rPr>
  </w:style>
  <w:style w:type="paragraph" w:customStyle="1" w:styleId="EndNoteBibliography">
    <w:name w:val="EndNote Bibliography"/>
    <w:basedOn w:val="Normal"/>
    <w:link w:val="EndNoteBibliographyChar"/>
    <w:rsid w:val="0058385F"/>
    <w:pPr>
      <w:spacing w:line="240" w:lineRule="auto"/>
      <w:jc w:val="both"/>
    </w:pPr>
    <w:rPr>
      <w:noProof/>
    </w:rPr>
  </w:style>
  <w:style w:type="character" w:customStyle="1" w:styleId="EndNoteBibliographyChar">
    <w:name w:val="EndNote Bibliography Char"/>
    <w:basedOn w:val="DefaultParagraphFont"/>
    <w:link w:val="EndNoteBibliography"/>
    <w:rsid w:val="0058385F"/>
    <w:rPr>
      <w:rFonts w:ascii="Times New Roman" w:eastAsiaTheme="minorEastAsia" w:hAnsi="Times New Roman" w:cs="Times New Roman"/>
      <w:noProof/>
      <w:sz w:val="24"/>
      <w:szCs w:val="24"/>
      <w:lang w:bidi="fa-IR"/>
    </w:rPr>
  </w:style>
  <w:style w:type="table" w:customStyle="1" w:styleId="PlainTable11">
    <w:name w:val="Plain Table 11"/>
    <w:basedOn w:val="TableNormal"/>
    <w:uiPriority w:val="41"/>
    <w:rsid w:val="00053A70"/>
    <w:pPr>
      <w:spacing w:after="0" w:line="240" w:lineRule="auto"/>
    </w:pPr>
    <w:rPr>
      <w:rFonts w:ascii="Calibri" w:eastAsia="Calibri" w:hAnsi="Calibri" w:cs="Arial"/>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351491">
      <w:bodyDiv w:val="1"/>
      <w:marLeft w:val="0"/>
      <w:marRight w:val="0"/>
      <w:marTop w:val="0"/>
      <w:marBottom w:val="0"/>
      <w:divBdr>
        <w:top w:val="none" w:sz="0" w:space="0" w:color="auto"/>
        <w:left w:val="none" w:sz="0" w:space="0" w:color="auto"/>
        <w:bottom w:val="none" w:sz="0" w:space="0" w:color="auto"/>
        <w:right w:val="none" w:sz="0" w:space="0" w:color="auto"/>
      </w:divBdr>
    </w:div>
    <w:div w:id="513150486">
      <w:bodyDiv w:val="1"/>
      <w:marLeft w:val="0"/>
      <w:marRight w:val="0"/>
      <w:marTop w:val="0"/>
      <w:marBottom w:val="0"/>
      <w:divBdr>
        <w:top w:val="none" w:sz="0" w:space="0" w:color="auto"/>
        <w:left w:val="none" w:sz="0" w:space="0" w:color="auto"/>
        <w:bottom w:val="none" w:sz="0" w:space="0" w:color="auto"/>
        <w:right w:val="none" w:sz="0" w:space="0" w:color="auto"/>
      </w:divBdr>
    </w:div>
    <w:div w:id="545485160">
      <w:bodyDiv w:val="1"/>
      <w:marLeft w:val="0"/>
      <w:marRight w:val="0"/>
      <w:marTop w:val="0"/>
      <w:marBottom w:val="0"/>
      <w:divBdr>
        <w:top w:val="none" w:sz="0" w:space="0" w:color="auto"/>
        <w:left w:val="none" w:sz="0" w:space="0" w:color="auto"/>
        <w:bottom w:val="none" w:sz="0" w:space="0" w:color="auto"/>
        <w:right w:val="none" w:sz="0" w:space="0" w:color="auto"/>
      </w:divBdr>
    </w:div>
    <w:div w:id="555625193">
      <w:bodyDiv w:val="1"/>
      <w:marLeft w:val="0"/>
      <w:marRight w:val="0"/>
      <w:marTop w:val="0"/>
      <w:marBottom w:val="0"/>
      <w:divBdr>
        <w:top w:val="none" w:sz="0" w:space="0" w:color="auto"/>
        <w:left w:val="none" w:sz="0" w:space="0" w:color="auto"/>
        <w:bottom w:val="none" w:sz="0" w:space="0" w:color="auto"/>
        <w:right w:val="none" w:sz="0" w:space="0" w:color="auto"/>
      </w:divBdr>
    </w:div>
    <w:div w:id="1039236339">
      <w:bodyDiv w:val="1"/>
      <w:marLeft w:val="0"/>
      <w:marRight w:val="0"/>
      <w:marTop w:val="0"/>
      <w:marBottom w:val="0"/>
      <w:divBdr>
        <w:top w:val="none" w:sz="0" w:space="0" w:color="auto"/>
        <w:left w:val="none" w:sz="0" w:space="0" w:color="auto"/>
        <w:bottom w:val="none" w:sz="0" w:space="0" w:color="auto"/>
        <w:right w:val="none" w:sz="0" w:space="0" w:color="auto"/>
      </w:divBdr>
    </w:div>
    <w:div w:id="1365324309">
      <w:bodyDiv w:val="1"/>
      <w:marLeft w:val="0"/>
      <w:marRight w:val="0"/>
      <w:marTop w:val="0"/>
      <w:marBottom w:val="0"/>
      <w:divBdr>
        <w:top w:val="none" w:sz="0" w:space="0" w:color="auto"/>
        <w:left w:val="none" w:sz="0" w:space="0" w:color="auto"/>
        <w:bottom w:val="none" w:sz="0" w:space="0" w:color="auto"/>
        <w:right w:val="none" w:sz="0" w:space="0" w:color="auto"/>
      </w:divBdr>
    </w:div>
    <w:div w:id="1624769221">
      <w:bodyDiv w:val="1"/>
      <w:marLeft w:val="0"/>
      <w:marRight w:val="0"/>
      <w:marTop w:val="0"/>
      <w:marBottom w:val="0"/>
      <w:divBdr>
        <w:top w:val="none" w:sz="0" w:space="0" w:color="auto"/>
        <w:left w:val="none" w:sz="0" w:space="0" w:color="auto"/>
        <w:bottom w:val="none" w:sz="0" w:space="0" w:color="auto"/>
        <w:right w:val="none" w:sz="0" w:space="0" w:color="auto"/>
      </w:divBdr>
    </w:div>
    <w:div w:id="1764649473">
      <w:bodyDiv w:val="1"/>
      <w:marLeft w:val="0"/>
      <w:marRight w:val="0"/>
      <w:marTop w:val="0"/>
      <w:marBottom w:val="0"/>
      <w:divBdr>
        <w:top w:val="none" w:sz="0" w:space="0" w:color="auto"/>
        <w:left w:val="none" w:sz="0" w:space="0" w:color="auto"/>
        <w:bottom w:val="none" w:sz="0" w:space="0" w:color="auto"/>
        <w:right w:val="none" w:sz="0" w:space="0" w:color="auto"/>
      </w:divBdr>
    </w:div>
    <w:div w:id="1879970925">
      <w:bodyDiv w:val="1"/>
      <w:marLeft w:val="0"/>
      <w:marRight w:val="0"/>
      <w:marTop w:val="0"/>
      <w:marBottom w:val="0"/>
      <w:divBdr>
        <w:top w:val="none" w:sz="0" w:space="0" w:color="auto"/>
        <w:left w:val="none" w:sz="0" w:space="0" w:color="auto"/>
        <w:bottom w:val="none" w:sz="0" w:space="0" w:color="auto"/>
        <w:right w:val="none" w:sz="0" w:space="0" w:color="auto"/>
      </w:divBdr>
      <w:divsChild>
        <w:div w:id="1145852349">
          <w:marLeft w:val="0"/>
          <w:marRight w:val="0"/>
          <w:marTop w:val="0"/>
          <w:marBottom w:val="0"/>
          <w:divBdr>
            <w:top w:val="none" w:sz="0" w:space="0" w:color="auto"/>
            <w:left w:val="none" w:sz="0" w:space="0" w:color="auto"/>
            <w:bottom w:val="none" w:sz="0" w:space="0" w:color="auto"/>
            <w:right w:val="none" w:sz="0" w:space="0" w:color="auto"/>
          </w:divBdr>
        </w:div>
      </w:divsChild>
    </w:div>
    <w:div w:id="200123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ED846-81E3-429D-88B5-487F7F3E7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11</Pages>
  <Words>2265</Words>
  <Characters>12913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Hossein Toreyhi</dc:creator>
  <cp:keywords/>
  <dc:description/>
  <cp:lastModifiedBy>Hossein Toreyhi</cp:lastModifiedBy>
  <cp:revision>5</cp:revision>
  <dcterms:created xsi:type="dcterms:W3CDTF">2025-09-15T14:56:00Z</dcterms:created>
  <dcterms:modified xsi:type="dcterms:W3CDTF">2025-09-16T15:08:00Z</dcterms:modified>
</cp:coreProperties>
</file>