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9DC03E">
      <w:pPr>
        <w:pStyle w:val="36"/>
        <w:rPr>
          <w:sz w:val="20"/>
          <w:szCs w:val="20"/>
        </w:rPr>
      </w:pPr>
      <w:r>
        <w:rPr>
          <w:sz w:val="20"/>
          <w:szCs w:val="20"/>
        </w:rPr>
        <w:t>Supplementary Table 1. Baseline characteristics of included studies</w:t>
      </w:r>
    </w:p>
    <w:tbl>
      <w:tblPr>
        <w:tblStyle w:val="14"/>
        <w:tblW w:w="15111" w:type="dxa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94"/>
        <w:gridCol w:w="850"/>
        <w:gridCol w:w="992"/>
        <w:gridCol w:w="992"/>
        <w:gridCol w:w="1418"/>
        <w:gridCol w:w="2268"/>
        <w:gridCol w:w="1701"/>
        <w:gridCol w:w="1134"/>
        <w:gridCol w:w="2826"/>
        <w:gridCol w:w="236"/>
      </w:tblGrid>
      <w:tr w14:paraId="1A4A647B">
        <w:trPr>
          <w:gridAfter w:val="1"/>
          <w:wAfter w:w="236" w:type="dxa"/>
          <w:trHeight w:val="890" w:hRule="atLeast"/>
        </w:trPr>
        <w:tc>
          <w:tcPr>
            <w:tcW w:w="2694" w:type="dxa"/>
            <w:tcBorders>
              <w:bottom w:val="single" w:color="auto" w:sz="8" w:space="0"/>
            </w:tcBorders>
            <w:vAlign w:val="center"/>
          </w:tcPr>
          <w:p w14:paraId="7E6E1285">
            <w:pPr>
              <w:jc w:val="left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First Author</w:t>
            </w:r>
          </w:p>
        </w:tc>
        <w:tc>
          <w:tcPr>
            <w:tcW w:w="850" w:type="dxa"/>
            <w:tcBorders>
              <w:bottom w:val="single" w:color="auto" w:sz="8" w:space="0"/>
            </w:tcBorders>
            <w:vAlign w:val="center"/>
          </w:tcPr>
          <w:p w14:paraId="5FC97D50">
            <w:pPr>
              <w:jc w:val="left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Year</w:t>
            </w:r>
          </w:p>
        </w:tc>
        <w:tc>
          <w:tcPr>
            <w:tcW w:w="992" w:type="dxa"/>
            <w:tcBorders>
              <w:bottom w:val="single" w:color="auto" w:sz="8" w:space="0"/>
            </w:tcBorders>
            <w:vAlign w:val="center"/>
          </w:tcPr>
          <w:p w14:paraId="1E3E1EBB">
            <w:pPr>
              <w:jc w:val="left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tcBorders>
              <w:bottom w:val="single" w:color="auto" w:sz="8" w:space="0"/>
            </w:tcBorders>
            <w:vAlign w:val="center"/>
          </w:tcPr>
          <w:p w14:paraId="4FD94FC9">
            <w:pPr>
              <w:widowControl/>
              <w:jc w:val="left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Study type</w:t>
            </w:r>
          </w:p>
        </w:tc>
        <w:tc>
          <w:tcPr>
            <w:tcW w:w="1418" w:type="dxa"/>
            <w:tcBorders>
              <w:bottom w:val="single" w:color="auto" w:sz="8" w:space="0"/>
            </w:tcBorders>
            <w:vAlign w:val="center"/>
          </w:tcPr>
          <w:p w14:paraId="5ED6B72C">
            <w:pPr>
              <w:jc w:val="left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Country</w:t>
            </w:r>
          </w:p>
        </w:tc>
        <w:tc>
          <w:tcPr>
            <w:tcW w:w="2268" w:type="dxa"/>
            <w:tcBorders>
              <w:bottom w:val="single" w:color="auto" w:sz="8" w:space="0"/>
            </w:tcBorders>
            <w:vAlign w:val="center"/>
          </w:tcPr>
          <w:p w14:paraId="694B017C">
            <w:pPr>
              <w:jc w:val="left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DengXi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Sample size (Intervention/Control)</w:t>
            </w:r>
          </w:p>
        </w:tc>
        <w:tc>
          <w:tcPr>
            <w:tcW w:w="1701" w:type="dxa"/>
            <w:tcBorders>
              <w:bottom w:val="single" w:color="auto" w:sz="8" w:space="0"/>
            </w:tcBorders>
            <w:vAlign w:val="center"/>
          </w:tcPr>
          <w:p w14:paraId="6E3DF510"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Intervention</w:t>
            </w:r>
          </w:p>
        </w:tc>
        <w:tc>
          <w:tcPr>
            <w:tcW w:w="1134" w:type="dxa"/>
            <w:tcBorders>
              <w:bottom w:val="single" w:color="auto" w:sz="8" w:space="0"/>
            </w:tcBorders>
            <w:vAlign w:val="center"/>
          </w:tcPr>
          <w:p w14:paraId="4EF9C584"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Control</w:t>
            </w:r>
          </w:p>
        </w:tc>
        <w:tc>
          <w:tcPr>
            <w:tcW w:w="2826" w:type="dxa"/>
            <w:tcBorders>
              <w:bottom w:val="single" w:color="auto" w:sz="8" w:space="0"/>
            </w:tcBorders>
            <w:noWrap/>
            <w:vAlign w:val="center"/>
          </w:tcPr>
          <w:p w14:paraId="11B2FAC0">
            <w:pPr>
              <w:jc w:val="left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Outcomes</w:t>
            </w:r>
          </w:p>
        </w:tc>
      </w:tr>
      <w:tr w14:paraId="6B66260A">
        <w:trPr>
          <w:gridAfter w:val="1"/>
          <w:wAfter w:w="236" w:type="dxa"/>
          <w:trHeight w:val="23" w:hRule="atLeast"/>
        </w:trPr>
        <w:tc>
          <w:tcPr>
            <w:tcW w:w="2694" w:type="dxa"/>
            <w:tcBorders>
              <w:top w:val="single" w:color="auto" w:sz="8" w:space="0"/>
              <w:bottom w:val="nil"/>
            </w:tcBorders>
            <w:noWrap/>
            <w:vAlign w:val="center"/>
          </w:tcPr>
          <w:p w14:paraId="32FD7629">
            <w:pPr>
              <w:widowControl/>
              <w:jc w:val="left"/>
              <w:textAlignment w:val="center"/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Sherif Ashoush</w:t>
            </w:r>
            <w:bookmarkStart w:id="0" w:name="_GoBack"/>
            <w:bookmarkEnd w:id="0"/>
          </w:p>
        </w:tc>
        <w:tc>
          <w:tcPr>
            <w:tcW w:w="850" w:type="dxa"/>
            <w:tcBorders>
              <w:top w:val="single" w:color="auto" w:sz="8" w:space="0"/>
              <w:bottom w:val="nil"/>
            </w:tcBorders>
            <w:noWrap/>
            <w:vAlign w:val="center"/>
          </w:tcPr>
          <w:p w14:paraId="40AAD491">
            <w:pPr>
              <w:widowControl/>
              <w:jc w:val="left"/>
              <w:textAlignment w:val="center"/>
              <w:rPr>
                <w:rFonts w:hint="eastAsia" w:ascii="Times New Roman" w:hAnsi="Times New Roman" w:eastAsia="宋体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201</w:t>
            </w:r>
            <w:r>
              <w:rPr>
                <w:rFonts w:hint="eastAsia" w:ascii="Times New Roman" w:hAnsi="Times New Roman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992" w:type="dxa"/>
            <w:tcBorders>
              <w:top w:val="single" w:color="auto" w:sz="8" w:space="0"/>
              <w:bottom w:val="nil"/>
            </w:tcBorders>
            <w:noWrap/>
            <w:vAlign w:val="center"/>
          </w:tcPr>
          <w:p w14:paraId="09817FD6">
            <w:pPr>
              <w:widowControl/>
              <w:jc w:val="left"/>
              <w:textAlignment w:val="center"/>
              <w:rPr>
                <w:rFonts w:hint="eastAsia" w:ascii="Times New Roman" w:hAnsi="Times New Roman" w:eastAsia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92" w:type="dxa"/>
            <w:tcBorders>
              <w:top w:val="single" w:color="auto" w:sz="8" w:space="0"/>
              <w:bottom w:val="nil"/>
            </w:tcBorders>
            <w:noWrap/>
            <w:vAlign w:val="center"/>
          </w:tcPr>
          <w:p w14:paraId="74A9981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RCT</w:t>
            </w:r>
          </w:p>
        </w:tc>
        <w:tc>
          <w:tcPr>
            <w:tcW w:w="1418" w:type="dxa"/>
            <w:tcBorders>
              <w:top w:val="single" w:color="auto" w:sz="8" w:space="0"/>
              <w:bottom w:val="nil"/>
            </w:tcBorders>
            <w:noWrap/>
            <w:vAlign w:val="center"/>
          </w:tcPr>
          <w:p w14:paraId="293B9267">
            <w:pPr>
              <w:widowControl/>
              <w:jc w:val="left"/>
              <w:textAlignment w:val="center"/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Egypt</w:t>
            </w:r>
          </w:p>
        </w:tc>
        <w:tc>
          <w:tcPr>
            <w:tcW w:w="2268" w:type="dxa"/>
            <w:tcBorders>
              <w:top w:val="single" w:color="auto" w:sz="8" w:space="0"/>
              <w:bottom w:val="nil"/>
            </w:tcBorders>
            <w:vAlign w:val="center"/>
          </w:tcPr>
          <w:p w14:paraId="6B1B6ECC">
            <w:pPr>
              <w:widowControl/>
              <w:jc w:val="left"/>
              <w:textAlignment w:val="center"/>
              <w:rPr>
                <w:rStyle w:val="34"/>
                <w:rFonts w:hint="default"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44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41</w:t>
            </w:r>
          </w:p>
        </w:tc>
        <w:tc>
          <w:tcPr>
            <w:tcW w:w="1701" w:type="dxa"/>
            <w:tcBorders>
              <w:top w:val="single" w:color="auto" w:sz="8" w:space="0"/>
              <w:bottom w:val="nil"/>
            </w:tcBorders>
            <w:noWrap/>
            <w:vAlign w:val="center"/>
          </w:tcPr>
          <w:p w14:paraId="6D6C452B">
            <w:pPr>
              <w:widowControl/>
              <w:jc w:val="left"/>
              <w:textAlignment w:val="center"/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34"/>
                <w:rFonts w:hint="default"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CrP</w:t>
            </w:r>
          </w:p>
        </w:tc>
        <w:tc>
          <w:tcPr>
            <w:tcW w:w="1134" w:type="dxa"/>
            <w:tcBorders>
              <w:top w:val="single" w:color="auto" w:sz="8" w:space="0"/>
              <w:bottom w:val="nil"/>
            </w:tcBorders>
            <w:noWrap/>
            <w:vAlign w:val="center"/>
          </w:tcPr>
          <w:p w14:paraId="6DA674F6">
            <w:pPr>
              <w:widowControl/>
              <w:jc w:val="left"/>
              <w:textAlignment w:val="center"/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placebo</w:t>
            </w:r>
          </w:p>
        </w:tc>
        <w:tc>
          <w:tcPr>
            <w:tcW w:w="2826" w:type="dxa"/>
            <w:tcBorders>
              <w:top w:val="single" w:color="auto" w:sz="8" w:space="0"/>
              <w:bottom w:val="nil"/>
            </w:tcBorders>
            <w:noWrap/>
            <w:vAlign w:val="center"/>
          </w:tcPr>
          <w:p w14:paraId="4ACE678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(1)</w:t>
            </w:r>
            <w:r>
              <w:rPr>
                <w:rStyle w:val="35"/>
                <w:rFonts w:hint="default"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, (2)</w:t>
            </w:r>
          </w:p>
        </w:tc>
      </w:tr>
      <w:tr w14:paraId="76C55C9D">
        <w:trPr>
          <w:gridAfter w:val="1"/>
          <w:wAfter w:w="236" w:type="dxa"/>
          <w:trHeight w:val="23" w:hRule="atLeast"/>
        </w:trPr>
        <w:tc>
          <w:tcPr>
            <w:tcW w:w="2694" w:type="dxa"/>
            <w:tcBorders>
              <w:top w:val="nil"/>
              <w:bottom w:val="nil"/>
            </w:tcBorders>
            <w:noWrap/>
            <w:vAlign w:val="center"/>
          </w:tcPr>
          <w:p w14:paraId="48CE4DD6">
            <w:pPr>
              <w:widowControl/>
              <w:jc w:val="left"/>
              <w:textAlignment w:val="center"/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Mehri Jamilian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vAlign w:val="center"/>
          </w:tcPr>
          <w:p w14:paraId="2D8CDC7E">
            <w:pPr>
              <w:widowControl/>
              <w:jc w:val="left"/>
              <w:textAlignment w:val="center"/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2015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center"/>
          </w:tcPr>
          <w:p w14:paraId="4E26110E">
            <w:pPr>
              <w:widowControl/>
              <w:jc w:val="left"/>
              <w:textAlignment w:val="center"/>
              <w:rPr>
                <w:rFonts w:hint="eastAsia" w:ascii="Times New Roman" w:hAnsi="Times New Roman" w:eastAsia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center"/>
          </w:tcPr>
          <w:p w14:paraId="0FF387C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RCT</w:t>
            </w: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vAlign w:val="center"/>
          </w:tcPr>
          <w:p w14:paraId="0CAC5AA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Iran</w:t>
            </w: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5AC5C8EA">
            <w:pPr>
              <w:widowControl/>
              <w:jc w:val="left"/>
              <w:textAlignment w:val="center"/>
              <w:rPr>
                <w:rStyle w:val="34"/>
                <w:rFonts w:hint="default"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32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</w:tcPr>
          <w:p w14:paraId="4B1F449C">
            <w:pPr>
              <w:widowControl/>
              <w:jc w:val="left"/>
              <w:textAlignment w:val="center"/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34"/>
                <w:rFonts w:hint="default"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Cr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</w:tcPr>
          <w:p w14:paraId="0998037F">
            <w:pPr>
              <w:widowControl/>
              <w:jc w:val="left"/>
              <w:textAlignment w:val="center"/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placebo</w:t>
            </w:r>
          </w:p>
        </w:tc>
        <w:tc>
          <w:tcPr>
            <w:tcW w:w="2826" w:type="dxa"/>
            <w:tcBorders>
              <w:top w:val="nil"/>
              <w:bottom w:val="nil"/>
            </w:tcBorders>
            <w:noWrap/>
            <w:vAlign w:val="center"/>
          </w:tcPr>
          <w:p w14:paraId="45A8C61F">
            <w:pPr>
              <w:widowControl/>
              <w:jc w:val="left"/>
              <w:textAlignment w:val="center"/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(1)</w:t>
            </w:r>
            <w:r>
              <w:rPr>
                <w:rStyle w:val="35"/>
                <w:rFonts w:hint="default"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, (2), (3), (4), (5), (6), (7)</w:t>
            </w:r>
          </w:p>
        </w:tc>
      </w:tr>
      <w:tr w14:paraId="07DCCB06">
        <w:trPr>
          <w:gridAfter w:val="1"/>
          <w:wAfter w:w="236" w:type="dxa"/>
          <w:trHeight w:val="23" w:hRule="atLeast"/>
        </w:trPr>
        <w:tc>
          <w:tcPr>
            <w:tcW w:w="2694" w:type="dxa"/>
            <w:tcBorders>
              <w:top w:val="nil"/>
              <w:bottom w:val="nil"/>
            </w:tcBorders>
            <w:noWrap/>
            <w:vAlign w:val="center"/>
          </w:tcPr>
          <w:p w14:paraId="0C7EEC93">
            <w:pPr>
              <w:widowControl/>
              <w:jc w:val="left"/>
              <w:textAlignment w:val="center"/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F. Foroozanfard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vAlign w:val="center"/>
          </w:tcPr>
          <w:p w14:paraId="7C466857">
            <w:pPr>
              <w:widowControl/>
              <w:jc w:val="left"/>
              <w:textAlignment w:val="center"/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2015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center"/>
          </w:tcPr>
          <w:p w14:paraId="5A110ED9">
            <w:pPr>
              <w:widowControl/>
              <w:jc w:val="left"/>
              <w:textAlignment w:val="center"/>
              <w:rPr>
                <w:rFonts w:hint="eastAsia" w:ascii="Times New Roman" w:hAnsi="Times New Roman" w:eastAsia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center"/>
          </w:tcPr>
          <w:p w14:paraId="341DC08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RCT</w:t>
            </w: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vAlign w:val="center"/>
          </w:tcPr>
          <w:p w14:paraId="746EC1BE">
            <w:pPr>
              <w:widowControl/>
              <w:jc w:val="left"/>
              <w:textAlignment w:val="center"/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Iran</w:t>
            </w: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1B76F2AB">
            <w:pPr>
              <w:widowControl/>
              <w:jc w:val="left"/>
              <w:textAlignment w:val="center"/>
              <w:rPr>
                <w:rStyle w:val="34"/>
                <w:rFonts w:hint="default"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26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</w:tcPr>
          <w:p w14:paraId="580B8EA8">
            <w:pPr>
              <w:widowControl/>
              <w:jc w:val="left"/>
              <w:textAlignment w:val="center"/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34"/>
                <w:rFonts w:hint="default"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zinc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</w:tcPr>
          <w:p w14:paraId="4E6CADCE">
            <w:pPr>
              <w:widowControl/>
              <w:jc w:val="left"/>
              <w:textAlignment w:val="center"/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placebo</w:t>
            </w:r>
          </w:p>
        </w:tc>
        <w:tc>
          <w:tcPr>
            <w:tcW w:w="2826" w:type="dxa"/>
            <w:tcBorders>
              <w:top w:val="nil"/>
              <w:bottom w:val="nil"/>
            </w:tcBorders>
            <w:noWrap/>
            <w:vAlign w:val="center"/>
          </w:tcPr>
          <w:p w14:paraId="03AC664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(1)</w:t>
            </w:r>
            <w:r>
              <w:rPr>
                <w:rStyle w:val="35"/>
                <w:rFonts w:hint="default"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, (2), (3), (4), (5), (6), (7)</w:t>
            </w:r>
          </w:p>
        </w:tc>
      </w:tr>
      <w:tr w14:paraId="7050141A">
        <w:trPr>
          <w:gridAfter w:val="1"/>
          <w:wAfter w:w="236" w:type="dxa"/>
          <w:trHeight w:val="23" w:hRule="atLeast"/>
        </w:trPr>
        <w:tc>
          <w:tcPr>
            <w:tcW w:w="2694" w:type="dxa"/>
            <w:tcBorders>
              <w:top w:val="nil"/>
              <w:bottom w:val="nil"/>
            </w:tcBorders>
            <w:noWrap/>
            <w:vAlign w:val="center"/>
          </w:tcPr>
          <w:p w14:paraId="3C656A1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Zatollah Asemi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vAlign w:val="center"/>
          </w:tcPr>
          <w:p w14:paraId="19A4B893">
            <w:pPr>
              <w:widowControl/>
              <w:jc w:val="left"/>
              <w:textAlignment w:val="center"/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2015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center"/>
          </w:tcPr>
          <w:p w14:paraId="0B08EAA7">
            <w:pPr>
              <w:widowControl/>
              <w:jc w:val="left"/>
              <w:textAlignment w:val="center"/>
              <w:rPr>
                <w:rFonts w:hint="default" w:ascii="Times New Roman" w:hAnsi="Times New Roman" w:eastAsia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center"/>
          </w:tcPr>
          <w:p w14:paraId="5F49914E">
            <w:pPr>
              <w:widowControl/>
              <w:jc w:val="left"/>
              <w:textAlignment w:val="center"/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RCT</w:t>
            </w: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vAlign w:val="center"/>
          </w:tcPr>
          <w:p w14:paraId="24583621">
            <w:pPr>
              <w:widowControl/>
              <w:jc w:val="left"/>
              <w:textAlignment w:val="center"/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Iran</w:t>
            </w: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1A4A0768">
            <w:pPr>
              <w:widowControl/>
              <w:jc w:val="left"/>
              <w:textAlignment w:val="center"/>
              <w:rPr>
                <w:rStyle w:val="34"/>
                <w:rFonts w:hint="default"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35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</w:tcPr>
          <w:p w14:paraId="67214CD4">
            <w:pPr>
              <w:widowControl/>
              <w:jc w:val="left"/>
              <w:textAlignment w:val="center"/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34"/>
                <w:rFonts w:hint="default"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selenium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</w:tcPr>
          <w:p w14:paraId="038D4DBE">
            <w:pPr>
              <w:widowControl/>
              <w:jc w:val="left"/>
              <w:textAlignment w:val="center"/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placebo</w:t>
            </w:r>
          </w:p>
        </w:tc>
        <w:tc>
          <w:tcPr>
            <w:tcW w:w="2826" w:type="dxa"/>
            <w:tcBorders>
              <w:top w:val="nil"/>
              <w:bottom w:val="nil"/>
            </w:tcBorders>
            <w:noWrap/>
            <w:vAlign w:val="center"/>
          </w:tcPr>
          <w:p w14:paraId="42F5F1F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(1)</w:t>
            </w:r>
            <w:r>
              <w:rPr>
                <w:rStyle w:val="35"/>
                <w:rFonts w:hint="default"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, (2), (3), (4), (5), (6), (7)</w:t>
            </w:r>
          </w:p>
        </w:tc>
      </w:tr>
      <w:tr w14:paraId="2CE9D8BE">
        <w:trPr>
          <w:gridAfter w:val="1"/>
          <w:wAfter w:w="236" w:type="dxa"/>
          <w:trHeight w:val="137" w:hRule="atLeast"/>
        </w:trPr>
        <w:tc>
          <w:tcPr>
            <w:tcW w:w="2694" w:type="dxa"/>
            <w:tcBorders>
              <w:top w:val="nil"/>
              <w:bottom w:val="nil"/>
            </w:tcBorders>
            <w:noWrap/>
            <w:vAlign w:val="center"/>
          </w:tcPr>
          <w:p w14:paraId="4B2009F4">
            <w:pPr>
              <w:widowControl/>
              <w:jc w:val="left"/>
              <w:textAlignment w:val="center"/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Shabnam Shahmoradi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vAlign w:val="center"/>
          </w:tcPr>
          <w:p w14:paraId="272AADAF">
            <w:pPr>
              <w:widowControl/>
              <w:jc w:val="left"/>
              <w:textAlignment w:val="center"/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2023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center"/>
          </w:tcPr>
          <w:p w14:paraId="0927BE16">
            <w:pPr>
              <w:widowControl/>
              <w:jc w:val="left"/>
              <w:textAlignment w:val="center"/>
              <w:rPr>
                <w:rFonts w:hint="default" w:ascii="Times New Roman" w:hAnsi="Times New Roman" w:eastAsia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center"/>
          </w:tcPr>
          <w:p w14:paraId="2B55D676">
            <w:pPr>
              <w:widowControl/>
              <w:jc w:val="left"/>
              <w:textAlignment w:val="center"/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RCT</w:t>
            </w: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vAlign w:val="center"/>
          </w:tcPr>
          <w:p w14:paraId="17113613">
            <w:pPr>
              <w:widowControl/>
              <w:jc w:val="left"/>
              <w:textAlignment w:val="center"/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Iran</w:t>
            </w: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2F888B18">
            <w:pPr>
              <w:widowControl/>
              <w:jc w:val="left"/>
              <w:textAlignment w:val="center"/>
              <w:rPr>
                <w:rStyle w:val="34"/>
                <w:rFonts w:hint="default"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</w:tcPr>
          <w:p w14:paraId="0A543C24">
            <w:pPr>
              <w:widowControl/>
              <w:jc w:val="left"/>
              <w:textAlignment w:val="center"/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34"/>
                <w:rFonts w:hint="default"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magnesium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</w:tcPr>
          <w:p w14:paraId="5C93DE4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placebo</w:t>
            </w:r>
          </w:p>
        </w:tc>
        <w:tc>
          <w:tcPr>
            <w:tcW w:w="2826" w:type="dxa"/>
            <w:tcBorders>
              <w:top w:val="nil"/>
              <w:bottom w:val="nil"/>
            </w:tcBorders>
            <w:noWrap/>
            <w:vAlign w:val="center"/>
          </w:tcPr>
          <w:p w14:paraId="10D7411E">
            <w:pPr>
              <w:widowControl/>
              <w:jc w:val="left"/>
              <w:textAlignment w:val="center"/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(1)</w:t>
            </w:r>
            <w:r>
              <w:rPr>
                <w:rStyle w:val="35"/>
                <w:rFonts w:hint="default"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, (2), (3), (4), (5), (6), (7)</w:t>
            </w:r>
          </w:p>
        </w:tc>
      </w:tr>
      <w:tr w14:paraId="20EE10EE">
        <w:trPr>
          <w:gridAfter w:val="1"/>
          <w:wAfter w:w="236" w:type="dxa"/>
          <w:trHeight w:val="312" w:hRule="atLeast"/>
        </w:trPr>
        <w:tc>
          <w:tcPr>
            <w:tcW w:w="2694" w:type="dxa"/>
            <w:vMerge w:val="restart"/>
            <w:tcBorders>
              <w:top w:val="nil"/>
              <w:bottom w:val="nil"/>
            </w:tcBorders>
            <w:noWrap/>
            <w:vAlign w:val="center"/>
          </w:tcPr>
          <w:p w14:paraId="3E6F59D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Mehri Jamilian</w:t>
            </w:r>
          </w:p>
        </w:tc>
        <w:tc>
          <w:tcPr>
            <w:tcW w:w="850" w:type="dxa"/>
            <w:vMerge w:val="restart"/>
            <w:tcBorders>
              <w:top w:val="nil"/>
              <w:bottom w:val="nil"/>
            </w:tcBorders>
            <w:noWrap/>
            <w:vAlign w:val="center"/>
          </w:tcPr>
          <w:p w14:paraId="50D5A57B">
            <w:pPr>
              <w:widowControl/>
              <w:jc w:val="left"/>
              <w:textAlignment w:val="center"/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2017</w:t>
            </w:r>
          </w:p>
        </w:tc>
        <w:tc>
          <w:tcPr>
            <w:tcW w:w="992" w:type="dxa"/>
            <w:vMerge w:val="restart"/>
            <w:tcBorders>
              <w:top w:val="nil"/>
            </w:tcBorders>
            <w:noWrap/>
            <w:vAlign w:val="center"/>
          </w:tcPr>
          <w:p w14:paraId="614F2FE4">
            <w:pPr>
              <w:widowControl/>
              <w:jc w:val="left"/>
              <w:textAlignment w:val="center"/>
              <w:rPr>
                <w:rFonts w:hint="default" w:ascii="Times New Roman" w:hAnsi="Times New Roman" w:eastAsia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992" w:type="dxa"/>
            <w:vMerge w:val="restart"/>
            <w:tcBorders>
              <w:top w:val="nil"/>
              <w:bottom w:val="nil"/>
            </w:tcBorders>
            <w:noWrap/>
            <w:vAlign w:val="center"/>
          </w:tcPr>
          <w:p w14:paraId="2F3A318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RCT</w:t>
            </w:r>
          </w:p>
        </w:tc>
        <w:tc>
          <w:tcPr>
            <w:tcW w:w="1418" w:type="dxa"/>
            <w:vMerge w:val="restart"/>
            <w:tcBorders>
              <w:top w:val="nil"/>
              <w:bottom w:val="nil"/>
            </w:tcBorders>
            <w:noWrap/>
            <w:vAlign w:val="center"/>
          </w:tcPr>
          <w:p w14:paraId="668A093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Iran</w:t>
            </w:r>
          </w:p>
        </w:tc>
        <w:tc>
          <w:tcPr>
            <w:tcW w:w="2268" w:type="dxa"/>
            <w:vMerge w:val="restart"/>
            <w:tcBorders>
              <w:top w:val="nil"/>
              <w:bottom w:val="nil"/>
            </w:tcBorders>
            <w:vAlign w:val="center"/>
          </w:tcPr>
          <w:p w14:paraId="32EDB9E3">
            <w:pPr>
              <w:widowControl/>
              <w:jc w:val="left"/>
              <w:textAlignment w:val="center"/>
              <w:rPr>
                <w:rStyle w:val="34"/>
                <w:rFonts w:hint="default"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701" w:type="dxa"/>
            <w:vMerge w:val="restart"/>
            <w:tcBorders>
              <w:top w:val="nil"/>
              <w:bottom w:val="nil"/>
            </w:tcBorders>
            <w:noWrap/>
            <w:vAlign w:val="center"/>
          </w:tcPr>
          <w:p w14:paraId="588F62C8">
            <w:pPr>
              <w:widowControl/>
              <w:jc w:val="left"/>
              <w:textAlignment w:val="center"/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34"/>
                <w:rFonts w:hint="default"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Cr</w:t>
            </w:r>
          </w:p>
        </w:tc>
        <w:tc>
          <w:tcPr>
            <w:tcW w:w="1134" w:type="dxa"/>
            <w:vMerge w:val="restart"/>
            <w:tcBorders>
              <w:top w:val="nil"/>
              <w:bottom w:val="nil"/>
            </w:tcBorders>
            <w:noWrap/>
            <w:vAlign w:val="center"/>
          </w:tcPr>
          <w:p w14:paraId="0FCD8586">
            <w:pPr>
              <w:widowControl/>
              <w:jc w:val="left"/>
              <w:textAlignment w:val="center"/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placebo</w:t>
            </w:r>
          </w:p>
        </w:tc>
        <w:tc>
          <w:tcPr>
            <w:tcW w:w="2826" w:type="dxa"/>
            <w:vMerge w:val="restart"/>
            <w:tcBorders>
              <w:top w:val="nil"/>
              <w:bottom w:val="nil"/>
            </w:tcBorders>
            <w:noWrap/>
            <w:vAlign w:val="center"/>
          </w:tcPr>
          <w:p w14:paraId="63D296BF">
            <w:pPr>
              <w:widowControl/>
              <w:jc w:val="left"/>
              <w:textAlignment w:val="center"/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(1)</w:t>
            </w:r>
            <w:r>
              <w:rPr>
                <w:rStyle w:val="35"/>
                <w:rFonts w:hint="default"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, (2), (3), (4), (5), (6), (7)</w:t>
            </w:r>
          </w:p>
        </w:tc>
      </w:tr>
      <w:tr w14:paraId="7642BCEF">
        <w:trPr>
          <w:trHeight w:val="312" w:hRule="atLeast"/>
        </w:trPr>
        <w:tc>
          <w:tcPr>
            <w:tcW w:w="2694" w:type="dxa"/>
            <w:vMerge w:val="continue"/>
            <w:tcBorders>
              <w:top w:val="nil"/>
              <w:bottom w:val="nil"/>
            </w:tcBorders>
            <w:vAlign w:val="center"/>
          </w:tcPr>
          <w:p w14:paraId="680C3162">
            <w:pPr>
              <w:widowControl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vMerge w:val="continue"/>
            <w:tcBorders>
              <w:top w:val="nil"/>
              <w:bottom w:val="nil"/>
            </w:tcBorders>
            <w:vAlign w:val="center"/>
          </w:tcPr>
          <w:p w14:paraId="36CF5BE9">
            <w:pPr>
              <w:widowControl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Merge w:val="continue"/>
            <w:tcBorders>
              <w:bottom w:val="nil"/>
            </w:tcBorders>
            <w:vAlign w:val="center"/>
          </w:tcPr>
          <w:p w14:paraId="1D4EF894">
            <w:pPr>
              <w:widowControl/>
              <w:jc w:val="left"/>
              <w:rPr>
                <w:rFonts w:hint="default" w:ascii="Times New Roman" w:hAnsi="Times New Roman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Merge w:val="continue"/>
            <w:tcBorders>
              <w:top w:val="nil"/>
              <w:bottom w:val="nil"/>
            </w:tcBorders>
            <w:vAlign w:val="center"/>
          </w:tcPr>
          <w:p w14:paraId="2D6BDFBC">
            <w:pPr>
              <w:widowControl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vMerge w:val="continue"/>
            <w:tcBorders>
              <w:top w:val="nil"/>
              <w:bottom w:val="nil"/>
            </w:tcBorders>
            <w:vAlign w:val="center"/>
          </w:tcPr>
          <w:p w14:paraId="16D40A9E">
            <w:pPr>
              <w:widowControl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8" w:type="dxa"/>
            <w:vMerge w:val="continue"/>
            <w:tcBorders>
              <w:top w:val="nil"/>
              <w:bottom w:val="nil"/>
            </w:tcBorders>
            <w:vAlign w:val="center"/>
          </w:tcPr>
          <w:p w14:paraId="72ED046C">
            <w:pPr>
              <w:widowControl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tcBorders>
              <w:top w:val="nil"/>
              <w:bottom w:val="nil"/>
            </w:tcBorders>
            <w:vAlign w:val="center"/>
          </w:tcPr>
          <w:p w14:paraId="5FA8129C">
            <w:pPr>
              <w:widowControl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Merge w:val="continue"/>
            <w:tcBorders>
              <w:top w:val="nil"/>
              <w:bottom w:val="nil"/>
            </w:tcBorders>
            <w:vAlign w:val="center"/>
          </w:tcPr>
          <w:p w14:paraId="4DDEC1E3">
            <w:pPr>
              <w:widowControl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26" w:type="dxa"/>
            <w:vMerge w:val="continue"/>
            <w:tcBorders>
              <w:top w:val="nil"/>
              <w:bottom w:val="nil"/>
            </w:tcBorders>
            <w:vAlign w:val="center"/>
          </w:tcPr>
          <w:p w14:paraId="71589F45">
            <w:pPr>
              <w:widowControl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6" w:type="dxa"/>
            <w:vAlign w:val="center"/>
          </w:tcPr>
          <w:p w14:paraId="6FE318FE">
            <w:pPr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EA9B524">
        <w:trPr>
          <w:trHeight w:val="23" w:hRule="atLeast"/>
        </w:trPr>
        <w:tc>
          <w:tcPr>
            <w:tcW w:w="2694" w:type="dxa"/>
            <w:vMerge w:val="restart"/>
            <w:tcBorders>
              <w:top w:val="nil"/>
              <w:bottom w:val="nil"/>
            </w:tcBorders>
            <w:noWrap/>
            <w:vAlign w:val="center"/>
          </w:tcPr>
          <w:p w14:paraId="795715FB">
            <w:pPr>
              <w:widowControl/>
              <w:jc w:val="left"/>
              <w:textAlignment w:val="center"/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Mehri Jamilian</w:t>
            </w:r>
          </w:p>
        </w:tc>
        <w:tc>
          <w:tcPr>
            <w:tcW w:w="850" w:type="dxa"/>
            <w:vMerge w:val="restart"/>
            <w:tcBorders>
              <w:top w:val="nil"/>
              <w:bottom w:val="nil"/>
            </w:tcBorders>
            <w:noWrap/>
            <w:vAlign w:val="center"/>
          </w:tcPr>
          <w:p w14:paraId="1CF33373">
            <w:pPr>
              <w:widowControl/>
              <w:jc w:val="left"/>
              <w:textAlignment w:val="center"/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2018</w:t>
            </w:r>
          </w:p>
        </w:tc>
        <w:tc>
          <w:tcPr>
            <w:tcW w:w="992" w:type="dxa"/>
            <w:vMerge w:val="restart"/>
            <w:tcBorders>
              <w:top w:val="nil"/>
            </w:tcBorders>
            <w:noWrap/>
            <w:vAlign w:val="center"/>
          </w:tcPr>
          <w:p w14:paraId="309830EF">
            <w:pPr>
              <w:widowControl/>
              <w:jc w:val="left"/>
              <w:textAlignment w:val="center"/>
              <w:rPr>
                <w:rFonts w:hint="default" w:ascii="Times New Roman" w:hAnsi="Times New Roman" w:eastAsia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992" w:type="dxa"/>
            <w:vMerge w:val="restart"/>
            <w:tcBorders>
              <w:top w:val="nil"/>
              <w:bottom w:val="nil"/>
            </w:tcBorders>
            <w:noWrap/>
            <w:vAlign w:val="center"/>
          </w:tcPr>
          <w:p w14:paraId="39098098">
            <w:pPr>
              <w:widowControl/>
              <w:jc w:val="left"/>
              <w:textAlignment w:val="center"/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RCT</w:t>
            </w:r>
          </w:p>
        </w:tc>
        <w:tc>
          <w:tcPr>
            <w:tcW w:w="1418" w:type="dxa"/>
            <w:vMerge w:val="restart"/>
            <w:tcBorders>
              <w:top w:val="nil"/>
              <w:bottom w:val="nil"/>
            </w:tcBorders>
            <w:noWrap/>
            <w:vAlign w:val="center"/>
          </w:tcPr>
          <w:p w14:paraId="3C971B7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Iran</w:t>
            </w:r>
          </w:p>
        </w:tc>
        <w:tc>
          <w:tcPr>
            <w:tcW w:w="2268" w:type="dxa"/>
            <w:vMerge w:val="restart"/>
            <w:tcBorders>
              <w:top w:val="nil"/>
              <w:bottom w:val="nil"/>
            </w:tcBorders>
            <w:vAlign w:val="center"/>
          </w:tcPr>
          <w:p w14:paraId="7C5F2135">
            <w:pPr>
              <w:jc w:val="left"/>
              <w:textAlignment w:val="center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30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1701" w:type="dxa"/>
            <w:vMerge w:val="restart"/>
            <w:tcBorders>
              <w:top w:val="nil"/>
              <w:bottom w:val="nil"/>
            </w:tcBorders>
            <w:noWrap/>
            <w:vAlign w:val="center"/>
          </w:tcPr>
          <w:p w14:paraId="4322379E">
            <w:pPr>
              <w:jc w:val="left"/>
              <w:textAlignment w:val="center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Magnesium, </w:t>
            </w:r>
          </w:p>
          <w:p w14:paraId="76763804">
            <w:pPr>
              <w:jc w:val="left"/>
              <w:textAlignment w:val="center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zinc, calcium,</w:t>
            </w:r>
          </w:p>
          <w:p w14:paraId="0C0477D3">
            <w:pPr>
              <w:jc w:val="left"/>
              <w:textAlignment w:val="center"/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vitamin,</w:t>
            </w:r>
          </w:p>
        </w:tc>
        <w:tc>
          <w:tcPr>
            <w:tcW w:w="1134" w:type="dxa"/>
            <w:vMerge w:val="restart"/>
            <w:tcBorders>
              <w:top w:val="nil"/>
              <w:bottom w:val="nil"/>
            </w:tcBorders>
            <w:noWrap/>
            <w:vAlign w:val="center"/>
          </w:tcPr>
          <w:p w14:paraId="22758EDB">
            <w:pPr>
              <w:widowControl/>
              <w:jc w:val="left"/>
              <w:textAlignment w:val="center"/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placebo</w:t>
            </w:r>
          </w:p>
        </w:tc>
        <w:tc>
          <w:tcPr>
            <w:tcW w:w="2826" w:type="dxa"/>
            <w:vMerge w:val="restart"/>
            <w:tcBorders>
              <w:top w:val="nil"/>
              <w:bottom w:val="nil"/>
            </w:tcBorders>
            <w:noWrap/>
            <w:vAlign w:val="center"/>
          </w:tcPr>
          <w:p w14:paraId="4C9BE6B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(1)</w:t>
            </w:r>
            <w:r>
              <w:rPr>
                <w:rStyle w:val="35"/>
                <w:rFonts w:hint="default"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, (2), (3), (4), (5), (6), (7)</w:t>
            </w:r>
          </w:p>
        </w:tc>
        <w:tc>
          <w:tcPr>
            <w:tcW w:w="236" w:type="dxa"/>
            <w:vAlign w:val="center"/>
          </w:tcPr>
          <w:p w14:paraId="13EE0E5D">
            <w:pPr>
              <w:widowControl/>
              <w:jc w:val="left"/>
              <w:rPr>
                <w:rFonts w:ascii="Times New Roman" w:hAnsi="Times New Roman" w:eastAsia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FDD7839">
        <w:trPr>
          <w:trHeight w:val="23" w:hRule="atLeast"/>
        </w:trPr>
        <w:tc>
          <w:tcPr>
            <w:tcW w:w="2694" w:type="dxa"/>
            <w:vMerge w:val="continue"/>
            <w:tcBorders>
              <w:top w:val="nil"/>
              <w:bottom w:val="nil"/>
            </w:tcBorders>
            <w:vAlign w:val="center"/>
          </w:tcPr>
          <w:p w14:paraId="3F96F820">
            <w:pPr>
              <w:widowControl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vMerge w:val="continue"/>
            <w:tcBorders>
              <w:top w:val="nil"/>
              <w:bottom w:val="nil"/>
            </w:tcBorders>
            <w:vAlign w:val="center"/>
          </w:tcPr>
          <w:p w14:paraId="1DB9B97F">
            <w:pPr>
              <w:widowControl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Merge w:val="continue"/>
            <w:tcBorders>
              <w:bottom w:val="nil"/>
            </w:tcBorders>
            <w:vAlign w:val="center"/>
          </w:tcPr>
          <w:p w14:paraId="27ECCD9E">
            <w:pPr>
              <w:widowControl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Merge w:val="continue"/>
            <w:tcBorders>
              <w:top w:val="nil"/>
              <w:bottom w:val="nil"/>
            </w:tcBorders>
            <w:vAlign w:val="center"/>
          </w:tcPr>
          <w:p w14:paraId="63D8C9CA">
            <w:pPr>
              <w:widowControl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vMerge w:val="continue"/>
            <w:tcBorders>
              <w:top w:val="nil"/>
              <w:bottom w:val="nil"/>
            </w:tcBorders>
            <w:vAlign w:val="center"/>
          </w:tcPr>
          <w:p w14:paraId="27C03E1B">
            <w:pPr>
              <w:widowControl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8" w:type="dxa"/>
            <w:vMerge w:val="continue"/>
            <w:tcBorders>
              <w:top w:val="nil"/>
              <w:bottom w:val="nil"/>
            </w:tcBorders>
            <w:vAlign w:val="center"/>
          </w:tcPr>
          <w:p w14:paraId="10231DF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tcBorders>
              <w:top w:val="nil"/>
              <w:bottom w:val="nil"/>
            </w:tcBorders>
            <w:noWrap/>
            <w:vAlign w:val="center"/>
          </w:tcPr>
          <w:p w14:paraId="151B4C2E">
            <w:pPr>
              <w:widowControl/>
              <w:jc w:val="left"/>
              <w:textAlignment w:val="center"/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Merge w:val="continue"/>
            <w:tcBorders>
              <w:top w:val="nil"/>
              <w:bottom w:val="nil"/>
            </w:tcBorders>
            <w:vAlign w:val="center"/>
          </w:tcPr>
          <w:p w14:paraId="5346474B">
            <w:pPr>
              <w:widowControl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26" w:type="dxa"/>
            <w:vMerge w:val="continue"/>
            <w:tcBorders>
              <w:top w:val="nil"/>
              <w:bottom w:val="nil"/>
            </w:tcBorders>
            <w:vAlign w:val="center"/>
          </w:tcPr>
          <w:p w14:paraId="4550AE31">
            <w:pPr>
              <w:widowControl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6" w:type="dxa"/>
            <w:vAlign w:val="center"/>
          </w:tcPr>
          <w:p w14:paraId="433769AA">
            <w:pPr>
              <w:widowControl/>
              <w:jc w:val="left"/>
              <w:rPr>
                <w:rFonts w:ascii="Times New Roman" w:hAnsi="Times New Roman" w:eastAsia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37AE86">
        <w:trPr>
          <w:trHeight w:val="23" w:hRule="atLeast"/>
        </w:trPr>
        <w:tc>
          <w:tcPr>
            <w:tcW w:w="2694" w:type="dxa"/>
            <w:tcBorders>
              <w:top w:val="nil"/>
              <w:bottom w:val="nil"/>
            </w:tcBorders>
            <w:noWrap/>
            <w:vAlign w:val="center"/>
          </w:tcPr>
          <w:p w14:paraId="2E59F7E7">
            <w:pPr>
              <w:widowControl/>
              <w:jc w:val="left"/>
              <w:textAlignment w:val="center"/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Shahrzad Zadeh Modarres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vAlign w:val="center"/>
          </w:tcPr>
          <w:p w14:paraId="4C88208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2022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center"/>
          </w:tcPr>
          <w:p w14:paraId="5FA66E75">
            <w:pPr>
              <w:widowControl/>
              <w:jc w:val="left"/>
              <w:textAlignment w:val="center"/>
              <w:rPr>
                <w:rFonts w:hint="default" w:ascii="Times New Roman" w:hAnsi="Times New Roman" w:eastAsia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center"/>
          </w:tcPr>
          <w:p w14:paraId="1D558D94">
            <w:pPr>
              <w:widowControl/>
              <w:jc w:val="left"/>
              <w:textAlignment w:val="center"/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RCT</w:t>
            </w: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vAlign w:val="center"/>
          </w:tcPr>
          <w:p w14:paraId="76251DC3">
            <w:pPr>
              <w:widowControl/>
              <w:jc w:val="left"/>
              <w:textAlignment w:val="center"/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Iran</w:t>
            </w: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7AA17879">
            <w:pPr>
              <w:widowControl/>
              <w:jc w:val="left"/>
              <w:textAlignment w:val="center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</w:tcPr>
          <w:p w14:paraId="08F3A81F">
            <w:pPr>
              <w:widowControl/>
              <w:jc w:val="left"/>
              <w:textAlignment w:val="center"/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selenium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</w:tcPr>
          <w:p w14:paraId="06855E7E">
            <w:pPr>
              <w:widowControl/>
              <w:jc w:val="left"/>
              <w:textAlignment w:val="center"/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placebo</w:t>
            </w:r>
          </w:p>
        </w:tc>
        <w:tc>
          <w:tcPr>
            <w:tcW w:w="2826" w:type="dxa"/>
            <w:tcBorders>
              <w:top w:val="nil"/>
              <w:bottom w:val="nil"/>
            </w:tcBorders>
            <w:noWrap/>
            <w:vAlign w:val="center"/>
          </w:tcPr>
          <w:p w14:paraId="3056FE26">
            <w:pPr>
              <w:widowControl/>
              <w:jc w:val="left"/>
              <w:textAlignment w:val="center"/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(1)</w:t>
            </w:r>
            <w:r>
              <w:rPr>
                <w:rStyle w:val="35"/>
                <w:rFonts w:hint="default"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, (2), (3), (4), (5), (6), (7)</w:t>
            </w:r>
          </w:p>
        </w:tc>
        <w:tc>
          <w:tcPr>
            <w:tcW w:w="236" w:type="dxa"/>
            <w:vAlign w:val="center"/>
          </w:tcPr>
          <w:p w14:paraId="1460D77E">
            <w:pPr>
              <w:widowControl/>
              <w:jc w:val="left"/>
              <w:rPr>
                <w:rFonts w:ascii="Times New Roman" w:hAnsi="Times New Roman" w:eastAsia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6187105">
        <w:trPr>
          <w:trHeight w:val="23" w:hRule="atLeast"/>
        </w:trPr>
        <w:tc>
          <w:tcPr>
            <w:tcW w:w="2694" w:type="dxa"/>
            <w:vMerge w:val="restart"/>
            <w:tcBorders>
              <w:top w:val="nil"/>
              <w:bottom w:val="nil"/>
            </w:tcBorders>
            <w:noWrap/>
            <w:vAlign w:val="center"/>
          </w:tcPr>
          <w:p w14:paraId="0D2F3BE6">
            <w:pPr>
              <w:widowControl/>
              <w:jc w:val="left"/>
              <w:textAlignment w:val="center"/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Maryam Farsinejad-Marj</w:t>
            </w:r>
          </w:p>
        </w:tc>
        <w:tc>
          <w:tcPr>
            <w:tcW w:w="850" w:type="dxa"/>
            <w:vMerge w:val="restart"/>
            <w:tcBorders>
              <w:top w:val="nil"/>
              <w:bottom w:val="nil"/>
            </w:tcBorders>
            <w:noWrap/>
            <w:vAlign w:val="center"/>
          </w:tcPr>
          <w:p w14:paraId="6819ABA3">
            <w:pPr>
              <w:widowControl/>
              <w:jc w:val="left"/>
              <w:textAlignment w:val="center"/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2020</w:t>
            </w:r>
          </w:p>
        </w:tc>
        <w:tc>
          <w:tcPr>
            <w:tcW w:w="992" w:type="dxa"/>
            <w:vMerge w:val="restart"/>
            <w:tcBorders>
              <w:top w:val="nil"/>
            </w:tcBorders>
            <w:noWrap/>
            <w:vAlign w:val="center"/>
          </w:tcPr>
          <w:p w14:paraId="474C117D">
            <w:pPr>
              <w:widowControl/>
              <w:jc w:val="left"/>
              <w:textAlignment w:val="center"/>
              <w:rPr>
                <w:rFonts w:hint="default" w:ascii="Times New Roman" w:hAnsi="Times New Roman" w:eastAsia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992" w:type="dxa"/>
            <w:vMerge w:val="restart"/>
            <w:tcBorders>
              <w:top w:val="nil"/>
              <w:bottom w:val="nil"/>
            </w:tcBorders>
            <w:noWrap/>
            <w:vAlign w:val="center"/>
          </w:tcPr>
          <w:p w14:paraId="3BDA783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RCT</w:t>
            </w:r>
          </w:p>
        </w:tc>
        <w:tc>
          <w:tcPr>
            <w:tcW w:w="1418" w:type="dxa"/>
            <w:vMerge w:val="restart"/>
            <w:tcBorders>
              <w:top w:val="nil"/>
              <w:bottom w:val="nil"/>
            </w:tcBorders>
            <w:noWrap/>
            <w:vAlign w:val="center"/>
          </w:tcPr>
          <w:p w14:paraId="47419976">
            <w:pPr>
              <w:widowControl/>
              <w:jc w:val="left"/>
              <w:textAlignment w:val="center"/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Iran</w:t>
            </w:r>
          </w:p>
        </w:tc>
        <w:tc>
          <w:tcPr>
            <w:tcW w:w="2268" w:type="dxa"/>
            <w:vMerge w:val="restart"/>
            <w:tcBorders>
              <w:top w:val="nil"/>
              <w:bottom w:val="nil"/>
            </w:tcBorders>
            <w:vAlign w:val="center"/>
          </w:tcPr>
          <w:p w14:paraId="19047D22">
            <w:pPr>
              <w:widowControl/>
              <w:jc w:val="left"/>
              <w:textAlignment w:val="center"/>
              <w:rPr>
                <w:rStyle w:val="34"/>
                <w:rFonts w:hint="default"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30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1701" w:type="dxa"/>
            <w:vMerge w:val="restart"/>
            <w:tcBorders>
              <w:top w:val="nil"/>
              <w:bottom w:val="nil"/>
            </w:tcBorders>
            <w:noWrap/>
            <w:vAlign w:val="center"/>
          </w:tcPr>
          <w:p w14:paraId="3AA91D68">
            <w:pPr>
              <w:widowControl/>
              <w:jc w:val="left"/>
              <w:textAlignment w:val="center"/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34"/>
                <w:rFonts w:hint="default"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magnesium</w:t>
            </w:r>
          </w:p>
        </w:tc>
        <w:tc>
          <w:tcPr>
            <w:tcW w:w="1134" w:type="dxa"/>
            <w:vMerge w:val="restart"/>
            <w:tcBorders>
              <w:top w:val="nil"/>
              <w:bottom w:val="nil"/>
            </w:tcBorders>
            <w:noWrap/>
            <w:vAlign w:val="center"/>
          </w:tcPr>
          <w:p w14:paraId="04D9FAF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placebo</w:t>
            </w:r>
          </w:p>
        </w:tc>
        <w:tc>
          <w:tcPr>
            <w:tcW w:w="2826" w:type="dxa"/>
            <w:vMerge w:val="restart"/>
            <w:tcBorders>
              <w:top w:val="nil"/>
              <w:bottom w:val="nil"/>
            </w:tcBorders>
            <w:noWrap/>
            <w:vAlign w:val="center"/>
          </w:tcPr>
          <w:p w14:paraId="3848382B">
            <w:pPr>
              <w:widowControl/>
              <w:jc w:val="left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(1</w:t>
            </w:r>
            <w:r>
              <w:rPr>
                <w:rFonts w:hint="default" w:ascii="Times New Roman" w:hAnsi="Times New Roman"/>
                <w:color w:val="000000" w:themeColor="text1"/>
                <w:kern w:val="0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), </w:t>
            </w:r>
            <w:r>
              <w:rPr>
                <w:rFonts w:hint="default" w:ascii="Times New Roman" w:hAnsi="Times New Roman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(4), (6), (7)</w:t>
            </w:r>
          </w:p>
        </w:tc>
        <w:tc>
          <w:tcPr>
            <w:tcW w:w="236" w:type="dxa"/>
            <w:vAlign w:val="center"/>
          </w:tcPr>
          <w:p w14:paraId="459F94B3">
            <w:pPr>
              <w:widowControl/>
              <w:jc w:val="left"/>
              <w:rPr>
                <w:rFonts w:ascii="Times New Roman" w:hAnsi="Times New Roman" w:eastAsia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C3DCDE8">
        <w:trPr>
          <w:trHeight w:val="23" w:hRule="atLeast"/>
        </w:trPr>
        <w:tc>
          <w:tcPr>
            <w:tcW w:w="2694" w:type="dxa"/>
            <w:vMerge w:val="continue"/>
            <w:tcBorders>
              <w:top w:val="nil"/>
              <w:bottom w:val="nil"/>
            </w:tcBorders>
            <w:vAlign w:val="center"/>
          </w:tcPr>
          <w:p w14:paraId="42B48610">
            <w:pPr>
              <w:widowControl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vMerge w:val="continue"/>
            <w:tcBorders>
              <w:top w:val="nil"/>
              <w:bottom w:val="nil"/>
            </w:tcBorders>
            <w:vAlign w:val="center"/>
          </w:tcPr>
          <w:p w14:paraId="2287E4F6">
            <w:pPr>
              <w:widowControl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Merge w:val="continue"/>
            <w:vAlign w:val="center"/>
          </w:tcPr>
          <w:p w14:paraId="005EAD15">
            <w:pPr>
              <w:widowControl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Merge w:val="continue"/>
            <w:tcBorders>
              <w:top w:val="nil"/>
              <w:bottom w:val="nil"/>
            </w:tcBorders>
            <w:vAlign w:val="center"/>
          </w:tcPr>
          <w:p w14:paraId="3528E7B2">
            <w:pPr>
              <w:widowControl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vMerge w:val="continue"/>
            <w:tcBorders>
              <w:top w:val="nil"/>
              <w:bottom w:val="nil"/>
            </w:tcBorders>
            <w:vAlign w:val="center"/>
          </w:tcPr>
          <w:p w14:paraId="67B374AD">
            <w:pPr>
              <w:widowControl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8" w:type="dxa"/>
            <w:vMerge w:val="continue"/>
            <w:tcBorders>
              <w:top w:val="nil"/>
              <w:bottom w:val="nil"/>
            </w:tcBorders>
            <w:vAlign w:val="center"/>
          </w:tcPr>
          <w:p w14:paraId="4CF91629">
            <w:pPr>
              <w:widowControl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tcBorders>
              <w:top w:val="nil"/>
              <w:bottom w:val="nil"/>
            </w:tcBorders>
            <w:vAlign w:val="center"/>
          </w:tcPr>
          <w:p w14:paraId="6A900057">
            <w:pPr>
              <w:widowControl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Merge w:val="continue"/>
            <w:tcBorders>
              <w:top w:val="nil"/>
              <w:bottom w:val="nil"/>
            </w:tcBorders>
            <w:vAlign w:val="center"/>
          </w:tcPr>
          <w:p w14:paraId="3169EE3C">
            <w:pPr>
              <w:widowControl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26" w:type="dxa"/>
            <w:vMerge w:val="continue"/>
            <w:tcBorders>
              <w:top w:val="nil"/>
              <w:bottom w:val="nil"/>
            </w:tcBorders>
            <w:vAlign w:val="center"/>
          </w:tcPr>
          <w:p w14:paraId="2F58C684">
            <w:pPr>
              <w:widowControl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6" w:type="dxa"/>
            <w:vAlign w:val="center"/>
          </w:tcPr>
          <w:p w14:paraId="7BC47EB5">
            <w:pPr>
              <w:widowControl/>
              <w:jc w:val="left"/>
              <w:rPr>
                <w:rFonts w:ascii="Times New Roman" w:hAnsi="Times New Roman" w:eastAsia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98D59AE">
        <w:trPr>
          <w:trHeight w:val="50" w:hRule="atLeast"/>
        </w:trPr>
        <w:tc>
          <w:tcPr>
            <w:tcW w:w="2694" w:type="dxa"/>
            <w:vMerge w:val="continue"/>
            <w:tcBorders>
              <w:top w:val="nil"/>
              <w:bottom w:val="nil"/>
            </w:tcBorders>
            <w:vAlign w:val="center"/>
          </w:tcPr>
          <w:p w14:paraId="2A110331">
            <w:pPr>
              <w:widowControl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vMerge w:val="continue"/>
            <w:tcBorders>
              <w:top w:val="nil"/>
              <w:bottom w:val="nil"/>
            </w:tcBorders>
            <w:vAlign w:val="center"/>
          </w:tcPr>
          <w:p w14:paraId="69B43455">
            <w:pPr>
              <w:widowControl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Merge w:val="continue"/>
            <w:tcBorders>
              <w:bottom w:val="nil"/>
            </w:tcBorders>
            <w:vAlign w:val="center"/>
          </w:tcPr>
          <w:p w14:paraId="7611B7B2">
            <w:pPr>
              <w:widowControl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Merge w:val="continue"/>
            <w:tcBorders>
              <w:top w:val="nil"/>
              <w:bottom w:val="nil"/>
            </w:tcBorders>
            <w:vAlign w:val="center"/>
          </w:tcPr>
          <w:p w14:paraId="4381887A">
            <w:pPr>
              <w:widowControl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vMerge w:val="continue"/>
            <w:tcBorders>
              <w:top w:val="nil"/>
              <w:bottom w:val="nil"/>
            </w:tcBorders>
            <w:vAlign w:val="center"/>
          </w:tcPr>
          <w:p w14:paraId="17D49146">
            <w:pPr>
              <w:widowControl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8" w:type="dxa"/>
            <w:vMerge w:val="continue"/>
            <w:tcBorders>
              <w:top w:val="nil"/>
              <w:bottom w:val="nil"/>
            </w:tcBorders>
            <w:vAlign w:val="center"/>
          </w:tcPr>
          <w:p w14:paraId="02E3DAD7">
            <w:pPr>
              <w:widowControl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tcBorders>
              <w:top w:val="nil"/>
              <w:bottom w:val="nil"/>
            </w:tcBorders>
            <w:vAlign w:val="center"/>
          </w:tcPr>
          <w:p w14:paraId="50D5DFDA">
            <w:pPr>
              <w:widowControl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Merge w:val="continue"/>
            <w:tcBorders>
              <w:top w:val="nil"/>
              <w:bottom w:val="nil"/>
            </w:tcBorders>
            <w:vAlign w:val="center"/>
          </w:tcPr>
          <w:p w14:paraId="37F99B97">
            <w:pPr>
              <w:widowControl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26" w:type="dxa"/>
            <w:vMerge w:val="continue"/>
            <w:tcBorders>
              <w:top w:val="nil"/>
              <w:bottom w:val="nil"/>
            </w:tcBorders>
            <w:vAlign w:val="center"/>
          </w:tcPr>
          <w:p w14:paraId="5D4ABF75">
            <w:pPr>
              <w:widowControl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6" w:type="dxa"/>
            <w:vAlign w:val="center"/>
          </w:tcPr>
          <w:p w14:paraId="179FD3CF">
            <w:pPr>
              <w:widowControl/>
              <w:jc w:val="left"/>
              <w:rPr>
                <w:rFonts w:ascii="Times New Roman" w:hAnsi="Times New Roman" w:eastAsia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B28C7C7">
        <w:trPr>
          <w:trHeight w:val="23" w:hRule="atLeast"/>
        </w:trPr>
        <w:tc>
          <w:tcPr>
            <w:tcW w:w="2694" w:type="dxa"/>
            <w:tcBorders>
              <w:top w:val="nil"/>
              <w:bottom w:val="single" w:color="auto" w:sz="8" w:space="0"/>
            </w:tcBorders>
            <w:noWrap/>
            <w:vAlign w:val="center"/>
          </w:tcPr>
          <w:p w14:paraId="69EF171C">
            <w:pPr>
              <w:widowControl/>
              <w:jc w:val="left"/>
              <w:textAlignment w:val="center"/>
              <w:rPr>
                <w:rFonts w:ascii="Times New Roman" w:hAnsi="Times New Roman" w:eastAsia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Fatemeh Mohammad Hosseinzadeh</w:t>
            </w:r>
          </w:p>
          <w:p w14:paraId="7D286AC5">
            <w:pPr>
              <w:widowControl/>
              <w:jc w:val="left"/>
              <w:textAlignment w:val="center"/>
              <w:rPr>
                <w:rFonts w:ascii="Times New Roman" w:hAnsi="Times New Roman" w:eastAsia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tcBorders>
              <w:top w:val="nil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007C9797">
            <w:pPr>
              <w:widowControl/>
              <w:jc w:val="left"/>
              <w:textAlignment w:val="center"/>
              <w:rPr>
                <w:rFonts w:hint="default" w:ascii="Times New Roman" w:hAnsi="Times New Roman" w:eastAsia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2022</w:t>
            </w:r>
          </w:p>
        </w:tc>
        <w:tc>
          <w:tcPr>
            <w:tcW w:w="992" w:type="dxa"/>
            <w:tcBorders>
              <w:top w:val="nil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13745065">
            <w:pPr>
              <w:widowControl/>
              <w:jc w:val="left"/>
              <w:textAlignment w:val="center"/>
              <w:rPr>
                <w:rFonts w:hint="default" w:ascii="Times New Roman" w:hAnsi="Times New Roman" w:eastAsia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992" w:type="dxa"/>
            <w:tcBorders>
              <w:top w:val="nil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2FC7A74C">
            <w:pPr>
              <w:widowControl/>
              <w:jc w:val="left"/>
              <w:textAlignment w:val="center"/>
              <w:rPr>
                <w:rFonts w:hint="default" w:ascii="Times New Roman" w:hAnsi="Times New Roman" w:eastAsia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RCT</w:t>
            </w:r>
          </w:p>
        </w:tc>
        <w:tc>
          <w:tcPr>
            <w:tcW w:w="1418" w:type="dxa"/>
            <w:tcBorders>
              <w:top w:val="nil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55751A92">
            <w:pPr>
              <w:widowControl/>
              <w:jc w:val="left"/>
              <w:textAlignment w:val="center"/>
              <w:rPr>
                <w:rFonts w:hint="default" w:ascii="Times New Roman" w:hAnsi="Times New Roman" w:eastAsia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Iran</w:t>
            </w:r>
          </w:p>
        </w:tc>
        <w:tc>
          <w:tcPr>
            <w:tcW w:w="2268" w:type="dxa"/>
            <w:tcBorders>
              <w:top w:val="nil"/>
              <w:bottom w:val="single" w:color="auto" w:sz="8" w:space="0"/>
            </w:tcBorders>
            <w:vAlign w:val="center"/>
          </w:tcPr>
          <w:p w14:paraId="76032B9F">
            <w:pPr>
              <w:widowControl/>
              <w:jc w:val="left"/>
              <w:textAlignment w:val="center"/>
              <w:rPr>
                <w:rFonts w:hint="default" w:ascii="Times New Roman" w:hAnsi="Times New Roman" w:eastAsia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26/27</w:t>
            </w:r>
          </w:p>
        </w:tc>
        <w:tc>
          <w:tcPr>
            <w:tcW w:w="1701" w:type="dxa"/>
            <w:tcBorders>
              <w:top w:val="nil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31204AC3">
            <w:pPr>
              <w:widowControl/>
              <w:jc w:val="left"/>
              <w:textAlignment w:val="center"/>
              <w:rPr>
                <w:rFonts w:hint="default" w:ascii="Times New Roman" w:hAnsi="Times New Roman" w:eastAsia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selenium</w:t>
            </w:r>
          </w:p>
        </w:tc>
        <w:tc>
          <w:tcPr>
            <w:tcW w:w="1134" w:type="dxa"/>
            <w:tcBorders>
              <w:top w:val="nil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787B56B7">
            <w:pPr>
              <w:widowControl/>
              <w:jc w:val="left"/>
              <w:textAlignment w:val="center"/>
              <w:rPr>
                <w:rFonts w:hint="default" w:ascii="Times New Roman" w:hAnsi="Times New Roman" w:eastAsia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placebo</w:t>
            </w:r>
          </w:p>
        </w:tc>
        <w:tc>
          <w:tcPr>
            <w:tcW w:w="2826" w:type="dxa"/>
            <w:tcBorders>
              <w:top w:val="nil"/>
              <w:bottom w:val="single" w:color="auto" w:sz="8" w:space="0"/>
            </w:tcBorders>
            <w:noWrap/>
            <w:vAlign w:val="center"/>
          </w:tcPr>
          <w:p w14:paraId="32B6174C">
            <w:pPr>
              <w:widowControl/>
              <w:jc w:val="left"/>
              <w:textAlignment w:val="center"/>
              <w:rPr>
                <w:rFonts w:hint="default" w:ascii="Times New Roman" w:hAnsi="Times New Roman" w:eastAsia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(4)</w:t>
            </w:r>
          </w:p>
        </w:tc>
        <w:tc>
          <w:tcPr>
            <w:tcW w:w="236" w:type="dxa"/>
            <w:vAlign w:val="center"/>
          </w:tcPr>
          <w:p w14:paraId="62D4B1C2">
            <w:pPr>
              <w:widowControl/>
              <w:jc w:val="left"/>
              <w:rPr>
                <w:rFonts w:ascii="Times New Roman" w:hAnsi="Times New Roman" w:eastAsia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E64E576">
        <w:trPr>
          <w:trHeight w:val="23" w:hRule="atLeast"/>
        </w:trPr>
        <w:tc>
          <w:tcPr>
            <w:tcW w:w="2694" w:type="dxa"/>
            <w:tcBorders>
              <w:top w:val="nil"/>
              <w:bottom w:val="single" w:color="auto" w:sz="8" w:space="0"/>
            </w:tcBorders>
            <w:noWrap/>
            <w:vAlign w:val="center"/>
          </w:tcPr>
          <w:p w14:paraId="6EB64BD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Mehri Jamilian</w:t>
            </w:r>
          </w:p>
        </w:tc>
        <w:tc>
          <w:tcPr>
            <w:tcW w:w="850" w:type="dxa"/>
            <w:tcBorders>
              <w:top w:val="nil"/>
              <w:bottom w:val="single" w:color="auto" w:sz="8" w:space="0"/>
            </w:tcBorders>
            <w:noWrap/>
            <w:vAlign w:val="center"/>
          </w:tcPr>
          <w:p w14:paraId="62894D73">
            <w:pPr>
              <w:widowControl/>
              <w:jc w:val="left"/>
              <w:textAlignment w:val="center"/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2019</w:t>
            </w:r>
          </w:p>
        </w:tc>
        <w:tc>
          <w:tcPr>
            <w:tcW w:w="992" w:type="dxa"/>
            <w:tcBorders>
              <w:top w:val="nil"/>
              <w:bottom w:val="single" w:color="auto" w:sz="8" w:space="0"/>
            </w:tcBorders>
            <w:noWrap/>
            <w:vAlign w:val="center"/>
          </w:tcPr>
          <w:p w14:paraId="5F6EC3FB">
            <w:pPr>
              <w:widowControl/>
              <w:jc w:val="left"/>
              <w:textAlignment w:val="center"/>
              <w:rPr>
                <w:rFonts w:hint="default" w:ascii="Times New Roman" w:hAnsi="Times New Roman" w:eastAsia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992" w:type="dxa"/>
            <w:tcBorders>
              <w:top w:val="nil"/>
              <w:bottom w:val="single" w:color="auto" w:sz="8" w:space="0"/>
            </w:tcBorders>
            <w:noWrap/>
            <w:vAlign w:val="center"/>
          </w:tcPr>
          <w:p w14:paraId="486D31D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RCT</w:t>
            </w:r>
          </w:p>
        </w:tc>
        <w:tc>
          <w:tcPr>
            <w:tcW w:w="1418" w:type="dxa"/>
            <w:tcBorders>
              <w:top w:val="nil"/>
              <w:bottom w:val="single" w:color="auto" w:sz="8" w:space="0"/>
            </w:tcBorders>
            <w:noWrap/>
            <w:vAlign w:val="center"/>
          </w:tcPr>
          <w:p w14:paraId="201D984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Iran</w:t>
            </w:r>
          </w:p>
        </w:tc>
        <w:tc>
          <w:tcPr>
            <w:tcW w:w="2268" w:type="dxa"/>
            <w:tcBorders>
              <w:top w:val="nil"/>
              <w:bottom w:val="single" w:color="auto" w:sz="8" w:space="0"/>
            </w:tcBorders>
            <w:vAlign w:val="center"/>
          </w:tcPr>
          <w:p w14:paraId="4A98B2FF">
            <w:pPr>
              <w:widowControl/>
              <w:jc w:val="left"/>
              <w:textAlignment w:val="center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27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1701" w:type="dxa"/>
            <w:tcBorders>
              <w:top w:val="nil"/>
              <w:bottom w:val="single" w:color="auto" w:sz="8" w:space="0"/>
            </w:tcBorders>
            <w:noWrap/>
            <w:vAlign w:val="center"/>
          </w:tcPr>
          <w:p w14:paraId="2A68158B">
            <w:pPr>
              <w:widowControl/>
              <w:jc w:val="left"/>
              <w:textAlignment w:val="center"/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chromium, carnitine</w:t>
            </w:r>
          </w:p>
        </w:tc>
        <w:tc>
          <w:tcPr>
            <w:tcW w:w="1134" w:type="dxa"/>
            <w:tcBorders>
              <w:top w:val="nil"/>
              <w:bottom w:val="single" w:color="auto" w:sz="8" w:space="0"/>
            </w:tcBorders>
            <w:noWrap/>
            <w:vAlign w:val="center"/>
          </w:tcPr>
          <w:p w14:paraId="760F33FC">
            <w:pPr>
              <w:widowControl/>
              <w:jc w:val="left"/>
              <w:textAlignment w:val="center"/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placebo</w:t>
            </w:r>
          </w:p>
        </w:tc>
        <w:tc>
          <w:tcPr>
            <w:tcW w:w="2826" w:type="dxa"/>
            <w:tcBorders>
              <w:top w:val="nil"/>
              <w:bottom w:val="single" w:color="auto" w:sz="8" w:space="0"/>
            </w:tcBorders>
            <w:noWrap/>
            <w:vAlign w:val="center"/>
          </w:tcPr>
          <w:p w14:paraId="5F9279EA">
            <w:pPr>
              <w:widowControl/>
              <w:jc w:val="left"/>
              <w:textAlignment w:val="center"/>
              <w:rPr>
                <w:rFonts w:hint="default" w:ascii="Times New Roman" w:hAnsi="Times New Roman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(1)</w:t>
            </w:r>
            <w:r>
              <w:rPr>
                <w:rStyle w:val="35"/>
                <w:rFonts w:hint="default"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, (3), (4), (5), (6)</w:t>
            </w:r>
            <w:r>
              <w:rPr>
                <w:rStyle w:val="35"/>
                <w:rFonts w:hint="default" w:ascii="Times New Roman" w:hAnsi="Times New Roman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  <w:t>, (7)</w:t>
            </w:r>
          </w:p>
        </w:tc>
        <w:tc>
          <w:tcPr>
            <w:tcW w:w="236" w:type="dxa"/>
            <w:vAlign w:val="center"/>
          </w:tcPr>
          <w:p w14:paraId="115BEB77">
            <w:pPr>
              <w:widowControl/>
              <w:jc w:val="left"/>
              <w:rPr>
                <w:rFonts w:ascii="Times New Roman" w:hAnsi="Times New Roman" w:eastAsia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8249053">
      <w:pPr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NA: not given in the literature; (1) Fasting blood glucose; (2) Insulin level; (3) Insulin resistance index; (4) cholesterol; (5) triglycerides; (6) High density lipoprotein cholesterol; (7) Low density lipoprotein cholesterol.</w:t>
      </w:r>
    </w:p>
    <w:p w14:paraId="0F9D793B">
      <w:pPr>
        <w:jc w:val="left"/>
        <w:rPr>
          <w:rFonts w:ascii="Times New Roman" w:hAnsi="Times New Roman"/>
          <w:sz w:val="20"/>
          <w:szCs w:val="20"/>
        </w:rPr>
      </w:pPr>
    </w:p>
    <w:p w14:paraId="56E4C631">
      <w:pPr>
        <w:tabs>
          <w:tab w:val="left" w:pos="1919"/>
        </w:tabs>
        <w:bidi w:val="0"/>
        <w:jc w:val="left"/>
        <w:rPr>
          <w:rFonts w:hint="default" w:ascii="Times New Roman" w:hAnsi="Times New Roman" w:eastAsia="宋体" w:cs="Times New Roman"/>
          <w:b/>
          <w:kern w:val="2"/>
          <w:sz w:val="20"/>
          <w:szCs w:val="20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/>
          <w:kern w:val="2"/>
          <w:sz w:val="20"/>
          <w:szCs w:val="20"/>
          <w:lang w:val="en-US" w:eastAsia="zh-CN" w:bidi="ar-SA"/>
        </w:rPr>
        <w:t>Supplementary</w:t>
      </w:r>
      <w:r>
        <w:rPr>
          <w:rFonts w:hint="eastAsia" w:ascii="Times New Roman" w:hAnsi="Times New Roman" w:eastAsia="宋体" w:cs="Times New Roman"/>
          <w:b/>
          <w:kern w:val="2"/>
          <w:sz w:val="20"/>
          <w:szCs w:val="20"/>
          <w:lang w:val="en-US" w:eastAsia="zh-CN" w:bidi="ar-SA"/>
        </w:rPr>
        <w:t xml:space="preserve"> </w:t>
      </w:r>
      <w:r>
        <w:rPr>
          <w:rFonts w:hint="default" w:ascii="Times New Roman" w:hAnsi="Times New Roman" w:eastAsia="宋体" w:cs="Times New Roman"/>
          <w:b/>
          <w:kern w:val="2"/>
          <w:sz w:val="20"/>
          <w:szCs w:val="20"/>
          <w:lang w:val="en-US" w:eastAsia="zh-CN" w:bidi="ar-SA"/>
        </w:rPr>
        <w:t xml:space="preserve">Table </w:t>
      </w:r>
      <w:r>
        <w:rPr>
          <w:rFonts w:hint="eastAsia" w:ascii="Times New Roman" w:hAnsi="Times New Roman" w:eastAsia="宋体" w:cs="Times New Roman"/>
          <w:b/>
          <w:kern w:val="2"/>
          <w:sz w:val="20"/>
          <w:szCs w:val="20"/>
          <w:lang w:val="en-US" w:eastAsia="zh-CN" w:bidi="ar-SA"/>
        </w:rPr>
        <w:t>2.</w:t>
      </w:r>
      <w:r>
        <w:rPr>
          <w:rFonts w:hint="default" w:ascii="Times New Roman" w:hAnsi="Times New Roman" w:eastAsia="宋体" w:cs="Times New Roman"/>
          <w:b/>
          <w:kern w:val="2"/>
          <w:sz w:val="20"/>
          <w:szCs w:val="20"/>
          <w:lang w:val="en-US" w:eastAsia="zh-CN" w:bidi="ar-SA"/>
        </w:rPr>
        <w:t xml:space="preserve"> </w:t>
      </w:r>
      <w:r>
        <w:rPr>
          <w:rFonts w:hint="eastAsia" w:ascii="Times New Roman" w:hAnsi="Times New Roman" w:eastAsia="宋体" w:cs="Times New Roman"/>
          <w:b/>
          <w:kern w:val="2"/>
          <w:sz w:val="20"/>
          <w:szCs w:val="20"/>
          <w:lang w:val="en-US" w:eastAsia="zh-CN" w:bidi="ar-SA"/>
        </w:rPr>
        <w:t xml:space="preserve">GRADE </w:t>
      </w:r>
      <w:r>
        <w:rPr>
          <w:rFonts w:hint="default" w:ascii="Times New Roman" w:hAnsi="Times New Roman" w:eastAsia="宋体" w:cs="Times New Roman"/>
          <w:b/>
          <w:kern w:val="2"/>
          <w:sz w:val="20"/>
          <w:szCs w:val="20"/>
          <w:lang w:val="en-US" w:eastAsia="zh-CN" w:bidi="ar-SA"/>
        </w:rPr>
        <w:t>Evidence quality evaluation</w:t>
      </w:r>
      <w:r>
        <w:rPr>
          <w:rFonts w:hint="eastAsia" w:ascii="Times New Roman" w:hAnsi="Times New Roman" w:eastAsia="宋体" w:cs="Times New Roman"/>
          <w:b/>
          <w:kern w:val="2"/>
          <w:sz w:val="20"/>
          <w:szCs w:val="20"/>
          <w:lang w:val="en-US" w:eastAsia="zh-CN" w:bidi="ar-SA"/>
        </w:rPr>
        <w:t>.</w:t>
      </w:r>
    </w:p>
    <w:tbl>
      <w:tblPr>
        <w:tblStyle w:val="14"/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976"/>
        <w:gridCol w:w="800"/>
        <w:gridCol w:w="1473"/>
        <w:gridCol w:w="1358"/>
        <w:gridCol w:w="1313"/>
        <w:gridCol w:w="1109"/>
        <w:gridCol w:w="1627"/>
        <w:gridCol w:w="700"/>
        <w:gridCol w:w="656"/>
        <w:gridCol w:w="923"/>
        <w:gridCol w:w="840"/>
        <w:gridCol w:w="2243"/>
      </w:tblGrid>
      <w:tr w14:paraId="195C900A">
        <w:tc>
          <w:tcPr>
            <w:tcW w:w="0" w:type="auto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9E04AF">
            <w:pPr>
              <w:keepNext w:val="0"/>
              <w:keepLines w:val="0"/>
              <w:widowControl/>
              <w:suppressLineNumber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b/>
                <w:bCs/>
                <w:kern w:val="0"/>
                <w:sz w:val="16"/>
                <w:szCs w:val="16"/>
                <w:lang w:val="en-US" w:eastAsia="zh-CN" w:bidi="ar"/>
              </w:rPr>
              <w:t xml:space="preserve">Bibliography: </w:t>
            </w:r>
            <w:r>
              <w:rPr>
                <w:rFonts w:hint="default" w:ascii="Arial" w:hAnsi="Arial" w:eastAsia="宋体" w:cs="Arial"/>
                <w:b w:val="0"/>
                <w:bCs w:val="0"/>
                <w:kern w:val="0"/>
                <w:sz w:val="16"/>
                <w:szCs w:val="16"/>
                <w:lang w:val="en-US" w:eastAsia="zh-CN" w:bidi="ar"/>
              </w:rPr>
              <w:t>. [Intervention] for [health problem]. Cochrane Database of Systematic Reviews [Year], Issue [Issue].</w:t>
            </w:r>
            <w:r>
              <w:rPr>
                <w:rFonts w:hint="default" w:ascii="Arial" w:hAnsi="Arial" w:eastAsia="宋体" w:cs="Arial"/>
                <w:b/>
                <w:bCs/>
                <w:kern w:val="0"/>
                <w:sz w:val="16"/>
                <w:szCs w:val="16"/>
                <w:lang w:val="en-US" w:eastAsia="zh-CN" w:bidi="ar"/>
              </w:rPr>
              <w:t xml:space="preserve"> </w:t>
            </w:r>
          </w:p>
        </w:tc>
      </w:tr>
      <w:tr w14:paraId="1C5C3E9B">
        <w:tc>
          <w:tcPr>
            <w:tcW w:w="0" w:type="auto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06060"/>
            <w:vAlign w:val="center"/>
          </w:tcPr>
          <w:p w14:paraId="0F8D0CD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b/>
                <w:bCs/>
                <w:color w:val="FFFFFF"/>
                <w:sz w:val="26"/>
                <w:szCs w:val="26"/>
              </w:rPr>
            </w:pPr>
            <w:r>
              <w:rPr>
                <w:rFonts w:hint="default" w:ascii="Arial" w:hAnsi="Arial" w:eastAsia="宋体" w:cs="Arial"/>
                <w:b/>
                <w:bCs/>
                <w:color w:val="FFFFFF"/>
                <w:kern w:val="0"/>
                <w:sz w:val="26"/>
                <w:szCs w:val="26"/>
                <w:lang w:val="en-US" w:eastAsia="zh-CN" w:bidi="ar"/>
              </w:rPr>
              <w:t>Quality assessment</w:t>
            </w:r>
          </w:p>
        </w:tc>
        <w:tc>
          <w:tcPr>
            <w:tcW w:w="0" w:type="auto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06060"/>
            <w:vAlign w:val="center"/>
          </w:tcPr>
          <w:p w14:paraId="5865CB3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b/>
                <w:bCs/>
                <w:color w:val="FFFFFF"/>
                <w:sz w:val="26"/>
                <w:szCs w:val="26"/>
              </w:rPr>
            </w:pPr>
            <w:r>
              <w:rPr>
                <w:rFonts w:hint="default" w:ascii="Arial" w:hAnsi="Arial" w:eastAsia="宋体" w:cs="Arial"/>
                <w:b/>
                <w:bCs/>
                <w:color w:val="FFFFFF"/>
                <w:kern w:val="0"/>
                <w:sz w:val="26"/>
                <w:szCs w:val="26"/>
                <w:lang w:val="en-US" w:eastAsia="zh-CN" w:bidi="ar"/>
              </w:rPr>
              <w:t>Summary of Findings</w:t>
            </w:r>
          </w:p>
        </w:tc>
      </w:tr>
      <w:tr w14:paraId="4BFB1752"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DDDDD"/>
            <w:vAlign w:val="top"/>
          </w:tcPr>
          <w:p w14:paraId="2D12F52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b/>
                <w:bCs/>
                <w:kern w:val="0"/>
                <w:sz w:val="16"/>
                <w:szCs w:val="16"/>
                <w:lang w:val="en-US" w:eastAsia="zh-CN" w:bidi="ar"/>
              </w:rPr>
              <w:t>Participants</w:t>
            </w:r>
            <w:r>
              <w:rPr>
                <w:rFonts w:hint="default" w:ascii="Arial" w:hAnsi="Arial" w:eastAsia="宋体" w:cs="Arial"/>
                <w:b/>
                <w:bCs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b/>
                <w:bCs/>
                <w:kern w:val="0"/>
                <w:sz w:val="16"/>
                <w:szCs w:val="16"/>
                <w:lang w:val="en-US" w:eastAsia="zh-CN" w:bidi="ar"/>
              </w:rPr>
              <w:t>(studies)</w:t>
            </w:r>
            <w:r>
              <w:rPr>
                <w:rFonts w:hint="default" w:ascii="Arial" w:hAnsi="Arial" w:eastAsia="宋体" w:cs="Arial"/>
                <w:b/>
                <w:bCs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b/>
                <w:bCs/>
                <w:kern w:val="0"/>
                <w:sz w:val="16"/>
                <w:szCs w:val="16"/>
                <w:lang w:val="en-US" w:eastAsia="zh-CN" w:bidi="ar"/>
              </w:rPr>
              <w:t xml:space="preserve">Follow up 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DDDDD"/>
            <w:vAlign w:val="top"/>
          </w:tcPr>
          <w:p w14:paraId="09629C1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b/>
                <w:bCs/>
                <w:kern w:val="0"/>
                <w:sz w:val="16"/>
                <w:szCs w:val="16"/>
                <w:lang w:val="en-US" w:eastAsia="zh-CN" w:bidi="ar"/>
              </w:rPr>
              <w:t>Risk of bias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DDDDD"/>
            <w:vAlign w:val="top"/>
          </w:tcPr>
          <w:p w14:paraId="7DE5DAC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b/>
                <w:bCs/>
                <w:kern w:val="0"/>
                <w:sz w:val="16"/>
                <w:szCs w:val="16"/>
                <w:lang w:val="en-US" w:eastAsia="zh-CN" w:bidi="ar"/>
              </w:rPr>
              <w:t>Inconsistency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DDDDD"/>
            <w:vAlign w:val="top"/>
          </w:tcPr>
          <w:p w14:paraId="02A2E77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b/>
                <w:bCs/>
                <w:kern w:val="0"/>
                <w:sz w:val="16"/>
                <w:szCs w:val="16"/>
                <w:lang w:val="en-US" w:eastAsia="zh-CN" w:bidi="ar"/>
              </w:rPr>
              <w:t>Indirectness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DDDDD"/>
            <w:vAlign w:val="top"/>
          </w:tcPr>
          <w:p w14:paraId="495FD53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b/>
                <w:bCs/>
                <w:kern w:val="0"/>
                <w:sz w:val="16"/>
                <w:szCs w:val="16"/>
                <w:lang w:val="en-US" w:eastAsia="zh-CN" w:bidi="ar"/>
              </w:rPr>
              <w:t>Imprecision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DDDDD"/>
            <w:vAlign w:val="top"/>
          </w:tcPr>
          <w:p w14:paraId="4DE09C5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b/>
                <w:bCs/>
                <w:kern w:val="0"/>
                <w:sz w:val="16"/>
                <w:szCs w:val="16"/>
                <w:lang w:val="en-US" w:eastAsia="zh-CN" w:bidi="ar"/>
              </w:rPr>
              <w:t>Publication bias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DDDDD"/>
            <w:vAlign w:val="top"/>
          </w:tcPr>
          <w:p w14:paraId="185B308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b/>
                <w:bCs/>
                <w:kern w:val="0"/>
                <w:sz w:val="16"/>
                <w:szCs w:val="16"/>
                <w:lang w:val="en-US" w:eastAsia="zh-CN" w:bidi="ar"/>
              </w:rPr>
              <w:t>Overall quality of evidence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DDDDD"/>
            <w:vAlign w:val="top"/>
          </w:tcPr>
          <w:p w14:paraId="5D3EE9B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b/>
                <w:bCs/>
                <w:kern w:val="0"/>
                <w:sz w:val="16"/>
                <w:szCs w:val="16"/>
                <w:lang w:val="en-US" w:eastAsia="zh-CN" w:bidi="ar"/>
              </w:rPr>
              <w:t>Study event rates (%)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DDDDD"/>
            <w:vAlign w:val="top"/>
          </w:tcPr>
          <w:p w14:paraId="4378C67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b/>
                <w:bCs/>
                <w:kern w:val="0"/>
                <w:sz w:val="16"/>
                <w:szCs w:val="16"/>
                <w:lang w:val="en-US" w:eastAsia="zh-CN" w:bidi="ar"/>
              </w:rPr>
              <w:t>Relative effect</w:t>
            </w:r>
            <w:r>
              <w:rPr>
                <w:rFonts w:hint="default" w:ascii="Arial" w:hAnsi="Arial" w:eastAsia="宋体" w:cs="Arial"/>
                <w:b/>
                <w:bCs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b w:val="0"/>
                <w:bCs w:val="0"/>
                <w:kern w:val="0"/>
                <w:sz w:val="16"/>
                <w:szCs w:val="16"/>
                <w:lang w:val="en-US" w:eastAsia="zh-CN" w:bidi="ar"/>
              </w:rPr>
              <w:t>(95% CI)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DDDDD"/>
            <w:vAlign w:val="top"/>
          </w:tcPr>
          <w:p w14:paraId="761D29E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b/>
                <w:bCs/>
                <w:kern w:val="0"/>
                <w:sz w:val="16"/>
                <w:szCs w:val="16"/>
                <w:lang w:val="en-US" w:eastAsia="zh-CN" w:bidi="ar"/>
              </w:rPr>
              <w:t>Anticipated absolute effects</w:t>
            </w:r>
          </w:p>
        </w:tc>
      </w:tr>
      <w:tr w14:paraId="70DDF57B"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DDDDD"/>
            <w:vAlign w:val="top"/>
          </w:tcPr>
          <w:p w14:paraId="291DE9E3">
            <w:pPr>
              <w:jc w:val="left"/>
              <w:rPr>
                <w:rFonts w:hint="default"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DDDDD"/>
            <w:vAlign w:val="top"/>
          </w:tcPr>
          <w:p w14:paraId="2098B4EF">
            <w:pPr>
              <w:jc w:val="left"/>
              <w:rPr>
                <w:rFonts w:hint="default"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DDDDD"/>
            <w:vAlign w:val="top"/>
          </w:tcPr>
          <w:p w14:paraId="0EAF3A7E">
            <w:pPr>
              <w:jc w:val="left"/>
              <w:rPr>
                <w:rFonts w:hint="default"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DDDDD"/>
            <w:vAlign w:val="top"/>
          </w:tcPr>
          <w:p w14:paraId="5161DFA5">
            <w:pPr>
              <w:jc w:val="left"/>
              <w:rPr>
                <w:rFonts w:hint="default"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DDDDD"/>
            <w:vAlign w:val="top"/>
          </w:tcPr>
          <w:p w14:paraId="68C9138C">
            <w:pPr>
              <w:jc w:val="left"/>
              <w:rPr>
                <w:rFonts w:hint="default"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DDDDD"/>
            <w:vAlign w:val="top"/>
          </w:tcPr>
          <w:p w14:paraId="6C0C1102">
            <w:pPr>
              <w:jc w:val="left"/>
              <w:rPr>
                <w:rFonts w:hint="default"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DDDDD"/>
            <w:vAlign w:val="top"/>
          </w:tcPr>
          <w:p w14:paraId="7ECAC8E2">
            <w:pPr>
              <w:jc w:val="left"/>
              <w:rPr>
                <w:rFonts w:hint="default"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color="000000" w:sz="4" w:space="0"/>
              <w:right w:val="single" w:color="EDEDED" w:sz="2" w:space="0"/>
            </w:tcBorders>
            <w:shd w:val="clear" w:color="auto" w:fill="EDEDED"/>
            <w:vAlign w:val="top"/>
          </w:tcPr>
          <w:p w14:paraId="588DC1C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b/>
                <w:bCs/>
                <w:sz w:val="16"/>
                <w:szCs w:val="16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kern w:val="0"/>
                <w:sz w:val="16"/>
                <w:szCs w:val="16"/>
                <w:lang w:val="en-US" w:eastAsia="zh-CN" w:bidi="ar"/>
              </w:rPr>
              <w:t>With Control</w:t>
            </w:r>
          </w:p>
        </w:tc>
        <w:tc>
          <w:tcPr>
            <w:tcW w:w="0" w:type="auto"/>
            <w:tcBorders>
              <w:left w:val="single" w:color="EDEDED" w:sz="2" w:space="0"/>
              <w:bottom w:val="single" w:color="000000" w:sz="4" w:space="0"/>
            </w:tcBorders>
            <w:shd w:val="clear" w:color="auto" w:fill="EDEDED"/>
            <w:vAlign w:val="top"/>
          </w:tcPr>
          <w:p w14:paraId="17A1AC6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b/>
                <w:bCs/>
                <w:sz w:val="16"/>
                <w:szCs w:val="16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kern w:val="0"/>
                <w:sz w:val="16"/>
                <w:szCs w:val="16"/>
                <w:lang w:val="en-US" w:eastAsia="zh-CN" w:bidi="ar"/>
              </w:rPr>
              <w:t>With Insulin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DDDDD"/>
            <w:vAlign w:val="top"/>
          </w:tcPr>
          <w:p w14:paraId="716FBA4E">
            <w:pPr>
              <w:jc w:val="left"/>
              <w:rPr>
                <w:rFonts w:hint="default"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color="000000" w:sz="4" w:space="0"/>
              <w:right w:val="single" w:color="EDEDED" w:sz="2" w:space="0"/>
            </w:tcBorders>
            <w:shd w:val="clear" w:color="auto" w:fill="EDEDED"/>
            <w:vAlign w:val="top"/>
          </w:tcPr>
          <w:p w14:paraId="5B20C8B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b/>
                <w:bCs/>
                <w:sz w:val="16"/>
                <w:szCs w:val="16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kern w:val="0"/>
                <w:sz w:val="16"/>
                <w:szCs w:val="16"/>
                <w:lang w:val="en-US" w:eastAsia="zh-CN" w:bidi="ar"/>
              </w:rPr>
              <w:t>Risk with Control</w:t>
            </w:r>
          </w:p>
        </w:tc>
        <w:tc>
          <w:tcPr>
            <w:tcW w:w="0" w:type="auto"/>
            <w:tcBorders>
              <w:left w:val="single" w:color="EDEDED" w:sz="2" w:space="0"/>
              <w:bottom w:val="single" w:color="000000" w:sz="4" w:space="0"/>
            </w:tcBorders>
            <w:shd w:val="clear" w:color="auto" w:fill="EDEDED"/>
            <w:vAlign w:val="top"/>
          </w:tcPr>
          <w:p w14:paraId="7D3451E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b/>
                <w:bCs/>
                <w:sz w:val="16"/>
                <w:szCs w:val="16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kern w:val="0"/>
                <w:sz w:val="16"/>
                <w:szCs w:val="16"/>
                <w:lang w:val="en-US" w:eastAsia="zh-CN" w:bidi="ar"/>
              </w:rPr>
              <w:t xml:space="preserve">Risk difference with Insulin </w:t>
            </w:r>
            <w:r>
              <w:rPr>
                <w:rFonts w:hint="default" w:ascii="Arial Narrow" w:hAnsi="Arial Narrow" w:eastAsia="Arial Narrow" w:cs="Arial Narrow"/>
                <w:b w:val="0"/>
                <w:bCs w:val="0"/>
                <w:kern w:val="0"/>
                <w:sz w:val="16"/>
                <w:szCs w:val="16"/>
                <w:lang w:val="en-US" w:eastAsia="zh-CN" w:bidi="ar"/>
              </w:rPr>
              <w:t>(95% CI)</w:t>
            </w:r>
          </w:p>
        </w:tc>
      </w:tr>
      <w:tr w14:paraId="5299C8F9">
        <w:tc>
          <w:tcPr>
            <w:tcW w:w="0" w:type="auto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vAlign w:val="center"/>
          </w:tcPr>
          <w:p w14:paraId="52848C9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b/>
                <w:bCs/>
                <w:kern w:val="0"/>
                <w:sz w:val="22"/>
                <w:szCs w:val="22"/>
                <w:lang w:val="en-US" w:eastAsia="zh-CN" w:bidi="ar"/>
              </w:rPr>
              <w:t>FBG</w:t>
            </w: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t xml:space="preserve"> (CRITICAL OUTCOME; Better indicated by lower values)</w:t>
            </w:r>
          </w:p>
        </w:tc>
      </w:tr>
      <w:tr w14:paraId="0F923573"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8737A2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t>618</w:t>
            </w: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t>(11 studies)</w:t>
            </w: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t>1 months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4D652C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t>serious</w:t>
            </w: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vertAlign w:val="superscript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072316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t>no serious inconsistency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B07F42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t>no serious indirectness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1630CD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t>no serious imprecision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D0D5C0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t>undetected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8F1190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t>⊕⊕⊕⊕</w:t>
            </w: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b/>
                <w:bCs/>
                <w:kern w:val="0"/>
                <w:sz w:val="16"/>
                <w:szCs w:val="16"/>
                <w:lang w:val="en-US" w:eastAsia="zh-CN" w:bidi="ar"/>
              </w:rPr>
              <w:t>HIGH</w:t>
            </w: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vertAlign w:val="superscript"/>
                <w:lang w:val="en-US" w:eastAsia="zh-CN" w:bidi="ar"/>
              </w:rPr>
              <w:t>1</w:t>
            </w: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t>due to risk of bias, large effect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FFFFFF" w:sz="2" w:space="0"/>
            </w:tcBorders>
            <w:shd w:val="clear" w:color="auto" w:fill="auto"/>
            <w:vAlign w:val="top"/>
          </w:tcPr>
          <w:p w14:paraId="380F6C2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t>308</w:t>
            </w:r>
          </w:p>
        </w:tc>
        <w:tc>
          <w:tcPr>
            <w:tcW w:w="0" w:type="auto"/>
            <w:tcBorders>
              <w:left w:val="single" w:color="FFFFFF" w:sz="2" w:space="0"/>
              <w:bottom w:val="single" w:color="000000" w:sz="4" w:space="0"/>
            </w:tcBorders>
            <w:shd w:val="clear" w:color="auto" w:fill="auto"/>
            <w:vAlign w:val="top"/>
          </w:tcPr>
          <w:p w14:paraId="6ACC61D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t>310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1E4456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b/>
                <w:bCs/>
                <w:kern w:val="0"/>
                <w:sz w:val="16"/>
                <w:szCs w:val="16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left w:val="nil"/>
              <w:bottom w:val="single" w:color="000000" w:sz="4" w:space="0"/>
              <w:right w:val="single" w:color="000000" w:sz="2" w:space="0"/>
            </w:tcBorders>
            <w:shd w:val="clear" w:color="auto" w:fill="FFFFFF"/>
            <w:vAlign w:val="top"/>
          </w:tcPr>
          <w:p w14:paraId="56618FBC">
            <w:pPr>
              <w:jc w:val="left"/>
              <w:rPr>
                <w:rFonts w:hint="default"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7D8FAD3">
            <w:pPr>
              <w:pStyle w:val="1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Arial" w:hAnsi="Arial" w:cs="Arial"/>
                <w:sz w:val="16"/>
                <w:szCs w:val="16"/>
              </w:rPr>
              <w:t>The mean fbg in the intervention groups was</w:t>
            </w:r>
            <w:r>
              <w:rPr>
                <w:rFonts w:hint="default" w:ascii="Arial" w:hAnsi="Arial" w:cs="Arial"/>
                <w:sz w:val="16"/>
                <w:szCs w:val="16"/>
              </w:rPr>
              <w:br w:type="textWrapping"/>
            </w:r>
            <w:r>
              <w:rPr>
                <w:rFonts w:hint="default" w:ascii="Arial" w:hAnsi="Arial" w:cs="Arial"/>
                <w:b/>
                <w:bCs/>
                <w:sz w:val="16"/>
                <w:szCs w:val="16"/>
              </w:rPr>
              <w:t>0.37 higher</w:t>
            </w:r>
            <w:r>
              <w:rPr>
                <w:rFonts w:hint="default" w:ascii="Arial" w:hAnsi="Arial" w:cs="Arial"/>
                <w:sz w:val="16"/>
                <w:szCs w:val="16"/>
              </w:rPr>
              <w:br w:type="textWrapping"/>
            </w:r>
            <w:r>
              <w:rPr>
                <w:rFonts w:hint="default" w:ascii="Arial" w:hAnsi="Arial" w:cs="Arial"/>
                <w:sz w:val="16"/>
                <w:szCs w:val="16"/>
              </w:rPr>
              <w:t>(0.11 to 0.62 higher)</w:t>
            </w:r>
          </w:p>
        </w:tc>
      </w:tr>
      <w:tr w14:paraId="7E3B447C">
        <w:tc>
          <w:tcPr>
            <w:tcW w:w="0" w:type="auto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vAlign w:val="center"/>
          </w:tcPr>
          <w:p w14:paraId="1E16398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b/>
                <w:bCs/>
                <w:kern w:val="0"/>
                <w:sz w:val="22"/>
                <w:szCs w:val="22"/>
                <w:lang w:val="en-US" w:eastAsia="zh-CN" w:bidi="ar"/>
              </w:rPr>
              <w:t>FINS</w:t>
            </w: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t xml:space="preserve"> (CRITICAL OUTCOME; Better indicated by lower values)</w:t>
            </w:r>
          </w:p>
        </w:tc>
      </w:tr>
      <w:tr w14:paraId="334ECF01"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76662A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t>550</w:t>
            </w: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t>(10 studies)</w:t>
            </w: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t>1 months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DAFFF8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t>serious</w:t>
            </w: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vertAlign w:val="superscript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085A32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t>no serious inconsistency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6CA204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t>no serious indirectness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E6D295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t>no serious imprecision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BD3A09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t>undetected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542B82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t>⊕⊕⊕⊕</w:t>
            </w: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b/>
                <w:bCs/>
                <w:kern w:val="0"/>
                <w:sz w:val="16"/>
                <w:szCs w:val="16"/>
                <w:lang w:val="en-US" w:eastAsia="zh-CN" w:bidi="ar"/>
              </w:rPr>
              <w:t>HIGH</w:t>
            </w: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vertAlign w:val="superscript"/>
                <w:lang w:val="en-US" w:eastAsia="zh-CN" w:bidi="ar"/>
              </w:rPr>
              <w:t>1</w:t>
            </w: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t>due to risk of bias, large effect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FFFFFF" w:sz="2" w:space="0"/>
            </w:tcBorders>
            <w:shd w:val="clear" w:color="auto" w:fill="auto"/>
            <w:vAlign w:val="top"/>
          </w:tcPr>
          <w:p w14:paraId="2DCA308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t>275</w:t>
            </w:r>
          </w:p>
        </w:tc>
        <w:tc>
          <w:tcPr>
            <w:tcW w:w="0" w:type="auto"/>
            <w:tcBorders>
              <w:left w:val="single" w:color="FFFFFF" w:sz="2" w:space="0"/>
              <w:bottom w:val="single" w:color="000000" w:sz="4" w:space="0"/>
            </w:tcBorders>
            <w:shd w:val="clear" w:color="auto" w:fill="auto"/>
            <w:vAlign w:val="top"/>
          </w:tcPr>
          <w:p w14:paraId="1108AED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t>275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20B8A4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b/>
                <w:bCs/>
                <w:kern w:val="0"/>
                <w:sz w:val="16"/>
                <w:szCs w:val="16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left w:val="nil"/>
              <w:bottom w:val="single" w:color="000000" w:sz="4" w:space="0"/>
              <w:right w:val="single" w:color="000000" w:sz="2" w:space="0"/>
            </w:tcBorders>
            <w:shd w:val="clear" w:color="auto" w:fill="FFFFFF"/>
            <w:vAlign w:val="top"/>
          </w:tcPr>
          <w:p w14:paraId="6E633DA1">
            <w:pPr>
              <w:jc w:val="left"/>
              <w:rPr>
                <w:rFonts w:hint="default"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C7121D8">
            <w:pPr>
              <w:pStyle w:val="1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Arial" w:hAnsi="Arial" w:cs="Arial"/>
                <w:sz w:val="16"/>
                <w:szCs w:val="16"/>
              </w:rPr>
              <w:t>The mean fins in the intervention groups was</w:t>
            </w:r>
            <w:r>
              <w:rPr>
                <w:rFonts w:hint="default" w:ascii="Arial" w:hAnsi="Arial" w:cs="Arial"/>
                <w:sz w:val="16"/>
                <w:szCs w:val="16"/>
              </w:rPr>
              <w:br w:type="textWrapping"/>
            </w:r>
            <w:r>
              <w:rPr>
                <w:rFonts w:hint="default" w:ascii="Arial" w:hAnsi="Arial" w:cs="Arial"/>
                <w:b/>
                <w:bCs/>
                <w:sz w:val="16"/>
                <w:szCs w:val="16"/>
              </w:rPr>
              <w:t>2.26 higher</w:t>
            </w:r>
            <w:r>
              <w:rPr>
                <w:rFonts w:hint="default" w:ascii="Arial" w:hAnsi="Arial" w:cs="Arial"/>
                <w:sz w:val="16"/>
                <w:szCs w:val="16"/>
              </w:rPr>
              <w:br w:type="textWrapping"/>
            </w:r>
            <w:r>
              <w:rPr>
                <w:rFonts w:hint="default" w:ascii="Arial" w:hAnsi="Arial" w:cs="Arial"/>
                <w:sz w:val="16"/>
                <w:szCs w:val="16"/>
              </w:rPr>
              <w:t>(1.83 to 2.7 higher)</w:t>
            </w:r>
          </w:p>
        </w:tc>
      </w:tr>
      <w:tr w14:paraId="4262C8B2">
        <w:tc>
          <w:tcPr>
            <w:tcW w:w="0" w:type="auto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vAlign w:val="center"/>
          </w:tcPr>
          <w:p w14:paraId="087840C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b/>
                <w:bCs/>
                <w:kern w:val="0"/>
                <w:sz w:val="22"/>
                <w:szCs w:val="22"/>
                <w:lang w:val="en-US" w:eastAsia="zh-CN" w:bidi="ar"/>
              </w:rPr>
              <w:t>HOMA-IR</w:t>
            </w: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t xml:space="preserve"> (CRITICAL OUTCOME; Better indicated by lower values)</w:t>
            </w:r>
          </w:p>
        </w:tc>
      </w:tr>
      <w:tr w14:paraId="7DA42BAD"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0F495C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t>460</w:t>
            </w: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t>(9 studies)</w:t>
            </w: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t>1 months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D015E4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t>serious</w:t>
            </w: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vertAlign w:val="superscript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221AC1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t>no serious inconsistency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D56A25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t>no serious indirectness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0F3879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t>no serious imprecision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6ED79A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t>undetected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566EC6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t>⊕⊕⊕⊕</w:t>
            </w: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b/>
                <w:bCs/>
                <w:kern w:val="0"/>
                <w:sz w:val="16"/>
                <w:szCs w:val="16"/>
                <w:lang w:val="en-US" w:eastAsia="zh-CN" w:bidi="ar"/>
              </w:rPr>
              <w:t>HIGH</w:t>
            </w: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vertAlign w:val="superscript"/>
                <w:lang w:val="en-US" w:eastAsia="zh-CN" w:bidi="ar"/>
              </w:rPr>
              <w:t>1</w:t>
            </w: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t>due to risk of bias, large effect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FFFFFF" w:sz="2" w:space="0"/>
            </w:tcBorders>
            <w:shd w:val="clear" w:color="auto" w:fill="auto"/>
            <w:vAlign w:val="top"/>
          </w:tcPr>
          <w:p w14:paraId="09E62CE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t>230</w:t>
            </w:r>
          </w:p>
        </w:tc>
        <w:tc>
          <w:tcPr>
            <w:tcW w:w="0" w:type="auto"/>
            <w:tcBorders>
              <w:left w:val="single" w:color="FFFFFF" w:sz="2" w:space="0"/>
              <w:bottom w:val="single" w:color="000000" w:sz="4" w:space="0"/>
            </w:tcBorders>
            <w:shd w:val="clear" w:color="auto" w:fill="auto"/>
            <w:vAlign w:val="top"/>
          </w:tcPr>
          <w:p w14:paraId="2C1DF98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t>230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F6CD52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b/>
                <w:bCs/>
                <w:kern w:val="0"/>
                <w:sz w:val="16"/>
                <w:szCs w:val="16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left w:val="nil"/>
              <w:bottom w:val="single" w:color="000000" w:sz="4" w:space="0"/>
              <w:right w:val="single" w:color="000000" w:sz="2" w:space="0"/>
            </w:tcBorders>
            <w:shd w:val="clear" w:color="auto" w:fill="FFFFFF"/>
            <w:vAlign w:val="top"/>
          </w:tcPr>
          <w:p w14:paraId="6C10B4CF">
            <w:pPr>
              <w:jc w:val="left"/>
              <w:rPr>
                <w:rFonts w:hint="default"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BCEFF43">
            <w:pPr>
              <w:pStyle w:val="1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Arial" w:hAnsi="Arial" w:cs="Arial"/>
                <w:sz w:val="16"/>
                <w:szCs w:val="16"/>
              </w:rPr>
              <w:t>The mean homa-ir in the intervention groups was</w:t>
            </w:r>
            <w:r>
              <w:rPr>
                <w:rFonts w:hint="default" w:ascii="Arial" w:hAnsi="Arial" w:cs="Arial"/>
                <w:sz w:val="16"/>
                <w:szCs w:val="16"/>
              </w:rPr>
              <w:br w:type="textWrapping"/>
            </w:r>
            <w:r>
              <w:rPr>
                <w:rFonts w:hint="default" w:ascii="Arial" w:hAnsi="Arial" w:cs="Arial"/>
                <w:b/>
                <w:bCs/>
                <w:sz w:val="16"/>
                <w:szCs w:val="16"/>
              </w:rPr>
              <w:t>0.65 higher</w:t>
            </w:r>
            <w:r>
              <w:rPr>
                <w:rFonts w:hint="default" w:ascii="Arial" w:hAnsi="Arial" w:cs="Arial"/>
                <w:sz w:val="16"/>
                <w:szCs w:val="16"/>
              </w:rPr>
              <w:br w:type="textWrapping"/>
            </w:r>
            <w:r>
              <w:rPr>
                <w:rFonts w:hint="default" w:ascii="Arial" w:hAnsi="Arial" w:cs="Arial"/>
                <w:sz w:val="16"/>
                <w:szCs w:val="16"/>
              </w:rPr>
              <w:t>(0.54 to 0.77 higher)</w:t>
            </w:r>
          </w:p>
        </w:tc>
      </w:tr>
      <w:tr w14:paraId="44C8FB79">
        <w:tc>
          <w:tcPr>
            <w:tcW w:w="0" w:type="auto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vAlign w:val="center"/>
          </w:tcPr>
          <w:p w14:paraId="388456A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b/>
                <w:bCs/>
                <w:kern w:val="0"/>
                <w:sz w:val="22"/>
                <w:szCs w:val="22"/>
                <w:lang w:val="en-US" w:eastAsia="zh-CN" w:bidi="ar"/>
              </w:rPr>
              <w:t>TC</w:t>
            </w: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t xml:space="preserve"> (CRITICAL OUTCOME; Better indicated by lower values)</w:t>
            </w:r>
          </w:p>
        </w:tc>
      </w:tr>
      <w:tr w14:paraId="309009D5"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25E515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t>320</w:t>
            </w: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t>(6 studies)</w:t>
            </w: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t>1 months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851785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t>serious</w:t>
            </w: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vertAlign w:val="superscript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339352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t>no serious inconsistency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B3C91A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t>no serious indirectness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F6C7EC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t>no serious imprecision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B4DD7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t>undetected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A27488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t>⊕⊕⊕⊝</w:t>
            </w: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b/>
                <w:bCs/>
                <w:kern w:val="0"/>
                <w:sz w:val="16"/>
                <w:szCs w:val="16"/>
                <w:lang w:val="en-US" w:eastAsia="zh-CN" w:bidi="ar"/>
              </w:rPr>
              <w:t>MODERATE</w:t>
            </w: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vertAlign w:val="superscript"/>
                <w:lang w:val="en-US" w:eastAsia="zh-CN" w:bidi="ar"/>
              </w:rPr>
              <w:t>1</w:t>
            </w: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t>due to risk of bias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FFFFFF" w:sz="2" w:space="0"/>
            </w:tcBorders>
            <w:shd w:val="clear" w:color="auto" w:fill="auto"/>
            <w:vAlign w:val="top"/>
          </w:tcPr>
          <w:p w14:paraId="79008EE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t>160</w:t>
            </w:r>
          </w:p>
        </w:tc>
        <w:tc>
          <w:tcPr>
            <w:tcW w:w="0" w:type="auto"/>
            <w:tcBorders>
              <w:left w:val="single" w:color="FFFFFF" w:sz="2" w:space="0"/>
              <w:bottom w:val="single" w:color="000000" w:sz="4" w:space="0"/>
            </w:tcBorders>
            <w:shd w:val="clear" w:color="auto" w:fill="auto"/>
            <w:vAlign w:val="top"/>
          </w:tcPr>
          <w:p w14:paraId="0BEF1E8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t>160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966D9A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b/>
                <w:bCs/>
                <w:kern w:val="0"/>
                <w:sz w:val="16"/>
                <w:szCs w:val="16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left w:val="nil"/>
              <w:bottom w:val="single" w:color="000000" w:sz="4" w:space="0"/>
              <w:right w:val="single" w:color="000000" w:sz="2" w:space="0"/>
            </w:tcBorders>
            <w:shd w:val="clear" w:color="auto" w:fill="FFFFFF"/>
            <w:vAlign w:val="top"/>
          </w:tcPr>
          <w:p w14:paraId="6FB72574">
            <w:pPr>
              <w:jc w:val="left"/>
              <w:rPr>
                <w:rFonts w:hint="default"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422E5E4">
            <w:pPr>
              <w:pStyle w:val="1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Arial" w:hAnsi="Arial" w:cs="Arial"/>
                <w:sz w:val="16"/>
                <w:szCs w:val="16"/>
              </w:rPr>
              <w:t>The mean tc in the intervention groups was</w:t>
            </w:r>
            <w:r>
              <w:rPr>
                <w:rFonts w:hint="default" w:ascii="Arial" w:hAnsi="Arial" w:cs="Arial"/>
                <w:sz w:val="16"/>
                <w:szCs w:val="16"/>
              </w:rPr>
              <w:br w:type="textWrapping"/>
            </w:r>
            <w:r>
              <w:rPr>
                <w:rFonts w:hint="default" w:ascii="Arial" w:hAnsi="Arial" w:cs="Arial"/>
                <w:b/>
                <w:bCs/>
                <w:sz w:val="16"/>
                <w:szCs w:val="16"/>
              </w:rPr>
              <w:t>6.84 higher</w:t>
            </w:r>
            <w:r>
              <w:rPr>
                <w:rFonts w:hint="default" w:ascii="Arial" w:hAnsi="Arial" w:cs="Arial"/>
                <w:sz w:val="16"/>
                <w:szCs w:val="16"/>
              </w:rPr>
              <w:br w:type="textWrapping"/>
            </w:r>
            <w:r>
              <w:rPr>
                <w:rFonts w:hint="default" w:ascii="Arial" w:hAnsi="Arial" w:cs="Arial"/>
                <w:sz w:val="16"/>
                <w:szCs w:val="16"/>
              </w:rPr>
              <w:t>(0.52 lower to 14.19 higher)</w:t>
            </w:r>
          </w:p>
        </w:tc>
      </w:tr>
      <w:tr w14:paraId="6F6C1166">
        <w:tc>
          <w:tcPr>
            <w:tcW w:w="0" w:type="auto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vAlign w:val="center"/>
          </w:tcPr>
          <w:p w14:paraId="095DBDB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b/>
                <w:bCs/>
                <w:kern w:val="0"/>
                <w:sz w:val="22"/>
                <w:szCs w:val="22"/>
                <w:lang w:val="en-US" w:eastAsia="zh-CN" w:bidi="ar"/>
              </w:rPr>
              <w:t>TG</w:t>
            </w: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t xml:space="preserve"> (CRITICAL OUTCOME; Better indicated by lower values)</w:t>
            </w:r>
          </w:p>
        </w:tc>
      </w:tr>
      <w:tr w14:paraId="581842EC"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A2DAC0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t>350</w:t>
            </w: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t>(7 studies)</w:t>
            </w: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t>1 months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992BA6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t>serious</w:t>
            </w: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vertAlign w:val="superscript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A7FE9D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t>no serious inconsistency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5A27FA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t>no serious indirectness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C88D2F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t>no serious imprecision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B4A88B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t>undetected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9EFCBC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t>⊕⊕⊕⊝</w:t>
            </w: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b/>
                <w:bCs/>
                <w:kern w:val="0"/>
                <w:sz w:val="16"/>
                <w:szCs w:val="16"/>
                <w:lang w:val="en-US" w:eastAsia="zh-CN" w:bidi="ar"/>
              </w:rPr>
              <w:t>MODERATE</w:t>
            </w: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vertAlign w:val="superscript"/>
                <w:lang w:val="en-US" w:eastAsia="zh-CN" w:bidi="ar"/>
              </w:rPr>
              <w:t>1</w:t>
            </w: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t>due to risk of bias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FFFFFF" w:sz="2" w:space="0"/>
            </w:tcBorders>
            <w:shd w:val="clear" w:color="auto" w:fill="auto"/>
            <w:vAlign w:val="top"/>
          </w:tcPr>
          <w:p w14:paraId="3A0D1D6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t>175</w:t>
            </w:r>
          </w:p>
        </w:tc>
        <w:tc>
          <w:tcPr>
            <w:tcW w:w="0" w:type="auto"/>
            <w:tcBorders>
              <w:left w:val="single" w:color="FFFFFF" w:sz="2" w:space="0"/>
              <w:bottom w:val="single" w:color="000000" w:sz="4" w:space="0"/>
            </w:tcBorders>
            <w:shd w:val="clear" w:color="auto" w:fill="auto"/>
            <w:vAlign w:val="top"/>
          </w:tcPr>
          <w:p w14:paraId="1EAAF37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t>175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6B8CC5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b/>
                <w:bCs/>
                <w:kern w:val="0"/>
                <w:sz w:val="16"/>
                <w:szCs w:val="16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left w:val="nil"/>
              <w:bottom w:val="single" w:color="000000" w:sz="4" w:space="0"/>
              <w:right w:val="single" w:color="000000" w:sz="2" w:space="0"/>
            </w:tcBorders>
            <w:shd w:val="clear" w:color="auto" w:fill="FFFFFF"/>
            <w:vAlign w:val="top"/>
          </w:tcPr>
          <w:p w14:paraId="0C1FB78B">
            <w:pPr>
              <w:jc w:val="left"/>
              <w:rPr>
                <w:rFonts w:hint="default"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7BDB48D">
            <w:pPr>
              <w:pStyle w:val="1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Arial" w:hAnsi="Arial" w:cs="Arial"/>
                <w:sz w:val="16"/>
                <w:szCs w:val="16"/>
              </w:rPr>
              <w:t>The mean tg in the intervention groups was</w:t>
            </w:r>
            <w:r>
              <w:rPr>
                <w:rFonts w:hint="default" w:ascii="Arial" w:hAnsi="Arial" w:cs="Arial"/>
                <w:sz w:val="16"/>
                <w:szCs w:val="16"/>
              </w:rPr>
              <w:br w:type="textWrapping"/>
            </w:r>
            <w:r>
              <w:rPr>
                <w:rFonts w:hint="default" w:ascii="Arial" w:hAnsi="Arial" w:cs="Arial"/>
                <w:b/>
                <w:bCs/>
                <w:sz w:val="16"/>
                <w:szCs w:val="16"/>
              </w:rPr>
              <w:t>0.41 higher</w:t>
            </w:r>
            <w:r>
              <w:rPr>
                <w:rFonts w:hint="default" w:ascii="Arial" w:hAnsi="Arial" w:cs="Arial"/>
                <w:sz w:val="16"/>
                <w:szCs w:val="16"/>
              </w:rPr>
              <w:br w:type="textWrapping"/>
            </w:r>
            <w:r>
              <w:rPr>
                <w:rFonts w:hint="default" w:ascii="Arial" w:hAnsi="Arial" w:cs="Arial"/>
                <w:sz w:val="16"/>
                <w:szCs w:val="16"/>
              </w:rPr>
              <w:t>(1.24 lower to 2.07 higher)</w:t>
            </w:r>
          </w:p>
        </w:tc>
      </w:tr>
      <w:tr w14:paraId="56627CE8">
        <w:tc>
          <w:tcPr>
            <w:tcW w:w="0" w:type="auto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vAlign w:val="center"/>
          </w:tcPr>
          <w:p w14:paraId="081A3AB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b/>
                <w:bCs/>
                <w:kern w:val="0"/>
                <w:sz w:val="22"/>
                <w:szCs w:val="22"/>
                <w:lang w:val="en-US" w:eastAsia="zh-CN" w:bidi="ar"/>
              </w:rPr>
              <w:t>HDL-C</w:t>
            </w: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t xml:space="preserve"> (CRITICAL OUTCOME; Better indicated by lower values)</w:t>
            </w:r>
          </w:p>
        </w:tc>
      </w:tr>
      <w:tr w14:paraId="0DCECB89"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A332B6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t>350</w:t>
            </w: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t>(7 studies)</w:t>
            </w: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t>1 months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FF13E6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t>serious</w:t>
            </w: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vertAlign w:val="superscript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8E3109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t>no serious inconsistency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083B59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t>no serious indirectness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64DA64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t>no serious imprecision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0CF81A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t>undetected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EFB5F0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t>⊕⊕⊕⊝</w:t>
            </w: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b/>
                <w:bCs/>
                <w:kern w:val="0"/>
                <w:sz w:val="16"/>
                <w:szCs w:val="16"/>
                <w:lang w:val="en-US" w:eastAsia="zh-CN" w:bidi="ar"/>
              </w:rPr>
              <w:t>MODERATE</w:t>
            </w: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vertAlign w:val="superscript"/>
                <w:lang w:val="en-US" w:eastAsia="zh-CN" w:bidi="ar"/>
              </w:rPr>
              <w:t>1</w:t>
            </w: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t>due to risk of bias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FFFFFF" w:sz="2" w:space="0"/>
            </w:tcBorders>
            <w:shd w:val="clear" w:color="auto" w:fill="auto"/>
            <w:vAlign w:val="top"/>
          </w:tcPr>
          <w:p w14:paraId="2D23E02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t>175</w:t>
            </w:r>
          </w:p>
        </w:tc>
        <w:tc>
          <w:tcPr>
            <w:tcW w:w="0" w:type="auto"/>
            <w:tcBorders>
              <w:left w:val="single" w:color="FFFFFF" w:sz="2" w:space="0"/>
              <w:bottom w:val="single" w:color="000000" w:sz="4" w:space="0"/>
            </w:tcBorders>
            <w:shd w:val="clear" w:color="auto" w:fill="auto"/>
            <w:vAlign w:val="top"/>
          </w:tcPr>
          <w:p w14:paraId="17C4CAE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t>175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0DB706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b/>
                <w:bCs/>
                <w:kern w:val="0"/>
                <w:sz w:val="16"/>
                <w:szCs w:val="16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left w:val="nil"/>
              <w:bottom w:val="single" w:color="000000" w:sz="4" w:space="0"/>
              <w:right w:val="single" w:color="000000" w:sz="2" w:space="0"/>
            </w:tcBorders>
            <w:shd w:val="clear" w:color="auto" w:fill="FFFFFF"/>
            <w:vAlign w:val="top"/>
          </w:tcPr>
          <w:p w14:paraId="3693EC65">
            <w:pPr>
              <w:jc w:val="left"/>
              <w:rPr>
                <w:rFonts w:hint="default"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BBB1548">
            <w:pPr>
              <w:pStyle w:val="1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Arial" w:hAnsi="Arial" w:cs="Arial"/>
                <w:sz w:val="16"/>
                <w:szCs w:val="16"/>
              </w:rPr>
              <w:t>The mean hdl-c in the intervention groups was</w:t>
            </w:r>
            <w:r>
              <w:rPr>
                <w:rFonts w:hint="default" w:ascii="Arial" w:hAnsi="Arial" w:cs="Arial"/>
                <w:sz w:val="16"/>
                <w:szCs w:val="16"/>
              </w:rPr>
              <w:br w:type="textWrapping"/>
            </w:r>
            <w:r>
              <w:rPr>
                <w:rFonts w:hint="default" w:ascii="Arial" w:hAnsi="Arial" w:cs="Arial"/>
                <w:b/>
                <w:bCs/>
                <w:sz w:val="16"/>
                <w:szCs w:val="16"/>
              </w:rPr>
              <w:t>0.22 higher</w:t>
            </w:r>
            <w:r>
              <w:rPr>
                <w:rFonts w:hint="default" w:ascii="Arial" w:hAnsi="Arial" w:cs="Arial"/>
                <w:sz w:val="16"/>
                <w:szCs w:val="16"/>
              </w:rPr>
              <w:br w:type="textWrapping"/>
            </w:r>
            <w:r>
              <w:rPr>
                <w:rFonts w:hint="default" w:ascii="Arial" w:hAnsi="Arial" w:cs="Arial"/>
                <w:sz w:val="16"/>
                <w:szCs w:val="16"/>
              </w:rPr>
              <w:t>(1.54 lower to 1.99 higher)</w:t>
            </w:r>
          </w:p>
        </w:tc>
      </w:tr>
      <w:tr w14:paraId="5855A070">
        <w:tc>
          <w:tcPr>
            <w:tcW w:w="0" w:type="auto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vAlign w:val="center"/>
          </w:tcPr>
          <w:p w14:paraId="41D9D07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b/>
                <w:bCs/>
                <w:kern w:val="0"/>
                <w:sz w:val="22"/>
                <w:szCs w:val="22"/>
                <w:lang w:val="en-US" w:eastAsia="zh-CN" w:bidi="ar"/>
              </w:rPr>
              <w:t>LDL-C</w:t>
            </w: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t xml:space="preserve"> (CRITICAL OUTCOME; Better indicated by lower values)</w:t>
            </w:r>
          </w:p>
        </w:tc>
      </w:tr>
      <w:tr w14:paraId="7DED90E2"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470832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t>366</w:t>
            </w: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t>(7 studies)</w:t>
            </w: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t>1 months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CA55B2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t>serious</w:t>
            </w: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vertAlign w:val="superscript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FAEBD0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t>no serious inconsistency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43F3F8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t>no serious indirectness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644484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t>no serious imprecision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A8B9FE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t>undetected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1562C2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t>⊕⊕⊕⊝</w:t>
            </w: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b/>
                <w:bCs/>
                <w:kern w:val="0"/>
                <w:sz w:val="16"/>
                <w:szCs w:val="16"/>
                <w:lang w:val="en-US" w:eastAsia="zh-CN" w:bidi="ar"/>
              </w:rPr>
              <w:t>MODERATE</w:t>
            </w: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vertAlign w:val="superscript"/>
                <w:lang w:val="en-US" w:eastAsia="zh-CN" w:bidi="ar"/>
              </w:rPr>
              <w:t>1</w:t>
            </w: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t>due to risk of bias</w:t>
            </w:r>
          </w:p>
        </w:tc>
        <w:tc>
          <w:tcPr>
            <w:tcW w:w="0" w:type="auto"/>
            <w:tcBorders>
              <w:right w:val="single" w:color="FFFFFF" w:sz="2" w:space="0"/>
            </w:tcBorders>
            <w:shd w:val="clear" w:color="auto" w:fill="auto"/>
            <w:vAlign w:val="top"/>
          </w:tcPr>
          <w:p w14:paraId="5984BEA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t>183</w:t>
            </w:r>
          </w:p>
        </w:tc>
        <w:tc>
          <w:tcPr>
            <w:tcW w:w="0" w:type="auto"/>
            <w:tcBorders>
              <w:left w:val="single" w:color="FFFFFF" w:sz="2" w:space="0"/>
            </w:tcBorders>
            <w:shd w:val="clear" w:color="auto" w:fill="auto"/>
            <w:vAlign w:val="top"/>
          </w:tcPr>
          <w:p w14:paraId="3A3E788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t>183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5EF56A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b/>
                <w:bCs/>
                <w:kern w:val="0"/>
                <w:sz w:val="16"/>
                <w:szCs w:val="16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left w:val="nil"/>
              <w:right w:val="single" w:color="000000" w:sz="2" w:space="0"/>
            </w:tcBorders>
            <w:shd w:val="clear" w:color="auto" w:fill="FFFFFF"/>
            <w:vAlign w:val="top"/>
          </w:tcPr>
          <w:p w14:paraId="2D19D77F">
            <w:pPr>
              <w:jc w:val="left"/>
              <w:rPr>
                <w:rFonts w:hint="default"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68552AC">
            <w:pPr>
              <w:pStyle w:val="1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Arial" w:hAnsi="Arial" w:cs="Arial"/>
                <w:sz w:val="16"/>
                <w:szCs w:val="16"/>
              </w:rPr>
              <w:t>The mean ldl-c in the intervention groups was</w:t>
            </w:r>
            <w:r>
              <w:rPr>
                <w:rFonts w:hint="default" w:ascii="Arial" w:hAnsi="Arial" w:cs="Arial"/>
                <w:sz w:val="16"/>
                <w:szCs w:val="16"/>
              </w:rPr>
              <w:br w:type="textWrapping"/>
            </w:r>
            <w:r>
              <w:rPr>
                <w:rFonts w:hint="default" w:ascii="Arial" w:hAnsi="Arial" w:cs="Arial"/>
                <w:b/>
                <w:bCs/>
                <w:sz w:val="16"/>
                <w:szCs w:val="16"/>
              </w:rPr>
              <w:t>2.83 higher</w:t>
            </w:r>
            <w:r>
              <w:rPr>
                <w:rFonts w:hint="default" w:ascii="Arial" w:hAnsi="Arial" w:cs="Arial"/>
                <w:sz w:val="16"/>
                <w:szCs w:val="16"/>
              </w:rPr>
              <w:br w:type="textWrapping"/>
            </w:r>
            <w:r>
              <w:rPr>
                <w:rFonts w:hint="default" w:ascii="Arial" w:hAnsi="Arial" w:cs="Arial"/>
                <w:sz w:val="16"/>
                <w:szCs w:val="16"/>
              </w:rPr>
              <w:t>(1.63 lower to 7.3 higher)</w:t>
            </w:r>
          </w:p>
        </w:tc>
      </w:tr>
      <w:tr w14:paraId="46249934"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A52727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E1B756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1290E9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0443EE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BD2FC6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4120A8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ACC134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0" w:type="auto"/>
            <w:tcBorders>
              <w:bottom w:val="single" w:color="000000" w:sz="4" w:space="0"/>
              <w:right w:val="single" w:color="FFFFFF" w:sz="2" w:space="0"/>
            </w:tcBorders>
            <w:shd w:val="clear" w:color="auto" w:fill="auto"/>
            <w:vAlign w:val="top"/>
          </w:tcPr>
          <w:p w14:paraId="30C0A1B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0" w:type="auto"/>
            <w:tcBorders>
              <w:left w:val="single" w:color="FFFFFF" w:sz="2" w:space="0"/>
              <w:bottom w:val="single" w:color="000000" w:sz="4" w:space="0"/>
            </w:tcBorders>
            <w:shd w:val="clear" w:color="auto" w:fill="auto"/>
            <w:vAlign w:val="top"/>
          </w:tcPr>
          <w:p w14:paraId="384B7F5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D81B6C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宋体" w:cs="Arial"/>
                <w:b/>
                <w:bCs/>
                <w:kern w:val="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0" w:type="auto"/>
            <w:tcBorders>
              <w:left w:val="nil"/>
              <w:bottom w:val="single" w:color="000000" w:sz="4" w:space="0"/>
              <w:right w:val="single" w:color="000000" w:sz="2" w:space="0"/>
            </w:tcBorders>
            <w:shd w:val="clear" w:color="auto" w:fill="FFFFFF"/>
            <w:vAlign w:val="top"/>
          </w:tcPr>
          <w:p w14:paraId="6B13FBC1">
            <w:pPr>
              <w:jc w:val="left"/>
              <w:rPr>
                <w:rFonts w:hint="default"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55C3C07">
            <w:pPr>
              <w:pStyle w:val="12"/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16"/>
                <w:szCs w:val="16"/>
              </w:rPr>
            </w:pPr>
          </w:p>
        </w:tc>
      </w:tr>
    </w:tbl>
    <w:p w14:paraId="7798A62C">
      <w:pPr>
        <w:tabs>
          <w:tab w:val="left" w:pos="1919"/>
        </w:tabs>
        <w:bidi w:val="0"/>
        <w:jc w:val="left"/>
        <w:rPr>
          <w:rFonts w:hint="default"/>
          <w:lang w:val="en-US" w:eastAsia="zh-CN"/>
        </w:rPr>
      </w:pPr>
    </w:p>
    <w:p w14:paraId="1CAF9BE9">
      <w:pPr>
        <w:tabs>
          <w:tab w:val="left" w:pos="1919"/>
        </w:tabs>
        <w:bidi w:val="0"/>
        <w:jc w:val="left"/>
        <w:rPr>
          <w:rFonts w:hint="default"/>
          <w:lang w:val="en-US" w:eastAsia="zh-CN"/>
        </w:rPr>
      </w:pPr>
    </w:p>
    <w:p w14:paraId="7CD98EB2">
      <w:pPr>
        <w:tabs>
          <w:tab w:val="left" w:pos="1919"/>
        </w:tabs>
        <w:bidi w:val="0"/>
        <w:jc w:val="left"/>
        <w:rPr>
          <w:rFonts w:hint="default"/>
          <w:lang w:val="en-US" w:eastAsia="zh-CN"/>
        </w:rPr>
      </w:pPr>
    </w:p>
    <w:p w14:paraId="145F5116">
      <w:pPr>
        <w:jc w:val="left"/>
        <w:rPr>
          <w:rFonts w:ascii="Times New Roman" w:hAnsi="Times New Roman"/>
          <w:sz w:val="20"/>
          <w:szCs w:val="20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ngXian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Narrow">
    <w:panose1 w:val="020B0606020202030204"/>
    <w:charset w:val="00"/>
    <w:family w:val="auto"/>
    <w:pitch w:val="default"/>
    <w:sig w:usb0="00000287" w:usb1="00000800" w:usb2="00000000" w:usb3="00000000" w:csb0="2000009F" w:csb1="DFD7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等线 Light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151"/>
    <w:rsid w:val="000056B2"/>
    <w:rsid w:val="000148D9"/>
    <w:rsid w:val="000163A4"/>
    <w:rsid w:val="00032B99"/>
    <w:rsid w:val="000430A4"/>
    <w:rsid w:val="00061A1D"/>
    <w:rsid w:val="00064191"/>
    <w:rsid w:val="0008683D"/>
    <w:rsid w:val="00090403"/>
    <w:rsid w:val="000A2147"/>
    <w:rsid w:val="000A4488"/>
    <w:rsid w:val="000B3850"/>
    <w:rsid w:val="000B78C3"/>
    <w:rsid w:val="000C2567"/>
    <w:rsid w:val="000D4920"/>
    <w:rsid w:val="000E2783"/>
    <w:rsid w:val="000E28EB"/>
    <w:rsid w:val="000E7FA2"/>
    <w:rsid w:val="001163ED"/>
    <w:rsid w:val="001216CA"/>
    <w:rsid w:val="00167460"/>
    <w:rsid w:val="00167D4B"/>
    <w:rsid w:val="0017268D"/>
    <w:rsid w:val="001A752F"/>
    <w:rsid w:val="001D7126"/>
    <w:rsid w:val="001E3EFA"/>
    <w:rsid w:val="001E597A"/>
    <w:rsid w:val="001E60CF"/>
    <w:rsid w:val="001F0BA6"/>
    <w:rsid w:val="00210366"/>
    <w:rsid w:val="00215BB2"/>
    <w:rsid w:val="002302B6"/>
    <w:rsid w:val="002356F3"/>
    <w:rsid w:val="00240A2D"/>
    <w:rsid w:val="0025025D"/>
    <w:rsid w:val="0025729C"/>
    <w:rsid w:val="00260186"/>
    <w:rsid w:val="002658FB"/>
    <w:rsid w:val="00274487"/>
    <w:rsid w:val="00277D73"/>
    <w:rsid w:val="00280978"/>
    <w:rsid w:val="00286BED"/>
    <w:rsid w:val="0029367C"/>
    <w:rsid w:val="00293986"/>
    <w:rsid w:val="002A155F"/>
    <w:rsid w:val="002A7A84"/>
    <w:rsid w:val="002B541D"/>
    <w:rsid w:val="002D0492"/>
    <w:rsid w:val="002D1AD6"/>
    <w:rsid w:val="002D3ECE"/>
    <w:rsid w:val="002D4227"/>
    <w:rsid w:val="002E0790"/>
    <w:rsid w:val="002E1D36"/>
    <w:rsid w:val="002E5EB6"/>
    <w:rsid w:val="0030633E"/>
    <w:rsid w:val="003271A1"/>
    <w:rsid w:val="0033303E"/>
    <w:rsid w:val="0033362D"/>
    <w:rsid w:val="0034152A"/>
    <w:rsid w:val="00341A30"/>
    <w:rsid w:val="00344AED"/>
    <w:rsid w:val="00350B58"/>
    <w:rsid w:val="003574C9"/>
    <w:rsid w:val="003635AE"/>
    <w:rsid w:val="003807C7"/>
    <w:rsid w:val="003A3718"/>
    <w:rsid w:val="003B7702"/>
    <w:rsid w:val="003D3B8D"/>
    <w:rsid w:val="0041245C"/>
    <w:rsid w:val="00420B46"/>
    <w:rsid w:val="00433FC8"/>
    <w:rsid w:val="0047416E"/>
    <w:rsid w:val="004848D1"/>
    <w:rsid w:val="004C056D"/>
    <w:rsid w:val="004E03ED"/>
    <w:rsid w:val="004E39D5"/>
    <w:rsid w:val="004F5B71"/>
    <w:rsid w:val="00503053"/>
    <w:rsid w:val="005273DD"/>
    <w:rsid w:val="005310B7"/>
    <w:rsid w:val="0055227F"/>
    <w:rsid w:val="005807BC"/>
    <w:rsid w:val="005824B3"/>
    <w:rsid w:val="005B2A90"/>
    <w:rsid w:val="005B2A9C"/>
    <w:rsid w:val="005C3285"/>
    <w:rsid w:val="005D2D22"/>
    <w:rsid w:val="005D3F43"/>
    <w:rsid w:val="005D5EDB"/>
    <w:rsid w:val="00615AA4"/>
    <w:rsid w:val="00620207"/>
    <w:rsid w:val="00623670"/>
    <w:rsid w:val="00630478"/>
    <w:rsid w:val="00641716"/>
    <w:rsid w:val="0065194C"/>
    <w:rsid w:val="00651DE3"/>
    <w:rsid w:val="00666CEE"/>
    <w:rsid w:val="0067018E"/>
    <w:rsid w:val="00677C09"/>
    <w:rsid w:val="00681CDD"/>
    <w:rsid w:val="006905B1"/>
    <w:rsid w:val="00692D4F"/>
    <w:rsid w:val="00697E03"/>
    <w:rsid w:val="006A3ED3"/>
    <w:rsid w:val="006A59B6"/>
    <w:rsid w:val="006A6493"/>
    <w:rsid w:val="006B7C3F"/>
    <w:rsid w:val="006C3AD5"/>
    <w:rsid w:val="006C58EE"/>
    <w:rsid w:val="00700387"/>
    <w:rsid w:val="00704075"/>
    <w:rsid w:val="00706CA9"/>
    <w:rsid w:val="00713AE3"/>
    <w:rsid w:val="0073052C"/>
    <w:rsid w:val="00734A4A"/>
    <w:rsid w:val="007351A0"/>
    <w:rsid w:val="00754E18"/>
    <w:rsid w:val="00755E94"/>
    <w:rsid w:val="00777B55"/>
    <w:rsid w:val="0078195D"/>
    <w:rsid w:val="007B536C"/>
    <w:rsid w:val="007B6CDE"/>
    <w:rsid w:val="007D15FC"/>
    <w:rsid w:val="007F0E90"/>
    <w:rsid w:val="007F6116"/>
    <w:rsid w:val="0080495E"/>
    <w:rsid w:val="00806141"/>
    <w:rsid w:val="00807E91"/>
    <w:rsid w:val="00824EF0"/>
    <w:rsid w:val="008571C3"/>
    <w:rsid w:val="008609D7"/>
    <w:rsid w:val="008757C4"/>
    <w:rsid w:val="00876EE4"/>
    <w:rsid w:val="00883173"/>
    <w:rsid w:val="0088582D"/>
    <w:rsid w:val="00886D1D"/>
    <w:rsid w:val="008921E2"/>
    <w:rsid w:val="008A1EEB"/>
    <w:rsid w:val="008A4DCA"/>
    <w:rsid w:val="008A6D6C"/>
    <w:rsid w:val="008B1F23"/>
    <w:rsid w:val="008C670A"/>
    <w:rsid w:val="008D0CB1"/>
    <w:rsid w:val="008D1F80"/>
    <w:rsid w:val="008D2515"/>
    <w:rsid w:val="008F6C40"/>
    <w:rsid w:val="00901383"/>
    <w:rsid w:val="00901D19"/>
    <w:rsid w:val="009045D5"/>
    <w:rsid w:val="0090572A"/>
    <w:rsid w:val="00906C1F"/>
    <w:rsid w:val="00906E10"/>
    <w:rsid w:val="00910571"/>
    <w:rsid w:val="00921284"/>
    <w:rsid w:val="0092214B"/>
    <w:rsid w:val="009221FF"/>
    <w:rsid w:val="00925E06"/>
    <w:rsid w:val="0094079F"/>
    <w:rsid w:val="009578CC"/>
    <w:rsid w:val="00990542"/>
    <w:rsid w:val="00993B9D"/>
    <w:rsid w:val="009A141C"/>
    <w:rsid w:val="009B4491"/>
    <w:rsid w:val="009D43D8"/>
    <w:rsid w:val="009D7971"/>
    <w:rsid w:val="009E375D"/>
    <w:rsid w:val="009F5034"/>
    <w:rsid w:val="00A0425F"/>
    <w:rsid w:val="00A1009A"/>
    <w:rsid w:val="00A17A09"/>
    <w:rsid w:val="00A24997"/>
    <w:rsid w:val="00A3172C"/>
    <w:rsid w:val="00A601ED"/>
    <w:rsid w:val="00A710B7"/>
    <w:rsid w:val="00A80437"/>
    <w:rsid w:val="00A86EF4"/>
    <w:rsid w:val="00A877B0"/>
    <w:rsid w:val="00A90403"/>
    <w:rsid w:val="00A97151"/>
    <w:rsid w:val="00AB59A6"/>
    <w:rsid w:val="00AD3437"/>
    <w:rsid w:val="00AD3FDD"/>
    <w:rsid w:val="00AE090A"/>
    <w:rsid w:val="00AE18F8"/>
    <w:rsid w:val="00AF1657"/>
    <w:rsid w:val="00AF1758"/>
    <w:rsid w:val="00B00B76"/>
    <w:rsid w:val="00B26830"/>
    <w:rsid w:val="00B4465D"/>
    <w:rsid w:val="00B45490"/>
    <w:rsid w:val="00B50CB6"/>
    <w:rsid w:val="00B61913"/>
    <w:rsid w:val="00B6714A"/>
    <w:rsid w:val="00B716B3"/>
    <w:rsid w:val="00B75357"/>
    <w:rsid w:val="00B84FDC"/>
    <w:rsid w:val="00B850AD"/>
    <w:rsid w:val="00B860D1"/>
    <w:rsid w:val="00B90FFE"/>
    <w:rsid w:val="00BA3752"/>
    <w:rsid w:val="00BA7EA7"/>
    <w:rsid w:val="00BB045D"/>
    <w:rsid w:val="00BB1C8D"/>
    <w:rsid w:val="00BB2015"/>
    <w:rsid w:val="00BB3186"/>
    <w:rsid w:val="00BB4567"/>
    <w:rsid w:val="00BB682E"/>
    <w:rsid w:val="00BB6A69"/>
    <w:rsid w:val="00BC3066"/>
    <w:rsid w:val="00BC4DEA"/>
    <w:rsid w:val="00BD168F"/>
    <w:rsid w:val="00BD7A7A"/>
    <w:rsid w:val="00BE797E"/>
    <w:rsid w:val="00BF5BCB"/>
    <w:rsid w:val="00BF6D34"/>
    <w:rsid w:val="00C02187"/>
    <w:rsid w:val="00C03165"/>
    <w:rsid w:val="00C0440A"/>
    <w:rsid w:val="00C06720"/>
    <w:rsid w:val="00C35633"/>
    <w:rsid w:val="00C41E00"/>
    <w:rsid w:val="00C57ED4"/>
    <w:rsid w:val="00C678FF"/>
    <w:rsid w:val="00C84BBE"/>
    <w:rsid w:val="00C853AA"/>
    <w:rsid w:val="00C85680"/>
    <w:rsid w:val="00C90884"/>
    <w:rsid w:val="00C9667B"/>
    <w:rsid w:val="00C976A0"/>
    <w:rsid w:val="00CA13AD"/>
    <w:rsid w:val="00CA32BD"/>
    <w:rsid w:val="00CA567D"/>
    <w:rsid w:val="00CA662D"/>
    <w:rsid w:val="00CC1338"/>
    <w:rsid w:val="00CC1917"/>
    <w:rsid w:val="00CD387E"/>
    <w:rsid w:val="00D02AD5"/>
    <w:rsid w:val="00D05307"/>
    <w:rsid w:val="00D33997"/>
    <w:rsid w:val="00D470AF"/>
    <w:rsid w:val="00D54FE1"/>
    <w:rsid w:val="00D57360"/>
    <w:rsid w:val="00D63BBB"/>
    <w:rsid w:val="00D67C42"/>
    <w:rsid w:val="00D67F36"/>
    <w:rsid w:val="00D81A1E"/>
    <w:rsid w:val="00D82D00"/>
    <w:rsid w:val="00D83225"/>
    <w:rsid w:val="00D844EB"/>
    <w:rsid w:val="00D92E0B"/>
    <w:rsid w:val="00D96DD2"/>
    <w:rsid w:val="00DA4F43"/>
    <w:rsid w:val="00DA7882"/>
    <w:rsid w:val="00DC5A82"/>
    <w:rsid w:val="00DD5697"/>
    <w:rsid w:val="00DE0770"/>
    <w:rsid w:val="00DE395D"/>
    <w:rsid w:val="00DF7BE6"/>
    <w:rsid w:val="00E0764D"/>
    <w:rsid w:val="00E37035"/>
    <w:rsid w:val="00E524DD"/>
    <w:rsid w:val="00E635BE"/>
    <w:rsid w:val="00E64FD2"/>
    <w:rsid w:val="00E70C74"/>
    <w:rsid w:val="00E770BB"/>
    <w:rsid w:val="00E8656A"/>
    <w:rsid w:val="00E86B3E"/>
    <w:rsid w:val="00E87EC7"/>
    <w:rsid w:val="00E907C3"/>
    <w:rsid w:val="00E91BC5"/>
    <w:rsid w:val="00E973B9"/>
    <w:rsid w:val="00EA30C2"/>
    <w:rsid w:val="00EB0207"/>
    <w:rsid w:val="00EB2E57"/>
    <w:rsid w:val="00EC7FC2"/>
    <w:rsid w:val="00ED60EB"/>
    <w:rsid w:val="00ED78AD"/>
    <w:rsid w:val="00EE2497"/>
    <w:rsid w:val="00EE7294"/>
    <w:rsid w:val="00EF4604"/>
    <w:rsid w:val="00F01FEE"/>
    <w:rsid w:val="00F220FA"/>
    <w:rsid w:val="00F52283"/>
    <w:rsid w:val="00F5387C"/>
    <w:rsid w:val="00F64E12"/>
    <w:rsid w:val="00F77773"/>
    <w:rsid w:val="00FB40E2"/>
    <w:rsid w:val="00FB4E96"/>
    <w:rsid w:val="00FC08D3"/>
    <w:rsid w:val="00FE1A5E"/>
    <w:rsid w:val="273F0D1A"/>
    <w:rsid w:val="2FFEBEB8"/>
    <w:rsid w:val="3BFF22C6"/>
    <w:rsid w:val="3D96AD34"/>
    <w:rsid w:val="4D06A097"/>
    <w:rsid w:val="4FB141D6"/>
    <w:rsid w:val="6E7F5831"/>
    <w:rsid w:val="76FDFFA7"/>
    <w:rsid w:val="77FC98F1"/>
    <w:rsid w:val="787B2354"/>
    <w:rsid w:val="79F536B0"/>
    <w:rsid w:val="7ED1E333"/>
    <w:rsid w:val="7F7D0631"/>
    <w:rsid w:val="8CFFE673"/>
    <w:rsid w:val="977C9A37"/>
    <w:rsid w:val="BD3FC2B0"/>
    <w:rsid w:val="BE5E6307"/>
    <w:rsid w:val="BEEEBFA3"/>
    <w:rsid w:val="BFEFFA7B"/>
    <w:rsid w:val="EF7F84FF"/>
    <w:rsid w:val="F7FE102B"/>
    <w:rsid w:val="FBA7AD2B"/>
    <w:rsid w:val="FDF51E63"/>
    <w:rsid w:val="FEFEB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inorEastAsia"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inorEastAsia"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/>
      <w:outlineLvl w:val="5"/>
    </w:pPr>
    <w:rPr>
      <w:rFonts w:asciiTheme="minorHAnsi" w:hAnsiTheme="minorHAnsi" w:eastAsiaTheme="minorEastAsia" w:cstheme="majorBidi"/>
      <w:b/>
      <w:bCs/>
      <w:color w:val="2F5597" w:themeColor="accent1" w:themeShade="BF"/>
      <w:szCs w:val="24"/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:szCs w:val="24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outlineLvl w:val="7"/>
    </w:pPr>
    <w:rPr>
      <w:rFonts w:asciiTheme="minorHAnsi" w:hAnsiTheme="minorHAnsi" w:eastAsiaTheme="minorEastAsia" w:cstheme="majorBidi"/>
      <w:color w:val="595959" w:themeColor="text1" w:themeTint="A6"/>
      <w:szCs w:val="24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outlineLvl w:val="8"/>
    </w:pPr>
    <w:rPr>
      <w:rFonts w:asciiTheme="minorHAnsi" w:hAnsiTheme="minorHAnsi" w:eastAsiaTheme="majorEastAsia" w:cstheme="majorBidi"/>
      <w:color w:val="595959" w:themeColor="text1" w:themeTint="A6"/>
      <w:szCs w:val="24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5">
    <w:name w:val="Default Paragraph Font"/>
    <w:semiHidden/>
    <w:unhideWhenUsed/>
    <w:uiPriority w:val="1"/>
  </w:style>
  <w:style w:type="table" w:default="1" w:styleId="1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6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3">
    <w:name w:val="Title"/>
    <w:basedOn w:val="1"/>
    <w:next w:val="1"/>
    <w:link w:val="25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6">
    <w:name w:val="标题 1 字符"/>
    <w:basedOn w:val="15"/>
    <w:link w:val="2"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7">
    <w:name w:val="标题 2 字符"/>
    <w:basedOn w:val="15"/>
    <w:link w:val="3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8">
    <w:name w:val="标题 3 字符"/>
    <w:basedOn w:val="15"/>
    <w:link w:val="4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9">
    <w:name w:val="标题 4 字符"/>
    <w:basedOn w:val="15"/>
    <w:link w:val="5"/>
    <w:semiHidden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0">
    <w:name w:val="标题 5 字符"/>
    <w:basedOn w:val="15"/>
    <w:link w:val="6"/>
    <w:semiHidden/>
    <w:uiPriority w:val="9"/>
    <w:rPr>
      <w:rFonts w:cstheme="majorBidi"/>
      <w:color w:val="2F5597" w:themeColor="accent1" w:themeShade="BF"/>
      <w:sz w:val="24"/>
    </w:rPr>
  </w:style>
  <w:style w:type="character" w:customStyle="1" w:styleId="21">
    <w:name w:val="标题 6 字符"/>
    <w:basedOn w:val="15"/>
    <w:link w:val="7"/>
    <w:semiHidden/>
    <w:uiPriority w:val="9"/>
    <w:rPr>
      <w:rFonts w:cstheme="majorBidi"/>
      <w:b/>
      <w:bCs/>
      <w:color w:val="2F5597" w:themeColor="accent1" w:themeShade="BF"/>
    </w:rPr>
  </w:style>
  <w:style w:type="character" w:customStyle="1" w:styleId="22">
    <w:name w:val="标题 7 字符"/>
    <w:basedOn w:val="15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8 字符"/>
    <w:basedOn w:val="15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9 字符"/>
    <w:basedOn w:val="15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字符"/>
    <w:basedOn w:val="15"/>
    <w:link w:val="13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副标题 字符"/>
    <w:basedOn w:val="15"/>
    <w:link w:val="11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 w:after="160"/>
      <w:jc w:val="center"/>
    </w:pPr>
    <w:rPr>
      <w:rFonts w:asciiTheme="minorHAnsi" w:hAnsiTheme="minorHAnsi" w:eastAsiaTheme="minorEastAsia" w:cstheme="minorBidi"/>
      <w:i/>
      <w:iCs/>
      <w:color w:val="404040" w:themeColor="text1" w:themeTint="BF"/>
      <w:szCs w:val="24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引用 字符"/>
    <w:basedOn w:val="15"/>
    <w:link w:val="27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  <w:rPr>
      <w:rFonts w:asciiTheme="minorHAnsi" w:hAnsiTheme="minorHAnsi" w:eastAsiaTheme="minorEastAsia" w:cstheme="minorBidi"/>
      <w:szCs w:val="24"/>
    </w:rPr>
  </w:style>
  <w:style w:type="character" w:customStyle="1" w:styleId="30">
    <w:name w:val="Intense Emphasis"/>
    <w:basedOn w:val="15"/>
    <w:qFormat/>
    <w:uiPriority w:val="21"/>
    <w:rPr>
      <w:i/>
      <w:iCs/>
      <w:color w:val="2F5597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rFonts w:asciiTheme="minorHAnsi" w:hAnsiTheme="minorHAnsi" w:eastAsiaTheme="minorEastAsia" w:cstheme="minorBidi"/>
      <w:i/>
      <w:iCs/>
      <w:color w:val="2F5597" w:themeColor="accent1" w:themeShade="BF"/>
      <w:szCs w:val="24"/>
    </w:rPr>
  </w:style>
  <w:style w:type="character" w:customStyle="1" w:styleId="32">
    <w:name w:val="明显引用 字符"/>
    <w:basedOn w:val="15"/>
    <w:link w:val="31"/>
    <w:uiPriority w:val="30"/>
    <w:rPr>
      <w:i/>
      <w:iCs/>
      <w:color w:val="2F5597" w:themeColor="accent1" w:themeShade="BF"/>
    </w:rPr>
  </w:style>
  <w:style w:type="character" w:customStyle="1" w:styleId="33">
    <w:name w:val="Intense Reference"/>
    <w:basedOn w:val="15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4">
    <w:name w:val="15"/>
    <w:basedOn w:val="15"/>
    <w:uiPriority w:val="0"/>
    <w:rPr>
      <w:rFonts w:hint="eastAsia" w:ascii="宋体" w:hAnsi="宋体" w:eastAsia="宋体"/>
      <w:color w:val="000000"/>
      <w:sz w:val="18"/>
      <w:szCs w:val="18"/>
    </w:rPr>
  </w:style>
  <w:style w:type="character" w:customStyle="1" w:styleId="35">
    <w:name w:val="16"/>
    <w:basedOn w:val="15"/>
    <w:uiPriority w:val="0"/>
    <w:rPr>
      <w:rFonts w:hint="eastAsia" w:ascii="宋体" w:hAnsi="宋体" w:eastAsia="宋体"/>
      <w:color w:val="000000"/>
      <w:sz w:val="22"/>
      <w:szCs w:val="22"/>
    </w:rPr>
  </w:style>
  <w:style w:type="paragraph" w:customStyle="1" w:styleId="36">
    <w:name w:val="4 期刊1级小标题"/>
    <w:basedOn w:val="1"/>
    <w:uiPriority w:val="0"/>
    <w:pPr>
      <w:spacing w:line="360" w:lineRule="auto"/>
      <w:jc w:val="left"/>
      <w:outlineLvl w:val="0"/>
    </w:pPr>
    <w:rPr>
      <w:rFonts w:ascii="Times New Roman" w:hAnsi="Times New Roman"/>
      <w:b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194</Words>
  <Characters>1111</Characters>
  <Lines>9</Lines>
  <Paragraphs>2</Paragraphs>
  <TotalTime>48</TotalTime>
  <ScaleCrop>false</ScaleCrop>
  <LinksUpToDate>false</LinksUpToDate>
  <CharactersWithSpaces>1303</CharactersWithSpaces>
  <Application>WPS Office_7.4.1.8983_F1E327BC-269C-435d-A152-05C5408002CA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2025-10-29T06:41:00Z</dcterms:created>
  <dc:creator>a35475</dc:creator>
  <cp:lastModifiedBy>月皎兮</cp:lastModifiedBy>
  <dcterms:modified xsi:type="dcterms:W3CDTF">2025-10-29T22:34:04Z</dcterms:modified>
  <cp:revision>70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2052-7.4.1.8983</vt:lpwstr>
  </property>
  <property fmtid="{D5CDD505-2E9C-101B-9397-08002B2CF9AE}" pid="3" name="ICV">
    <vt:lpwstr>A19D327D0BCEF66B06D50169C1255098_42</vt:lpwstr>
  </property>
</Properties>
</file>