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3F193B">
      <w:pPr>
        <w:pStyle w:val="4"/>
        <w:widowControl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OLE_LINK126"/>
      <w:bookmarkStart w:id="1" w:name="OLE_LINK2"/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Table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S1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. </w:t>
      </w:r>
      <w:bookmarkEnd w:id="0"/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Ceiling effect test results of cognitive outcome variables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</w:t>
      </w:r>
    </w:p>
    <w:bookmarkEnd w:id="1"/>
    <w:tbl>
      <w:tblPr>
        <w:tblStyle w:val="15"/>
        <w:tblpPr w:leftFromText="180" w:rightFromText="180" w:vertAnchor="page" w:horzAnchor="page" w:tblpXSpec="center" w:tblpY="2142"/>
        <w:tblOverlap w:val="never"/>
        <w:tblW w:w="1070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4"/>
        <w:gridCol w:w="1474"/>
        <w:gridCol w:w="1474"/>
        <w:gridCol w:w="1474"/>
        <w:gridCol w:w="1474"/>
        <w:gridCol w:w="1474"/>
        <w:gridCol w:w="1474"/>
      </w:tblGrid>
      <w:tr w14:paraId="233DC6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864" w:type="dxa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5CB7AFDE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bookmarkStart w:id="2" w:name="OLE_LINK1"/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Outcome</w:t>
            </w:r>
          </w:p>
        </w:tc>
        <w:tc>
          <w:tcPr>
            <w:tcW w:w="1474" w:type="dxa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4F7D3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Mean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±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SD</w:t>
            </w:r>
          </w:p>
        </w:tc>
        <w:tc>
          <w:tcPr>
            <w:tcW w:w="1474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3B1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Minimum</w:t>
            </w:r>
          </w:p>
        </w:tc>
        <w:tc>
          <w:tcPr>
            <w:tcW w:w="1474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56D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Maximum</w:t>
            </w:r>
          </w:p>
        </w:tc>
        <w:tc>
          <w:tcPr>
            <w:tcW w:w="1474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713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Skewness</w:t>
            </w:r>
          </w:p>
        </w:tc>
        <w:tc>
          <w:tcPr>
            <w:tcW w:w="1474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9E1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Kurtosis</w:t>
            </w:r>
          </w:p>
        </w:tc>
        <w:tc>
          <w:tcPr>
            <w:tcW w:w="147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107C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Ceiling ratio (%)</w:t>
            </w:r>
          </w:p>
        </w:tc>
      </w:tr>
      <w:tr w14:paraId="7B19EC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86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A87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MOCA</w:t>
            </w:r>
          </w:p>
        </w:tc>
        <w:tc>
          <w:tcPr>
            <w:tcW w:w="147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E0F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25.22±3.76</w:t>
            </w:r>
          </w:p>
        </w:tc>
        <w:tc>
          <w:tcPr>
            <w:tcW w:w="147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68E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6</w:t>
            </w:r>
          </w:p>
        </w:tc>
        <w:tc>
          <w:tcPr>
            <w:tcW w:w="147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2BB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30</w:t>
            </w:r>
          </w:p>
        </w:tc>
        <w:tc>
          <w:tcPr>
            <w:tcW w:w="147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5E6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-1.5</w:t>
            </w:r>
          </w:p>
        </w:tc>
        <w:tc>
          <w:tcPr>
            <w:tcW w:w="147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0A9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3.56</w:t>
            </w:r>
          </w:p>
        </w:tc>
        <w:tc>
          <w:tcPr>
            <w:tcW w:w="147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ABF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7.22</w:t>
            </w:r>
          </w:p>
        </w:tc>
      </w:tr>
      <w:tr w14:paraId="356715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9C2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DSST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BE6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51.14±17.90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B0C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D3C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90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BCF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-0.14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561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-0.47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F6B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1.21</w:t>
            </w:r>
          </w:p>
        </w:tc>
      </w:tr>
      <w:tr w14:paraId="7BB2AA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B52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AVLT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N3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317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17.94±5.59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166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F7B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34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A59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DD5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-0.41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E8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</w:t>
            </w:r>
          </w:p>
        </w:tc>
      </w:tr>
      <w:tr w14:paraId="7CA58C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86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104B1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AVLT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N5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2BEE2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30.46±10.56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69973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2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68EA1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58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7744E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-0.04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2A5B5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-0.41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0D4DC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</w:t>
            </w:r>
          </w:p>
        </w:tc>
      </w:tr>
      <w:bookmarkEnd w:id="2"/>
    </w:tbl>
    <w:p w14:paraId="693265B9">
      <w:pPr>
        <w:rPr>
          <w:rFonts w:hint="eastAsia" w:ascii="Times New Roman" w:hAnsi="Times New Roman" w:eastAsia="宋体" w:cs="Times New Roman"/>
          <w:color w:val="1F1F1F"/>
          <w:sz w:val="22"/>
          <w:szCs w:val="22"/>
          <w:lang w:val="en-US" w:eastAsia="zh-CN"/>
        </w:rPr>
      </w:pPr>
      <w:r>
        <w:rPr>
          <w:rFonts w:hint="eastAsia" w:ascii="Times New Roman" w:hAnsi="Times New Roman" w:eastAsia="宋体" w:cs="Times New Roman"/>
          <w:color w:val="1F1F1F"/>
          <w:sz w:val="22"/>
          <w:szCs w:val="22"/>
        </w:rPr>
        <w:t>Note: SD, standard deviation</w:t>
      </w:r>
      <w:r>
        <w:rPr>
          <w:rFonts w:hint="eastAsia" w:ascii="Times New Roman" w:hAnsi="Times New Roman" w:eastAsia="宋体" w:cs="Times New Roman"/>
          <w:color w:val="1F1F1F"/>
          <w:sz w:val="22"/>
          <w:szCs w:val="22"/>
          <w:lang w:val="en-US" w:eastAsia="zh-CN"/>
        </w:rPr>
        <w:t xml:space="preserve">; </w:t>
      </w:r>
      <w:r>
        <w:rPr>
          <w:rFonts w:ascii="Times New Roman" w:hAnsi="Times New Roman" w:eastAsia="宋体" w:cs="Times New Roman"/>
          <w:color w:val="1F1F1F"/>
          <w:sz w:val="22"/>
          <w:szCs w:val="22"/>
        </w:rPr>
        <w:t>MoCA, Montreal Cognitive Assessment; AVLT-3, Auditory Verbal Learning Test-Immediate Recall Trial 3; AVLT-5, Auditory Verbal Learning Test-Delayed Recall</w:t>
      </w:r>
      <w:r>
        <w:rPr>
          <w:rFonts w:hint="eastAsia" w:ascii="Times New Roman" w:hAnsi="Times New Roman" w:eastAsia="宋体" w:cs="Times New Roman"/>
          <w:color w:val="1F1F1F"/>
          <w:sz w:val="22"/>
          <w:szCs w:val="22"/>
          <w:lang w:val="en-US" w:eastAsia="zh-CN"/>
        </w:rPr>
        <w:t>.</w:t>
      </w:r>
    </w:p>
    <w:p w14:paraId="4B48DECB">
      <w:pPr>
        <w:rPr>
          <w:rFonts w:ascii="Times New Roman" w:hAnsi="Times New Roman" w:eastAsia="宋体" w:cs="Times New Roman"/>
          <w:color w:val="1F1F1F"/>
          <w:sz w:val="22"/>
          <w:szCs w:val="22"/>
        </w:rPr>
      </w:pPr>
      <w:r>
        <w:rPr>
          <w:rFonts w:hint="eastAsia" w:ascii="Times New Roman" w:hAnsi="Times New Roman" w:eastAsia="宋体" w:cs="Times New Roman"/>
          <w:color w:val="1F1F1F"/>
          <w:sz w:val="22"/>
          <w:szCs w:val="22"/>
        </w:rPr>
        <w:t>Ceiling ratio refers to the percentage of participants achieving the maximum score of each cognitive outcome variable. A ceiling ratio &gt; 15% indicates a notable ceiling effect, while a ratio &gt; 50% suggests a severe ceiling effect. A ceiling ratio of 0% indicates no participant reached th</w:t>
      </w:r>
      <w:bookmarkStart w:id="3" w:name="_GoBack"/>
      <w:bookmarkEnd w:id="3"/>
      <w:r>
        <w:rPr>
          <w:rFonts w:hint="eastAsia" w:ascii="Times New Roman" w:hAnsi="Times New Roman" w:eastAsia="宋体" w:cs="Times New Roman"/>
          <w:color w:val="1F1F1F"/>
          <w:sz w:val="22"/>
          <w:szCs w:val="22"/>
        </w:rPr>
        <w:t>e maximum score, reflecting an absence of ceiling effect.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EFA"/>
    <w:rsid w:val="00014BA1"/>
    <w:rsid w:val="000154BE"/>
    <w:rsid w:val="00066620"/>
    <w:rsid w:val="00076525"/>
    <w:rsid w:val="000F19D2"/>
    <w:rsid w:val="00163915"/>
    <w:rsid w:val="00170E58"/>
    <w:rsid w:val="00187EC2"/>
    <w:rsid w:val="001D150C"/>
    <w:rsid w:val="001E4A8D"/>
    <w:rsid w:val="001E6411"/>
    <w:rsid w:val="00297AF2"/>
    <w:rsid w:val="002D672B"/>
    <w:rsid w:val="002F32B1"/>
    <w:rsid w:val="003642F2"/>
    <w:rsid w:val="00392AAE"/>
    <w:rsid w:val="00412C65"/>
    <w:rsid w:val="0048185B"/>
    <w:rsid w:val="004907BB"/>
    <w:rsid w:val="004D740B"/>
    <w:rsid w:val="00574F6E"/>
    <w:rsid w:val="00586151"/>
    <w:rsid w:val="005E3FD9"/>
    <w:rsid w:val="00623A73"/>
    <w:rsid w:val="0064119B"/>
    <w:rsid w:val="006B06CD"/>
    <w:rsid w:val="006E622B"/>
    <w:rsid w:val="00743D29"/>
    <w:rsid w:val="00762DC1"/>
    <w:rsid w:val="007C3DF1"/>
    <w:rsid w:val="007D1691"/>
    <w:rsid w:val="00814A1A"/>
    <w:rsid w:val="009E1CE8"/>
    <w:rsid w:val="00A76381"/>
    <w:rsid w:val="00AA2376"/>
    <w:rsid w:val="00AE5173"/>
    <w:rsid w:val="00B233BC"/>
    <w:rsid w:val="00B752F4"/>
    <w:rsid w:val="00C07C0F"/>
    <w:rsid w:val="00C56B52"/>
    <w:rsid w:val="00CE1A75"/>
    <w:rsid w:val="00DF6048"/>
    <w:rsid w:val="00E53771"/>
    <w:rsid w:val="00E62785"/>
    <w:rsid w:val="00E7353B"/>
    <w:rsid w:val="00EC1AA7"/>
    <w:rsid w:val="00EC2EFA"/>
    <w:rsid w:val="00F93C2A"/>
    <w:rsid w:val="00FD2D9B"/>
    <w:rsid w:val="0D5448F5"/>
    <w:rsid w:val="10966EDC"/>
    <w:rsid w:val="12704669"/>
    <w:rsid w:val="1FA53BA4"/>
    <w:rsid w:val="200C04B3"/>
    <w:rsid w:val="23D7452C"/>
    <w:rsid w:val="28094EEC"/>
    <w:rsid w:val="2B271874"/>
    <w:rsid w:val="34691769"/>
    <w:rsid w:val="403E177F"/>
    <w:rsid w:val="45942821"/>
    <w:rsid w:val="4EA56E6D"/>
    <w:rsid w:val="507860E3"/>
    <w:rsid w:val="50905390"/>
    <w:rsid w:val="54336CC9"/>
    <w:rsid w:val="5F4B5AC8"/>
    <w:rsid w:val="60121E89"/>
    <w:rsid w:val="68204E76"/>
    <w:rsid w:val="7334655E"/>
    <w:rsid w:val="74654825"/>
    <w:rsid w:val="7D953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 w:line="278" w:lineRule="auto"/>
      <w:jc w:val="left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20"/>
    <w:semiHidden/>
    <w:unhideWhenUsed/>
    <w:qFormat/>
    <w:uiPriority w:val="0"/>
    <w:pPr>
      <w:keepNext/>
      <w:keepLines/>
      <w:spacing w:before="160" w:after="80" w:line="278" w:lineRule="auto"/>
      <w:jc w:val="left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  <w14:ligatures w14:val="standardContextual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104862" w:themeColor="accent1" w:themeShade="BF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104862" w:themeColor="accent1" w:themeShade="BF"/>
      <w:sz w:val="24"/>
      <w14:ligatures w14:val="standardContextual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104862" w:themeColor="accent1" w:themeShade="BF"/>
      <w:sz w:val="22"/>
      <w14:ligatures w14:val="standardContextual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36"/>
    <w:qFormat/>
    <w:uiPriority w:val="0"/>
    <w:pPr>
      <w:jc w:val="left"/>
    </w:pPr>
  </w:style>
  <w:style w:type="paragraph" w:styleId="12">
    <w:name w:val="Subtitle"/>
    <w:basedOn w:val="1"/>
    <w:next w:val="1"/>
    <w:link w:val="28"/>
    <w:qFormat/>
    <w:uiPriority w:val="11"/>
    <w:pPr>
      <w:spacing w:after="160" w:line="278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styleId="17">
    <w:name w:val="annotation reference"/>
    <w:basedOn w:val="16"/>
    <w:qFormat/>
    <w:uiPriority w:val="0"/>
    <w:rPr>
      <w:sz w:val="21"/>
      <w:szCs w:val="21"/>
    </w:rPr>
  </w:style>
  <w:style w:type="character" w:customStyle="1" w:styleId="18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3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6"/>
    <w:link w:val="12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30">
    <w:name w:val="引用 字符"/>
    <w:basedOn w:val="16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spacing w:after="160" w:line="278" w:lineRule="auto"/>
      <w:ind w:left="720"/>
      <w:contextualSpacing/>
      <w:jc w:val="left"/>
    </w:pPr>
    <w:rPr>
      <w:sz w:val="22"/>
      <w14:ligatures w14:val="standardContextual"/>
    </w:rPr>
  </w:style>
  <w:style w:type="character" w:customStyle="1" w:styleId="32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i/>
      <w:iCs/>
      <w:color w:val="104862" w:themeColor="accent1" w:themeShade="BF"/>
      <w:sz w:val="22"/>
      <w14:ligatures w14:val="standardContextual"/>
    </w:rPr>
  </w:style>
  <w:style w:type="character" w:customStyle="1" w:styleId="34">
    <w:name w:val="明显引用 字符"/>
    <w:basedOn w:val="16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批注文字 字符"/>
    <w:basedOn w:val="16"/>
    <w:link w:val="11"/>
    <w:qFormat/>
    <w:uiPriority w:val="0"/>
    <w:rPr>
      <w:sz w:val="21"/>
      <w14:ligatures w14:val="none"/>
    </w:rPr>
  </w:style>
  <w:style w:type="character" w:customStyle="1" w:styleId="37">
    <w:name w:val="font11"/>
    <w:basedOn w:val="16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126</Words>
  <Characters>697</Characters>
  <Lines>255</Lines>
  <Paragraphs>157</Paragraphs>
  <TotalTime>0</TotalTime>
  <ScaleCrop>false</ScaleCrop>
  <LinksUpToDate>false</LinksUpToDate>
  <CharactersWithSpaces>787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2025-08-06T17:15:00Z</dcterms:created>
  <dc:creator>嘉佩 韦</dc:creator>
  <cp:lastModifiedBy>吴旭铖</cp:lastModifiedBy>
  <dcterms:modified xsi:type="dcterms:W3CDTF">2026-03-23T13:29:58Z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eyJoZGlkIjoiZTNhZGQzNGQyOWMwMTZiYTU2NzlmYzIyMmNmNjRhMDgiLCJ1c2VySWQiOiIxNjg3MDYwMjk4In0=</vt:lpwstr>
  </property>
  <property fmtid="{D5CDD505-2E9C-101B-9397-08002B2CF9AE}" pid="3" name="KSOProductBuildVer">
    <vt:lpwstr>2052-12.1.0.23542</vt:lpwstr>
  </property>
  <property fmtid="{D5CDD505-2E9C-101B-9397-08002B2CF9AE}" pid="4" name="ICV">
    <vt:lpwstr>3BC4D74189E64D68BBF2000EC3740EA8_12</vt:lpwstr>
  </property>
</Properties>
</file>