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
            <w:r>
              <w:rPr>
                <w:rFonts w:ascii="Times New Roman" w:hAnsi="Times New Roman"/>
                <w:sz w:val="18"/>
              </w:rPr>
              <w:t>Page 1 (Title)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
            <w:r>
              <w:rPr>
                <w:rFonts w:ascii="Times New Roman" w:hAnsi="Times New Roman"/>
                <w:sz w:val="18"/>
              </w:rPr>
              <w:t>Page 2 (Abstract)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3–4 (Background, paragraphs 1–4)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
            <w:r>
              <w:rPr>
                <w:rFonts w:ascii="Times New Roman" w:hAnsi="Times New Roman"/>
                <w:sz w:val="18"/>
              </w:rPr>
              <w:t>Page 4 (Background, last paragraph)</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4–5 (Eligibility Criteria; Table 1)</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5 (Information Sources)</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5–6 (Search Strategy; Table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6 (Study Selection and Data Extraction)</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6 (Study Selection and Data Extraction)</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4–5 (Eligibility Criteria, Outcomes; Table 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6 (Study Selection and Data Extraction)</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6 (Risk of Bias Assessment)</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6 (Data Synthesis and Analysis)</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6 (Data Synthesis and Analysis)</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6 (Data Synthesis and Analysis)</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7–12 (Tables 3, 4, 7, 8; Figures 2, 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6 (Data Synthesis and Analysis)</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Not applicable; heterogeneity was low-moderate</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12 (Sensitivity and Publication Bias)</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12 (Sensitivity and Publication Bias; Figure 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6 (Methods); Pages 12–13 (Table 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6–7 (Study Selection;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6–7 (Study Selection)</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7–9 (Study Characteristics; Tables 3, 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9–10 (Risk of Bias; Tables 5, 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9, 11 (Tables 4, 7, 8; Figure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10–11 (Effect of RT on β-Cell Function)</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11–12 (Table 8; Figure 2)</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Not applicable; heterogeneity was low-moderate</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12 (Sensitivity and Publication Bias)</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12 (Sensitivity and Publication Bias; Figure 3)</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12–13 (Table 9, GRADE Evidence Summary)</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Pages 13–14 (Discussion, paragraphs 1–4)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14 (Limitations, paragraphs 1–3)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14 (Limitations, paragraphs 1–3)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
            <w:r>
              <w:rPr>
                <w:rFonts w:ascii="Times New Roman" w:hAnsi="Times New Roman"/>
                <w:sz w:val="18"/>
              </w:rPr>
              <w:t>Pages 14–15 (Conclusions)</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4 (Methods; PROSPERO CRD420251137273)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4 (Methods; PROSPERO CRD420251137273)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Not applicable</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15 (Declarations, Funding)</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
            <w:r>
              <w:rPr>
                <w:rFonts w:ascii="Times New Roman" w:hAnsi="Times New Roman"/>
                <w:sz w:val="18"/>
              </w:rPr>
              <w:t>Page 15 (Declarations, Competing interests)</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
            <w:r>
              <w:rPr>
                <w:rFonts w:ascii="Times New Roman" w:hAnsi="Times New Roman"/>
                <w:sz w:val="18"/>
              </w:rPr>
              <w:t>Page 15 (Declarations, Availability of data)</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bookmarkStart w:id="0" w:name="_GoBack"/>
      <w:bookmarkEnd w:id="0"/>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56B5B2BA" w:rsidR="00947707" w:rsidRPr="00930A31" w:rsidRDefault="00640172"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Matthew Page</cp:lastModifiedBy>
  <cp:revision>26</cp:revision>
  <cp:lastPrinted>2020-11-24T03:02:00Z</cp:lastPrinted>
  <dcterms:created xsi:type="dcterms:W3CDTF">2020-11-24T03:02:00Z</dcterms:created>
  <dcterms:modified xsi:type="dcterms:W3CDTF">2024-02-23T04:00:00Z</dcterms:modified>
</cp:coreProperties>
</file>