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E1FDB">
      <w:pPr>
        <w:widowControl/>
        <w:adjustRightInd w:val="0"/>
        <w:snapToGri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bidi="ar"/>
        </w:rPr>
        <w:t>MTHFR variants modify the association between pre-pregnancy BMI and postpartum abnormal glucose tolerance among women with gestational diabetes mellitus</w:t>
      </w:r>
    </w:p>
    <w:p w14:paraId="28E8DEE4">
      <w:pPr>
        <w:widowControl/>
        <w:adjustRightInd w:val="0"/>
        <w:snapToGri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3A41AC1">
      <w:pPr>
        <w:widowControl/>
        <w:adjustRightInd w:val="0"/>
        <w:snapToGrid w:val="0"/>
        <w:spacing w:line="360" w:lineRule="auto"/>
        <w:rPr>
          <w:rFonts w:ascii="Times New Roman" w:hAnsi="Times New Roman"/>
          <w:color w:val="auto"/>
          <w:kern w:val="0"/>
          <w:sz w:val="24"/>
          <w:shd w:val="clear" w:color="auto" w:fill="FFFFFF"/>
        </w:rPr>
      </w:pP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Chunming Gu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ascii="Times New Roman" w:hAnsi="Times New Roman"/>
          <w:color w:val="auto"/>
          <w:sz w:val="24"/>
        </w:rPr>
        <w:t>†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Kefeng Lai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ascii="Times New Roman" w:hAnsi="Times New Roman"/>
          <w:bCs/>
          <w:color w:val="auto"/>
          <w:sz w:val="24"/>
        </w:rPr>
        <w:t>†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Yan Liu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Weixiang Wu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Xiaodan Zhang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Zhili Zhang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Qiong</w:t>
      </w:r>
      <w:r>
        <w:rPr>
          <w:rFonts w:ascii="Times New Roman" w:hAnsi="Times New Roman"/>
          <w:color w:val="auto"/>
          <w:kern w:val="0"/>
          <w:sz w:val="24"/>
          <w:shd w:val="clear" w:color="auto" w:fill="FFFFFF"/>
        </w:rPr>
        <w:t>dan Mai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Xianhua Zheng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, Mingyong Luo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  <w:vertAlign w:val="superscript"/>
        </w:rPr>
        <w:t>1,2</w:t>
      </w:r>
      <w:r>
        <w:rPr>
          <w:rFonts w:hint="eastAsia" w:ascii="Times New Roman" w:hAnsi="Times New Roman"/>
          <w:color w:val="auto"/>
          <w:kern w:val="0"/>
          <w:sz w:val="24"/>
          <w:shd w:val="clear" w:color="auto" w:fill="FFFFFF"/>
        </w:rPr>
        <w:t>*</w:t>
      </w:r>
    </w:p>
    <w:p w14:paraId="79A36116">
      <w:pPr>
        <w:widowControl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 </w:t>
      </w:r>
    </w:p>
    <w:p w14:paraId="0BD07651">
      <w:pPr>
        <w:widowControl/>
        <w:rPr>
          <w:rFonts w:ascii="Times New Roman" w:hAnsi="Times New Roman"/>
          <w:bCs/>
          <w:color w:val="auto"/>
          <w:sz w:val="24"/>
        </w:rPr>
      </w:pPr>
      <w:r>
        <w:rPr>
          <w:rFonts w:ascii="Times New Roman" w:hAnsi="Times New Roman"/>
          <w:bCs/>
          <w:color w:val="auto"/>
          <w:sz w:val="24"/>
        </w:rPr>
        <w:t>1 Department of Clinical Laboratory, Guangdong Women and Children Hospital,Guangzhou 511400, China.</w:t>
      </w:r>
    </w:p>
    <w:p w14:paraId="5757B580">
      <w:pPr>
        <w:widowControl/>
        <w:rPr>
          <w:rFonts w:ascii="Times New Roman" w:hAnsi="Times New Roman"/>
          <w:bCs/>
          <w:color w:val="auto"/>
          <w:sz w:val="24"/>
        </w:rPr>
      </w:pPr>
      <w:r>
        <w:rPr>
          <w:rFonts w:ascii="Times New Roman" w:hAnsi="Times New Roman"/>
          <w:bCs/>
          <w:color w:val="auto"/>
          <w:sz w:val="24"/>
        </w:rPr>
        <w:t>2 Department of Clinical Laboratory, Women and Children's Hospital, Southern</w:t>
      </w:r>
      <w:r>
        <w:rPr>
          <w:rFonts w:hint="eastAsia" w:ascii="Times New Roman" w:hAnsi="Times New Roman"/>
          <w:bCs/>
          <w:color w:val="auto"/>
          <w:sz w:val="24"/>
        </w:rPr>
        <w:t xml:space="preserve"> </w:t>
      </w:r>
      <w:r>
        <w:rPr>
          <w:rFonts w:ascii="Times New Roman" w:hAnsi="Times New Roman"/>
          <w:bCs/>
          <w:color w:val="auto"/>
          <w:sz w:val="24"/>
        </w:rPr>
        <w:t>University of Science and Technology, Guangzhou 511400, China.</w:t>
      </w:r>
    </w:p>
    <w:p w14:paraId="0C856A06">
      <w:pPr>
        <w:widowControl/>
        <w:rPr>
          <w:rFonts w:ascii="Times New Roman" w:hAnsi="Times New Roman" w:cs="Times New Roman"/>
          <w:bCs/>
          <w:sz w:val="24"/>
        </w:rPr>
      </w:pPr>
    </w:p>
    <w:p w14:paraId="30B777CD">
      <w:pPr>
        <w:widowControl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eastAsia="宋体" w:cs="Times New Roman"/>
          <w:bCs/>
          <w:sz w:val="24"/>
          <w:lang w:bidi="ar"/>
        </w:rPr>
        <w:t xml:space="preserve">* Correspondence: Mingyong Luo, </w:t>
      </w:r>
      <w:r>
        <w:fldChar w:fldCharType="begin"/>
      </w:r>
      <w:r>
        <w:instrText xml:space="preserve"> HYPERLINK "mailto:luo-my@163.com" </w:instrText>
      </w:r>
      <w:r>
        <w:fldChar w:fldCharType="separate"/>
      </w:r>
      <w:r>
        <w:rPr>
          <w:rStyle w:val="7"/>
          <w:rFonts w:ascii="Times New Roman" w:hAnsi="Times New Roman" w:cs="Times New Roman"/>
          <w:bCs/>
          <w:sz w:val="24"/>
        </w:rPr>
        <w:t>luo-my@163.com</w:t>
      </w:r>
      <w:r>
        <w:rPr>
          <w:rStyle w:val="7"/>
          <w:rFonts w:ascii="Times New Roman" w:hAnsi="Times New Roman" w:cs="Times New Roman"/>
          <w:bCs/>
          <w:sz w:val="24"/>
        </w:rPr>
        <w:fldChar w:fldCharType="end"/>
      </w:r>
    </w:p>
    <w:p w14:paraId="097BD050">
      <w:pPr>
        <w:widowControl/>
        <w:rPr>
          <w:rFonts w:ascii="Times New Roman" w:hAnsi="Times New Roman" w:cs="Times New Roman"/>
          <w:bCs/>
          <w:sz w:val="24"/>
        </w:rPr>
      </w:pPr>
    </w:p>
    <w:p w14:paraId="6DF3428F">
      <w:pPr>
        <w:widowControl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eastAsia="宋体" w:cs="Times New Roman"/>
          <w:bCs/>
          <w:sz w:val="24"/>
          <w:lang w:bidi="ar"/>
        </w:rPr>
        <w:t>†These authors have contributed equally to this work.</w:t>
      </w:r>
    </w:p>
    <w:p w14:paraId="284D5C51">
      <w:pPr>
        <w:widowControl/>
        <w:rPr>
          <w:rFonts w:ascii="Times New Roman" w:hAnsi="Times New Roman" w:cs="Times New Roman"/>
          <w:bCs/>
          <w:sz w:val="24"/>
        </w:rPr>
      </w:pPr>
    </w:p>
    <w:p w14:paraId="3ADB4659">
      <w:pPr>
        <w:widowControl/>
        <w:adjustRightInd w:val="0"/>
        <w:snapToGrid w:val="0"/>
        <w:rPr>
          <w:rFonts w:ascii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bidi="ar"/>
        </w:rPr>
      </w:pPr>
    </w:p>
    <w:p w14:paraId="0926A3A5">
      <w:pPr>
        <w:widowControl/>
        <w:adjustRightInd w:val="0"/>
        <w:snapToGrid w:val="0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shd w:val="clear" w:color="auto" w:fill="FFFFFF"/>
          <w:lang w:bidi="ar"/>
        </w:rPr>
      </w:pPr>
    </w:p>
    <w:p w14:paraId="2A60A638">
      <w:pPr>
        <w:widowControl/>
        <w:adjustRightInd w:val="0"/>
        <w:snapToGrid w:val="0"/>
        <w:rPr>
          <w:rFonts w:ascii="Times New Roman" w:hAnsi="Times New Roman" w:eastAsia="宋体" w:cs="Times New Roman"/>
          <w:b/>
          <w:bCs/>
          <w:kern w:val="0"/>
          <w:sz w:val="28"/>
          <w:szCs w:val="28"/>
          <w:shd w:val="clear" w:color="auto" w:fill="FFFFFF"/>
          <w:lang w:bidi="ar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shd w:val="clear" w:color="auto" w:fill="FFFFFF"/>
          <w:lang w:bidi="ar"/>
        </w:rPr>
        <w:t xml:space="preserve">Number of pages: 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shd w:val="clear" w:color="auto" w:fill="FFFFFF"/>
          <w:lang w:bidi="ar"/>
        </w:rPr>
        <w:t>4</w:t>
      </w:r>
    </w:p>
    <w:p w14:paraId="58D56B70">
      <w:pPr>
        <w:widowControl/>
        <w:adjustRightInd w:val="0"/>
        <w:snapToGrid w:val="0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shd w:val="clear" w:color="auto" w:fill="FFFFFF"/>
          <w:lang w:bidi="ar"/>
        </w:rPr>
        <w:t xml:space="preserve">Number of tables: 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shd w:val="clear" w:color="auto" w:fill="FFFFFF"/>
          <w:lang w:val="en-US" w:eastAsia="zh-CN" w:bidi="ar"/>
        </w:rPr>
        <w:t>6</w:t>
      </w:r>
    </w:p>
    <w:p w14:paraId="0E879144">
      <w:pPr>
        <w:rPr>
          <w:rFonts w:ascii="Times New Roman" w:hAnsi="Times New Roman" w:eastAsia="宋体" w:cs="Times New Roman"/>
          <w:kern w:val="0"/>
          <w:sz w:val="24"/>
          <w:shd w:val="clear" w:color="auto" w:fill="FFFFFF"/>
          <w:lang w:bidi="ar"/>
        </w:rPr>
      </w:pPr>
      <w:r>
        <w:rPr>
          <w:rFonts w:ascii="Times New Roman" w:hAnsi="Times New Roman" w:eastAsia="宋体" w:cs="Times New Roman"/>
          <w:kern w:val="0"/>
          <w:sz w:val="24"/>
          <w:shd w:val="clear" w:color="auto" w:fill="FFFFFF"/>
          <w:lang w:bidi="ar"/>
        </w:rPr>
        <w:br w:type="page"/>
      </w:r>
    </w:p>
    <w:p w14:paraId="01DC8E8F">
      <w:pPr>
        <w:rPr>
          <w:rFonts w:ascii="Times New Roman" w:hAnsi="Times New Roman" w:eastAsia="宋体" w:cs="Times New Roman"/>
          <w:kern w:val="0"/>
          <w:sz w:val="24"/>
          <w:shd w:val="clear" w:color="auto" w:fill="FFFFFF"/>
          <w:lang w:bidi="ar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2085"/>
        <w:gridCol w:w="4610"/>
      </w:tblGrid>
      <w:tr w14:paraId="46E30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000" w:type="pct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0555C7EA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PCR primers sequence for genotyping MTHFR polymorphisms</w:t>
            </w:r>
          </w:p>
        </w:tc>
      </w:tr>
      <w:tr w14:paraId="4C228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E63216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Polymorphisms sites</w:t>
            </w:r>
          </w:p>
        </w:tc>
        <w:tc>
          <w:tcPr>
            <w:tcW w:w="1177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C0501A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602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71C1A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Sequence (5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-3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)</w:t>
            </w:r>
          </w:p>
        </w:tc>
      </w:tr>
      <w:tr w14:paraId="5376F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tcBorders>
              <w:top w:val="single" w:color="auto" w:sz="4" w:space="0"/>
            </w:tcBorders>
            <w:noWrap/>
            <w:vAlign w:val="center"/>
          </w:tcPr>
          <w:p w14:paraId="64823127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MTHFR A1298C</w:t>
            </w:r>
          </w:p>
        </w:tc>
        <w:tc>
          <w:tcPr>
            <w:tcW w:w="1177" w:type="pct"/>
            <w:tcBorders>
              <w:top w:val="single" w:color="auto" w:sz="4" w:space="0"/>
            </w:tcBorders>
            <w:noWrap/>
            <w:vAlign w:val="center"/>
          </w:tcPr>
          <w:p w14:paraId="71A49A94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Forward</w:t>
            </w:r>
          </w:p>
        </w:tc>
        <w:tc>
          <w:tcPr>
            <w:tcW w:w="2602" w:type="pct"/>
            <w:tcBorders>
              <w:top w:val="single" w:color="auto" w:sz="4" w:space="0"/>
            </w:tcBorders>
            <w:noWrap/>
            <w:vAlign w:val="center"/>
          </w:tcPr>
          <w:p w14:paraId="52CB11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CCGAAGCAGGGAGCTTTG</w:t>
            </w:r>
          </w:p>
        </w:tc>
      </w:tr>
      <w:tr w14:paraId="7B34F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  <w:vAlign w:val="center"/>
          </w:tcPr>
          <w:p w14:paraId="15FC510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177" w:type="pct"/>
            <w:noWrap/>
            <w:vAlign w:val="center"/>
          </w:tcPr>
          <w:p w14:paraId="0BBC38E8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Reverse</w:t>
            </w:r>
          </w:p>
        </w:tc>
        <w:tc>
          <w:tcPr>
            <w:tcW w:w="2602" w:type="pct"/>
            <w:noWrap/>
            <w:vAlign w:val="center"/>
          </w:tcPr>
          <w:p w14:paraId="4EDFCFD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CGGTGCATGCCTTCACAA</w:t>
            </w:r>
          </w:p>
        </w:tc>
      </w:tr>
      <w:tr w14:paraId="5BF0D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  <w:vAlign w:val="center"/>
          </w:tcPr>
          <w:p w14:paraId="39F5501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MTHFR C677T</w:t>
            </w:r>
          </w:p>
        </w:tc>
        <w:tc>
          <w:tcPr>
            <w:tcW w:w="1177" w:type="pct"/>
            <w:noWrap/>
            <w:vAlign w:val="center"/>
          </w:tcPr>
          <w:p w14:paraId="130E2ABF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Forward</w:t>
            </w:r>
          </w:p>
        </w:tc>
        <w:tc>
          <w:tcPr>
            <w:tcW w:w="2602" w:type="pct"/>
            <w:noWrap/>
            <w:vAlign w:val="center"/>
          </w:tcPr>
          <w:p w14:paraId="218A91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CTCTTCTACCTGAAGAGCAAGTCC</w:t>
            </w:r>
          </w:p>
        </w:tc>
      </w:tr>
      <w:tr w14:paraId="1F9D4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tcBorders>
              <w:bottom w:val="single" w:color="auto" w:sz="4" w:space="0"/>
            </w:tcBorders>
            <w:noWrap/>
            <w:vAlign w:val="center"/>
          </w:tcPr>
          <w:p w14:paraId="41F352C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177" w:type="pct"/>
            <w:tcBorders>
              <w:bottom w:val="single" w:color="auto" w:sz="4" w:space="0"/>
            </w:tcBorders>
            <w:noWrap/>
            <w:vAlign w:val="center"/>
          </w:tcPr>
          <w:p w14:paraId="2EBA71FB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Reverse</w:t>
            </w:r>
          </w:p>
        </w:tc>
        <w:tc>
          <w:tcPr>
            <w:tcW w:w="2602" w:type="pct"/>
            <w:tcBorders>
              <w:bottom w:val="single" w:color="auto" w:sz="4" w:space="0"/>
            </w:tcBorders>
            <w:noWrap/>
            <w:vAlign w:val="center"/>
          </w:tcPr>
          <w:p w14:paraId="41B389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CACTCCAGCATCACTCACTTTGT</w:t>
            </w:r>
          </w:p>
        </w:tc>
      </w:tr>
    </w:tbl>
    <w:p w14:paraId="6F275A42">
      <w:pPr>
        <w:widowControl/>
        <w:adjustRightInd w:val="0"/>
        <w:snapToGrid w:val="0"/>
        <w:rPr>
          <w:rFonts w:ascii="Times New Roman" w:hAnsi="Times New Roman" w:eastAsia="宋体" w:cs="Times New Roman"/>
          <w:kern w:val="0"/>
          <w:sz w:val="24"/>
          <w:shd w:val="clear" w:color="auto" w:fill="FFFFFF"/>
          <w:lang w:bidi="ar"/>
        </w:rPr>
      </w:pPr>
    </w:p>
    <w:p w14:paraId="53BE7D4D">
      <w:pP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shd w:val="clear" w:color="auto" w:fill="FFFFFF"/>
          <w:lang w:bidi="ar"/>
        </w:rPr>
      </w:pPr>
    </w:p>
    <w:tbl>
      <w:tblPr>
        <w:tblStyle w:val="4"/>
        <w:tblW w:w="74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744"/>
        <w:gridCol w:w="1468"/>
        <w:gridCol w:w="2385"/>
      </w:tblGrid>
      <w:tr w14:paraId="3A5BF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05" w:type="dxa"/>
            <w:gridSpan w:val="4"/>
            <w:tcBorders>
              <w:bottom w:val="single" w:color="auto" w:sz="4" w:space="0"/>
            </w:tcBorders>
            <w:noWrap/>
            <w:vAlign w:val="center"/>
          </w:tcPr>
          <w:p w14:paraId="4DD9DF65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Table S2. Distributions of MTHFR A1298C or C677T genotype in normal glucose tolerance group.</w:t>
            </w:r>
          </w:p>
        </w:tc>
      </w:tr>
      <w:tr w14:paraId="20AB2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808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572811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Gene</w:t>
            </w:r>
          </w:p>
        </w:tc>
        <w:tc>
          <w:tcPr>
            <w:tcW w:w="174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4CE6DF3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Genotype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E5CD8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Case (n%)</w:t>
            </w:r>
          </w:p>
        </w:tc>
        <w:tc>
          <w:tcPr>
            <w:tcW w:w="2385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AD8225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 xml:space="preserve"> for HWE</w:t>
            </w:r>
          </w:p>
        </w:tc>
      </w:tr>
      <w:tr w14:paraId="0CA0A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80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6231AF65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MTHFR A1298C</w:t>
            </w:r>
          </w:p>
        </w:tc>
        <w:tc>
          <w:tcPr>
            <w:tcW w:w="1744" w:type="dxa"/>
            <w:tcBorders>
              <w:top w:val="single" w:color="auto" w:sz="4" w:space="0"/>
            </w:tcBorders>
            <w:noWrap/>
            <w:vAlign w:val="center"/>
          </w:tcPr>
          <w:p w14:paraId="2722B11A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AA</w:t>
            </w:r>
          </w:p>
        </w:tc>
        <w:tc>
          <w:tcPr>
            <w:tcW w:w="1468" w:type="dxa"/>
            <w:tcBorders>
              <w:top w:val="single" w:color="auto" w:sz="4" w:space="0"/>
            </w:tcBorders>
            <w:noWrap/>
            <w:vAlign w:val="center"/>
          </w:tcPr>
          <w:p w14:paraId="78F0EC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760 </w:t>
            </w:r>
            <w:r>
              <w:rPr>
                <w:rFonts w:ascii="Times New Roman" w:hAnsi="Times New Roman" w:eastAsia="宋体" w:cs="Times New Roman"/>
                <w:szCs w:val="21"/>
              </w:rPr>
              <w:t>(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64.35</w:t>
            </w:r>
            <w:r>
              <w:rPr>
                <w:rFonts w:ascii="Times New Roman" w:hAnsi="Times New Roman" w:eastAsia="宋体" w:cs="Times New Roman"/>
                <w:szCs w:val="21"/>
              </w:rPr>
              <w:t>%)</w:t>
            </w:r>
          </w:p>
        </w:tc>
        <w:tc>
          <w:tcPr>
            <w:tcW w:w="2385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4D9FF5AC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0.781</w:t>
            </w:r>
          </w:p>
        </w:tc>
      </w:tr>
      <w:tr w14:paraId="7D223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808" w:type="dxa"/>
            <w:vMerge w:val="continue"/>
            <w:noWrap/>
            <w:vAlign w:val="center"/>
          </w:tcPr>
          <w:p w14:paraId="09C6F9EA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744" w:type="dxa"/>
            <w:noWrap/>
            <w:vAlign w:val="center"/>
          </w:tcPr>
          <w:p w14:paraId="316E35E3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AC</w:t>
            </w:r>
          </w:p>
        </w:tc>
        <w:tc>
          <w:tcPr>
            <w:tcW w:w="1468" w:type="dxa"/>
            <w:noWrap/>
            <w:vAlign w:val="center"/>
          </w:tcPr>
          <w:p w14:paraId="6C1621E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366 </w:t>
            </w:r>
            <w:r>
              <w:rPr>
                <w:rFonts w:ascii="Times New Roman" w:hAnsi="Times New Roman" w:eastAsia="宋体" w:cs="Times New Roman"/>
                <w:szCs w:val="21"/>
              </w:rPr>
              <w:t>(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30.99</w:t>
            </w:r>
            <w:r>
              <w:rPr>
                <w:rFonts w:ascii="Times New Roman" w:hAnsi="Times New Roman" w:eastAsia="宋体" w:cs="Times New Roman"/>
                <w:szCs w:val="21"/>
              </w:rPr>
              <w:t>%)</w:t>
            </w:r>
          </w:p>
        </w:tc>
        <w:tc>
          <w:tcPr>
            <w:tcW w:w="2385" w:type="dxa"/>
            <w:vMerge w:val="continue"/>
            <w:noWrap/>
            <w:vAlign w:val="center"/>
          </w:tcPr>
          <w:p w14:paraId="2820607C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3BFA7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808" w:type="dxa"/>
            <w:vMerge w:val="continue"/>
            <w:noWrap/>
            <w:vAlign w:val="center"/>
          </w:tcPr>
          <w:p w14:paraId="23CC9F18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744" w:type="dxa"/>
            <w:noWrap/>
            <w:vAlign w:val="center"/>
          </w:tcPr>
          <w:p w14:paraId="7C001B2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CC</w:t>
            </w:r>
          </w:p>
        </w:tc>
        <w:tc>
          <w:tcPr>
            <w:tcW w:w="1468" w:type="dxa"/>
            <w:noWrap/>
            <w:vAlign w:val="center"/>
          </w:tcPr>
          <w:p w14:paraId="2B1FAE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55 </w:t>
            </w:r>
            <w:r>
              <w:rPr>
                <w:rFonts w:ascii="Times New Roman" w:hAnsi="Times New Roman" w:eastAsia="宋体" w:cs="Times New Roman"/>
                <w:szCs w:val="21"/>
              </w:rPr>
              <w:t>(4.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66</w:t>
            </w:r>
            <w:r>
              <w:rPr>
                <w:rFonts w:ascii="Times New Roman" w:hAnsi="Times New Roman" w:eastAsia="宋体" w:cs="Times New Roman"/>
                <w:szCs w:val="21"/>
              </w:rPr>
              <w:t>%)</w:t>
            </w:r>
          </w:p>
        </w:tc>
        <w:tc>
          <w:tcPr>
            <w:tcW w:w="2385" w:type="dxa"/>
            <w:vMerge w:val="continue"/>
            <w:noWrap/>
            <w:vAlign w:val="center"/>
          </w:tcPr>
          <w:p w14:paraId="796893C9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0AC35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808" w:type="dxa"/>
            <w:vMerge w:val="restart"/>
            <w:tcBorders>
              <w:bottom w:val="nil"/>
            </w:tcBorders>
            <w:noWrap/>
            <w:vAlign w:val="center"/>
          </w:tcPr>
          <w:p w14:paraId="12D1437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MTHFR C677T</w:t>
            </w:r>
          </w:p>
        </w:tc>
        <w:tc>
          <w:tcPr>
            <w:tcW w:w="1744" w:type="dxa"/>
            <w:tcBorders>
              <w:bottom w:val="nil"/>
            </w:tcBorders>
            <w:noWrap/>
            <w:vAlign w:val="center"/>
          </w:tcPr>
          <w:p w14:paraId="0116EF7A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CC</w:t>
            </w:r>
          </w:p>
        </w:tc>
        <w:tc>
          <w:tcPr>
            <w:tcW w:w="1468" w:type="dxa"/>
            <w:tcBorders>
              <w:bottom w:val="nil"/>
            </w:tcBorders>
            <w:noWrap/>
            <w:vAlign w:val="center"/>
          </w:tcPr>
          <w:p w14:paraId="67EDBF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615 </w:t>
            </w:r>
            <w:r>
              <w:rPr>
                <w:rFonts w:ascii="Times New Roman" w:hAnsi="Times New Roman" w:eastAsia="宋体" w:cs="Times New Roman"/>
                <w:szCs w:val="21"/>
              </w:rPr>
              <w:t>(5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2.07</w:t>
            </w:r>
            <w:r>
              <w:rPr>
                <w:rFonts w:ascii="Times New Roman" w:hAnsi="Times New Roman" w:eastAsia="宋体" w:cs="Times New Roman"/>
                <w:szCs w:val="21"/>
              </w:rPr>
              <w:t>%)</w:t>
            </w:r>
          </w:p>
        </w:tc>
        <w:tc>
          <w:tcPr>
            <w:tcW w:w="2385" w:type="dxa"/>
            <w:vMerge w:val="restart"/>
            <w:tcBorders>
              <w:bottom w:val="nil"/>
            </w:tcBorders>
            <w:noWrap/>
            <w:vAlign w:val="center"/>
          </w:tcPr>
          <w:p w14:paraId="26D314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0.057</w:t>
            </w:r>
          </w:p>
        </w:tc>
      </w:tr>
      <w:tr w14:paraId="33C3E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vMerge w:val="continue"/>
            <w:tcBorders>
              <w:top w:val="nil"/>
            </w:tcBorders>
            <w:noWrap/>
          </w:tcPr>
          <w:p w14:paraId="03D4E80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744" w:type="dxa"/>
            <w:tcBorders>
              <w:top w:val="nil"/>
            </w:tcBorders>
            <w:noWrap/>
          </w:tcPr>
          <w:p w14:paraId="19D6328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CT</w:t>
            </w:r>
          </w:p>
        </w:tc>
        <w:tc>
          <w:tcPr>
            <w:tcW w:w="1468" w:type="dxa"/>
            <w:tcBorders>
              <w:top w:val="nil"/>
            </w:tcBorders>
            <w:noWrap/>
            <w:vAlign w:val="bottom"/>
          </w:tcPr>
          <w:p w14:paraId="495C50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446 </w:t>
            </w:r>
            <w:r>
              <w:rPr>
                <w:rFonts w:ascii="Times New Roman" w:hAnsi="Times New Roman" w:eastAsia="宋体" w:cs="Times New Roman"/>
                <w:szCs w:val="21"/>
              </w:rPr>
              <w:t>(3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7.77</w:t>
            </w:r>
            <w:r>
              <w:rPr>
                <w:rFonts w:ascii="Times New Roman" w:hAnsi="Times New Roman" w:eastAsia="宋体" w:cs="Times New Roman"/>
                <w:szCs w:val="21"/>
              </w:rPr>
              <w:t>%)</w:t>
            </w:r>
          </w:p>
        </w:tc>
        <w:tc>
          <w:tcPr>
            <w:tcW w:w="2385" w:type="dxa"/>
            <w:vMerge w:val="continue"/>
            <w:tcBorders>
              <w:top w:val="nil"/>
            </w:tcBorders>
            <w:noWrap/>
            <w:vAlign w:val="bottom"/>
          </w:tcPr>
          <w:p w14:paraId="757C11CD"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0215A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08" w:type="dxa"/>
            <w:vMerge w:val="continue"/>
            <w:tcBorders>
              <w:bottom w:val="single" w:color="auto" w:sz="4" w:space="0"/>
            </w:tcBorders>
            <w:noWrap/>
          </w:tcPr>
          <w:p w14:paraId="7EA7E01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744" w:type="dxa"/>
            <w:tcBorders>
              <w:bottom w:val="single" w:color="auto" w:sz="4" w:space="0"/>
            </w:tcBorders>
            <w:noWrap/>
          </w:tcPr>
          <w:p w14:paraId="094C1D7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TT</w:t>
            </w:r>
          </w:p>
        </w:tc>
        <w:tc>
          <w:tcPr>
            <w:tcW w:w="1468" w:type="dxa"/>
            <w:tcBorders>
              <w:bottom w:val="single" w:color="auto" w:sz="4" w:space="0"/>
            </w:tcBorders>
            <w:noWrap/>
            <w:vAlign w:val="bottom"/>
          </w:tcPr>
          <w:p w14:paraId="4812E2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 xml:space="preserve">120 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(10.</w:t>
            </w: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16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%)</w:t>
            </w:r>
          </w:p>
        </w:tc>
        <w:tc>
          <w:tcPr>
            <w:tcW w:w="2385" w:type="dxa"/>
            <w:vMerge w:val="continue"/>
            <w:tcBorders>
              <w:bottom w:val="single" w:color="auto" w:sz="4" w:space="0"/>
            </w:tcBorders>
            <w:noWrap/>
            <w:vAlign w:val="bottom"/>
          </w:tcPr>
          <w:p w14:paraId="1782702A"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</w:tr>
    </w:tbl>
    <w:p w14:paraId="142AFBFD">
      <w:pPr>
        <w:rPr>
          <w:rFonts w:ascii="Times New Roman" w:hAnsi="Times New Roman" w:cs="Times New Roman"/>
          <w:sz w:val="24"/>
        </w:rPr>
      </w:pPr>
    </w:p>
    <w:p w14:paraId="4D067104">
      <w:pPr>
        <w:rPr>
          <w:rFonts w:ascii="Times New Roman" w:hAnsi="Times New Roman" w:cs="Times New Roman"/>
          <w:sz w:val="24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4"/>
        <w:gridCol w:w="2434"/>
        <w:gridCol w:w="3898"/>
      </w:tblGrid>
      <w:tr w14:paraId="19A7F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000" w:type="pct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FBE7C0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. Homocysteine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Concentrations by Genotype.</w:t>
            </w:r>
          </w:p>
        </w:tc>
      </w:tr>
      <w:tr w14:paraId="67796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CDB073B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Gene</w:t>
            </w:r>
          </w:p>
        </w:tc>
        <w:tc>
          <w:tcPr>
            <w:tcW w:w="1374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9B14C02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Genotype</w:t>
            </w:r>
          </w:p>
        </w:tc>
        <w:tc>
          <w:tcPr>
            <w:tcW w:w="2201" w:type="pc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1BDBF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Homocysteine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Concentrations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μmol/L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)</w:t>
            </w:r>
          </w:p>
        </w:tc>
      </w:tr>
      <w:tr w14:paraId="3CEF6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3805E38D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MTHFR A1298C</w:t>
            </w:r>
          </w:p>
        </w:tc>
        <w:tc>
          <w:tcPr>
            <w:tcW w:w="1374" w:type="pct"/>
            <w:tcBorders>
              <w:top w:val="single" w:color="auto" w:sz="4" w:space="0"/>
            </w:tcBorders>
            <w:noWrap/>
            <w:vAlign w:val="center"/>
          </w:tcPr>
          <w:p w14:paraId="54F7705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AA</w:t>
            </w:r>
          </w:p>
        </w:tc>
        <w:tc>
          <w:tcPr>
            <w:tcW w:w="2201" w:type="pct"/>
            <w:tcBorders>
              <w:top w:val="single" w:color="auto" w:sz="4" w:space="0"/>
            </w:tcBorders>
            <w:noWrap/>
            <w:vAlign w:val="center"/>
          </w:tcPr>
          <w:p w14:paraId="339D84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6.45 ± 1.44</w:t>
            </w:r>
          </w:p>
        </w:tc>
      </w:tr>
      <w:tr w14:paraId="781CE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vMerge w:val="continue"/>
            <w:noWrap/>
            <w:vAlign w:val="center"/>
          </w:tcPr>
          <w:p w14:paraId="4773C14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noWrap/>
            <w:vAlign w:val="center"/>
          </w:tcPr>
          <w:p w14:paraId="3EC9844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AC</w:t>
            </w:r>
          </w:p>
        </w:tc>
        <w:tc>
          <w:tcPr>
            <w:tcW w:w="2201" w:type="pct"/>
            <w:noWrap/>
            <w:vAlign w:val="bottom"/>
          </w:tcPr>
          <w:p w14:paraId="53E44A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6.47 ± 1.42</w:t>
            </w:r>
          </w:p>
        </w:tc>
      </w:tr>
      <w:tr w14:paraId="298FA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vMerge w:val="continue"/>
            <w:noWrap/>
            <w:vAlign w:val="center"/>
          </w:tcPr>
          <w:p w14:paraId="0806EF7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noWrap/>
            <w:vAlign w:val="center"/>
          </w:tcPr>
          <w:p w14:paraId="0D1E5B37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CC</w:t>
            </w:r>
          </w:p>
        </w:tc>
        <w:tc>
          <w:tcPr>
            <w:tcW w:w="2201" w:type="pct"/>
            <w:noWrap/>
            <w:vAlign w:val="bottom"/>
          </w:tcPr>
          <w:p w14:paraId="609E07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6.25 ± 1.93</w:t>
            </w:r>
          </w:p>
        </w:tc>
      </w:tr>
      <w:tr w14:paraId="29A49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vMerge w:val="continue"/>
            <w:noWrap/>
            <w:vAlign w:val="center"/>
          </w:tcPr>
          <w:p w14:paraId="0818C193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noWrap/>
            <w:vAlign w:val="center"/>
          </w:tcPr>
          <w:p w14:paraId="38C6C8B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Dominant model</w:t>
            </w:r>
          </w:p>
        </w:tc>
        <w:tc>
          <w:tcPr>
            <w:tcW w:w="2201" w:type="pct"/>
            <w:noWrap/>
            <w:vAlign w:val="center"/>
          </w:tcPr>
          <w:p w14:paraId="3D0FFE8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6.44 ± 1.49</w:t>
            </w:r>
          </w:p>
        </w:tc>
      </w:tr>
      <w:tr w14:paraId="1C2A4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vMerge w:val="continue"/>
            <w:noWrap/>
            <w:vAlign w:val="center"/>
          </w:tcPr>
          <w:p w14:paraId="2AF2F20A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noWrap/>
          </w:tcPr>
          <w:p w14:paraId="453C23DA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Additive model</w:t>
            </w:r>
          </w:p>
        </w:tc>
        <w:tc>
          <w:tcPr>
            <w:tcW w:w="2201" w:type="pct"/>
            <w:noWrap/>
            <w:vAlign w:val="center"/>
          </w:tcPr>
          <w:p w14:paraId="2F3841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6.44 ± 1.47</w:t>
            </w:r>
          </w:p>
        </w:tc>
      </w:tr>
      <w:tr w14:paraId="7B302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1DFFDF6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tcBorders>
              <w:bottom w:val="single" w:color="auto" w:sz="4" w:space="0"/>
            </w:tcBorders>
            <w:noWrap/>
            <w:vAlign w:val="center"/>
          </w:tcPr>
          <w:p w14:paraId="7C2A0DC3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Recessive model</w:t>
            </w:r>
          </w:p>
        </w:tc>
        <w:tc>
          <w:tcPr>
            <w:tcW w:w="2201" w:type="pct"/>
            <w:tcBorders>
              <w:bottom w:val="single" w:color="auto" w:sz="4" w:space="0"/>
            </w:tcBorders>
            <w:noWrap/>
            <w:vAlign w:val="center"/>
          </w:tcPr>
          <w:p w14:paraId="745EFD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6.46 ± 1.43</w:t>
            </w:r>
          </w:p>
        </w:tc>
      </w:tr>
      <w:tr w14:paraId="582CE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25" w:type="pct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025CFFDC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MTHFR C677T</w:t>
            </w:r>
          </w:p>
        </w:tc>
        <w:tc>
          <w:tcPr>
            <w:tcW w:w="1374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44D05CC9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CC</w:t>
            </w:r>
          </w:p>
        </w:tc>
        <w:tc>
          <w:tcPr>
            <w:tcW w:w="2201" w:type="pc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088457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6.35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 xml:space="preserve"> ± 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1.43</w:t>
            </w:r>
          </w:p>
        </w:tc>
      </w:tr>
      <w:tr w14:paraId="694DF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5" w:type="pct"/>
            <w:vMerge w:val="continue"/>
            <w:noWrap/>
          </w:tcPr>
          <w:p w14:paraId="4E3F12D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tcBorders>
              <w:top w:val="nil"/>
            </w:tcBorders>
            <w:noWrap/>
          </w:tcPr>
          <w:p w14:paraId="64C1DD4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CT</w:t>
            </w:r>
          </w:p>
        </w:tc>
        <w:tc>
          <w:tcPr>
            <w:tcW w:w="2201" w:type="pct"/>
            <w:tcBorders>
              <w:top w:val="nil"/>
            </w:tcBorders>
            <w:noWrap/>
            <w:vAlign w:val="center"/>
          </w:tcPr>
          <w:p w14:paraId="7C51CDB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6.53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1.45</w:t>
            </w:r>
          </w:p>
        </w:tc>
      </w:tr>
      <w:tr w14:paraId="64FE5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5" w:type="pct"/>
            <w:vMerge w:val="continue"/>
            <w:noWrap/>
          </w:tcPr>
          <w:p w14:paraId="6E9C0349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noWrap/>
          </w:tcPr>
          <w:p w14:paraId="7236EB2C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TT</w:t>
            </w:r>
          </w:p>
        </w:tc>
        <w:tc>
          <w:tcPr>
            <w:tcW w:w="2201" w:type="pct"/>
            <w:noWrap/>
            <w:vAlign w:val="center"/>
          </w:tcPr>
          <w:p w14:paraId="3FE8E74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6.70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1.62</w:t>
            </w:r>
          </w:p>
        </w:tc>
      </w:tr>
      <w:tr w14:paraId="62217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5" w:type="pct"/>
            <w:vMerge w:val="continue"/>
            <w:noWrap/>
          </w:tcPr>
          <w:p w14:paraId="0CC0409D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noWrap/>
            <w:vAlign w:val="center"/>
          </w:tcPr>
          <w:p w14:paraId="467B8E7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Dominant model</w:t>
            </w:r>
          </w:p>
        </w:tc>
        <w:tc>
          <w:tcPr>
            <w:tcW w:w="2201" w:type="pct"/>
            <w:noWrap/>
            <w:vAlign w:val="bottom"/>
          </w:tcPr>
          <w:p w14:paraId="0D1462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6.56 ± 1.48</w:t>
            </w:r>
          </w:p>
        </w:tc>
      </w:tr>
      <w:tr w14:paraId="4F0B1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5" w:type="pct"/>
            <w:vMerge w:val="continue"/>
            <w:noWrap/>
          </w:tcPr>
          <w:p w14:paraId="39914E1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noWrap/>
          </w:tcPr>
          <w:p w14:paraId="166DD0C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Additive model</w:t>
            </w:r>
          </w:p>
        </w:tc>
        <w:tc>
          <w:tcPr>
            <w:tcW w:w="2201" w:type="pct"/>
            <w:noWrap/>
            <w:vAlign w:val="bottom"/>
          </w:tcPr>
          <w:p w14:paraId="0DF019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6.42 ± 1.44</w:t>
            </w:r>
          </w:p>
        </w:tc>
      </w:tr>
      <w:tr w14:paraId="18B83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25" w:type="pct"/>
            <w:vMerge w:val="continue"/>
            <w:tcBorders>
              <w:bottom w:val="single" w:color="auto" w:sz="4" w:space="0"/>
            </w:tcBorders>
            <w:noWrap/>
          </w:tcPr>
          <w:p w14:paraId="77A954B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4" w:type="pct"/>
            <w:tcBorders>
              <w:bottom w:val="single" w:color="auto" w:sz="4" w:space="0"/>
            </w:tcBorders>
            <w:noWrap/>
            <w:vAlign w:val="center"/>
          </w:tcPr>
          <w:p w14:paraId="36231F09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Recessive model</w:t>
            </w:r>
          </w:p>
        </w:tc>
        <w:tc>
          <w:tcPr>
            <w:tcW w:w="2201" w:type="pct"/>
            <w:tcBorders>
              <w:bottom w:val="single" w:color="auto" w:sz="4" w:space="0"/>
            </w:tcBorders>
            <w:noWrap/>
            <w:vAlign w:val="bottom"/>
          </w:tcPr>
          <w:p w14:paraId="7C6A652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6.40 ± 1.46</w:t>
            </w:r>
          </w:p>
        </w:tc>
      </w:tr>
    </w:tbl>
    <w:p w14:paraId="76F06147">
      <w:pPr>
        <w:rPr>
          <w:rFonts w:hint="eastAsia" w:ascii="Times New Roman" w:hAnsi="Times New Roman" w:cs="Times New Roman"/>
          <w:sz w:val="24"/>
        </w:rPr>
      </w:pPr>
    </w:p>
    <w:p w14:paraId="5011E5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9952FB4">
      <w:pPr>
        <w:rPr>
          <w:rFonts w:ascii="Times New Roman" w:hAnsi="Times New Roman" w:cs="Times New Roman"/>
          <w:sz w:val="24"/>
        </w:rPr>
      </w:pPr>
    </w:p>
    <w:tbl>
      <w:tblPr>
        <w:tblStyle w:val="4"/>
        <w:tblW w:w="8173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1782"/>
        <w:gridCol w:w="1500"/>
        <w:gridCol w:w="2259"/>
        <w:gridCol w:w="785"/>
      </w:tblGrid>
      <w:tr w14:paraId="6D359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173" w:type="dxa"/>
            <w:gridSpan w:val="5"/>
            <w:noWrap/>
            <w:vAlign w:val="center"/>
          </w:tcPr>
          <w:p w14:paraId="4B53E99A">
            <w:pPr>
              <w:rPr>
                <w:rFonts w:hint="eastAsia" w:ascii="宋体" w:hAnsi="宋体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. Associations of postpartum impaired glucose tolerance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risk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and 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MTHFR C677T 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 w:bidi="ar"/>
              </w:rPr>
              <w:t>dominant model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 xml:space="preserve"> stratifie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d by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pre-BMI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categories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</w:p>
        </w:tc>
      </w:tr>
      <w:tr w14:paraId="17F10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3B137D4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BMI status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</w:tcPr>
          <w:p w14:paraId="75B9EC06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MTHFR C677T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</w:tcPr>
          <w:p w14:paraId="78A09D35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Case/Control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4BC045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eastAsia" w:eastAsia="宋体"/>
                <w:lang w:bidi="ar"/>
              </w:rPr>
              <w:t>a</w:t>
            </w:r>
            <w:r>
              <w:rPr>
                <w:rStyle w:val="8"/>
                <w:rFonts w:eastAsia="宋体"/>
                <w:lang w:bidi="ar"/>
              </w:rPr>
              <w:t>OR (95% CI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BFF9B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</w:p>
        </w:tc>
      </w:tr>
      <w:tr w14:paraId="6D05B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15934CB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Normal weight</w:t>
            </w:r>
          </w:p>
        </w:tc>
        <w:tc>
          <w:tcPr>
            <w:tcW w:w="0" w:type="auto"/>
            <w:noWrap/>
          </w:tcPr>
          <w:p w14:paraId="4EF1F7DE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33BEEA1F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3E28855F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33916CBF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2DCBE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0E3FECAB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0" w:type="auto"/>
            <w:noWrap/>
          </w:tcPr>
          <w:p w14:paraId="45671F0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</w:t>
            </w:r>
          </w:p>
        </w:tc>
        <w:tc>
          <w:tcPr>
            <w:tcW w:w="0" w:type="auto"/>
            <w:noWrap/>
            <w:vAlign w:val="center"/>
          </w:tcPr>
          <w:p w14:paraId="201E579D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272/288</w:t>
            </w:r>
          </w:p>
        </w:tc>
        <w:tc>
          <w:tcPr>
            <w:tcW w:w="0" w:type="auto"/>
            <w:noWrap/>
          </w:tcPr>
          <w:p w14:paraId="4713F67B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0" w:type="auto"/>
            <w:noWrap/>
          </w:tcPr>
          <w:p w14:paraId="63E39B5B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13518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02819861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40BF7E0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CT+TT</w:t>
            </w:r>
          </w:p>
        </w:tc>
        <w:tc>
          <w:tcPr>
            <w:tcW w:w="0" w:type="auto"/>
            <w:noWrap/>
          </w:tcPr>
          <w:p w14:paraId="0D51D21F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103/134</w:t>
            </w:r>
          </w:p>
        </w:tc>
        <w:tc>
          <w:tcPr>
            <w:tcW w:w="0" w:type="auto"/>
            <w:noWrap/>
          </w:tcPr>
          <w:p w14:paraId="16F6AD0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bidi="ar"/>
              </w:rPr>
              <w:t>0.71(0.47-1.0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noWrap/>
          </w:tcPr>
          <w:p w14:paraId="1057CC9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0.100</w:t>
            </w:r>
          </w:p>
        </w:tc>
      </w:tr>
      <w:tr w14:paraId="78E28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39BFFD1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Underweight</w:t>
            </w:r>
          </w:p>
        </w:tc>
        <w:tc>
          <w:tcPr>
            <w:tcW w:w="0" w:type="auto"/>
            <w:noWrap/>
          </w:tcPr>
          <w:p w14:paraId="155C778E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1763382A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noWrap/>
          </w:tcPr>
          <w:p w14:paraId="546E51DD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27476460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3046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26AB701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0" w:type="auto"/>
            <w:noWrap/>
          </w:tcPr>
          <w:p w14:paraId="19F81346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</w:t>
            </w:r>
          </w:p>
        </w:tc>
        <w:tc>
          <w:tcPr>
            <w:tcW w:w="0" w:type="auto"/>
            <w:noWrap/>
            <w:vAlign w:val="center"/>
          </w:tcPr>
          <w:p w14:paraId="5D083401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54/62</w:t>
            </w:r>
          </w:p>
        </w:tc>
        <w:tc>
          <w:tcPr>
            <w:tcW w:w="0" w:type="auto"/>
            <w:noWrap/>
          </w:tcPr>
          <w:p w14:paraId="1EBFE075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0" w:type="auto"/>
            <w:noWrap/>
          </w:tcPr>
          <w:p w14:paraId="4212B707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0D372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3C29A67A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24E478B4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CT+TT</w:t>
            </w:r>
          </w:p>
        </w:tc>
        <w:tc>
          <w:tcPr>
            <w:tcW w:w="0" w:type="auto"/>
            <w:noWrap/>
          </w:tcPr>
          <w:p w14:paraId="6BF757D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13/19</w:t>
            </w:r>
          </w:p>
        </w:tc>
        <w:tc>
          <w:tcPr>
            <w:tcW w:w="0" w:type="auto"/>
            <w:noWrap/>
          </w:tcPr>
          <w:p w14:paraId="0AF1099B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noWrap/>
          </w:tcPr>
          <w:p w14:paraId="5C0A2B9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bidi="ar"/>
              </w:rPr>
              <w:t>0.564</w:t>
            </w:r>
          </w:p>
        </w:tc>
      </w:tr>
      <w:tr w14:paraId="7C174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17E41C30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0" w:type="auto"/>
            <w:noWrap/>
          </w:tcPr>
          <w:p w14:paraId="251A2E10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</w:tcPr>
          <w:p w14:paraId="7865E05E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noWrap/>
          </w:tcPr>
          <w:p w14:paraId="775D7E1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58BA3F3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52D14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23E8D3E6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0" w:type="auto"/>
            <w:noWrap/>
          </w:tcPr>
          <w:p w14:paraId="3615D5A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</w:t>
            </w:r>
          </w:p>
        </w:tc>
        <w:tc>
          <w:tcPr>
            <w:tcW w:w="0" w:type="auto"/>
            <w:noWrap/>
            <w:vAlign w:val="center"/>
          </w:tcPr>
          <w:p w14:paraId="7EB1485E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71/65</w:t>
            </w:r>
          </w:p>
        </w:tc>
        <w:tc>
          <w:tcPr>
            <w:tcW w:w="0" w:type="auto"/>
            <w:noWrap/>
          </w:tcPr>
          <w:p w14:paraId="723237E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0" w:type="auto"/>
            <w:noWrap/>
          </w:tcPr>
          <w:p w14:paraId="0B979F91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4E7C0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40B31BAF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3239CC89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CT+TT</w:t>
            </w:r>
          </w:p>
        </w:tc>
        <w:tc>
          <w:tcPr>
            <w:tcW w:w="0" w:type="auto"/>
            <w:noWrap/>
          </w:tcPr>
          <w:p w14:paraId="6E6873F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25/25</w:t>
            </w:r>
          </w:p>
        </w:tc>
        <w:tc>
          <w:tcPr>
            <w:tcW w:w="0" w:type="auto"/>
            <w:noWrap/>
          </w:tcPr>
          <w:p w14:paraId="3834CC0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1.75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(0.68-4.5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0" w:type="auto"/>
            <w:noWrap/>
          </w:tcPr>
          <w:p w14:paraId="5C83FC89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0.247</w:t>
            </w:r>
          </w:p>
        </w:tc>
      </w:tr>
      <w:tr w14:paraId="31B9E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06E6825A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Obesity</w:t>
            </w:r>
          </w:p>
        </w:tc>
        <w:tc>
          <w:tcPr>
            <w:tcW w:w="0" w:type="auto"/>
            <w:noWrap/>
          </w:tcPr>
          <w:p w14:paraId="542367B3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6D4E0FEC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noWrap/>
          </w:tcPr>
          <w:p w14:paraId="66C5BF0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4B3E57C5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6D732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44D6EFD4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0" w:type="auto"/>
            <w:noWrap/>
          </w:tcPr>
          <w:p w14:paraId="04BB6173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</w:t>
            </w:r>
          </w:p>
        </w:tc>
        <w:tc>
          <w:tcPr>
            <w:tcW w:w="0" w:type="auto"/>
            <w:noWrap/>
            <w:vAlign w:val="center"/>
          </w:tcPr>
          <w:p w14:paraId="23962C8E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14/13</w:t>
            </w:r>
          </w:p>
        </w:tc>
        <w:tc>
          <w:tcPr>
            <w:tcW w:w="0" w:type="auto"/>
            <w:noWrap/>
          </w:tcPr>
          <w:p w14:paraId="53380AC4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0" w:type="auto"/>
            <w:noWrap/>
          </w:tcPr>
          <w:p w14:paraId="2801F079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29FE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74DFF43D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EA9B4E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CT+TT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5F8D0B2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14/9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0F1DB3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bidi="ar"/>
              </w:rPr>
              <w:t>31.0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bidi="ar"/>
              </w:rPr>
              <w:t xml:space="preserve">4 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bidi="ar"/>
              </w:rPr>
              <w:t>(0.15-6402.58)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972C29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0.206</w:t>
            </w:r>
          </w:p>
        </w:tc>
      </w:tr>
    </w:tbl>
    <w:p w14:paraId="015C583E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a. Adjusted for: </w:t>
      </w:r>
      <w:r>
        <w:rPr>
          <w:rFonts w:ascii="Times New Roman" w:hAnsi="Times New Roman" w:cs="Times New Roman"/>
        </w:rPr>
        <w:t>education</w:t>
      </w:r>
      <w:r>
        <w:rPr>
          <w:rFonts w:hint="eastAsia"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>, maternal age, parity, gestational age, delivery</w:t>
      </w:r>
      <w:r>
        <w:rPr>
          <w:rFonts w:hint="eastAsia" w:ascii="Times New Roman" w:hAnsi="Times New Roman" w:cs="Times New Roman"/>
        </w:rPr>
        <w:t xml:space="preserve"> mode, infant sex, time of postpartum OGTT, family history of T2D</w:t>
      </w:r>
      <w:r>
        <w:rPr>
          <w:rFonts w:hint="eastAsia" w:ascii="Times New Roman" w:hAnsi="Times New Roman" w:cs="Times New Roman"/>
          <w:lang w:val="en-US" w:eastAsia="zh-CN"/>
        </w:rPr>
        <w:t>M</w:t>
      </w:r>
      <w:bookmarkStart w:id="1" w:name="_GoBack"/>
      <w:bookmarkEnd w:id="1"/>
      <w:r>
        <w:rPr>
          <w:rFonts w:hint="eastAsia" w:ascii="Times New Roman" w:hAnsi="Times New Roman" w:cs="Times New Roman"/>
        </w:rPr>
        <w:t>, history of GDM, and homocysteine.</w:t>
      </w:r>
    </w:p>
    <w:p w14:paraId="4EB205A9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Cs w:val="21"/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/>
          <w:kern w:val="0"/>
          <w:szCs w:val="21"/>
        </w:rPr>
        <w:t xml:space="preserve"> &lt;0.05</w:t>
      </w:r>
    </w:p>
    <w:p w14:paraId="055B7030">
      <w:pPr>
        <w:rPr>
          <w:rFonts w:ascii="Times New Roman" w:hAnsi="Times New Roman" w:cs="Times New Roman"/>
          <w:sz w:val="24"/>
        </w:rPr>
      </w:pPr>
    </w:p>
    <w:p w14:paraId="0F6426DD">
      <w:pPr>
        <w:rPr>
          <w:rFonts w:ascii="Times New Roman" w:hAnsi="Times New Roman" w:cs="Times New Roman"/>
          <w:sz w:val="24"/>
        </w:rPr>
      </w:pPr>
    </w:p>
    <w:tbl>
      <w:tblPr>
        <w:tblStyle w:val="4"/>
        <w:tblW w:w="8173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1961"/>
        <w:gridCol w:w="1289"/>
        <w:gridCol w:w="2487"/>
        <w:gridCol w:w="867"/>
      </w:tblGrid>
      <w:tr w14:paraId="27E68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173" w:type="dxa"/>
            <w:gridSpan w:val="5"/>
            <w:noWrap/>
            <w:vAlign w:val="center"/>
          </w:tcPr>
          <w:p w14:paraId="1033A250">
            <w:pPr>
              <w:rPr>
                <w:rFonts w:hint="eastAsia" w:ascii="宋体" w:hAnsi="宋体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Table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. Associations of postpartum impaired glucose tolerance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risk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and 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MTHFR 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 w:bidi="ar"/>
              </w:rPr>
              <w:t>A1298C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 w:bidi="ar"/>
              </w:rPr>
              <w:t>dominant model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 xml:space="preserve"> stratifie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d by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pre-BMI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categories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</w:p>
        </w:tc>
      </w:tr>
      <w:tr w14:paraId="310E6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22704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BMI status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</w:tcPr>
          <w:p w14:paraId="3DDB594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MTHFR A1298C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</w:tcPr>
          <w:p w14:paraId="22FDCC7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Case/Control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D98F35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hint="eastAsia" w:eastAsia="宋体"/>
                <w:lang w:bidi="ar"/>
              </w:rPr>
              <w:t>a</w:t>
            </w:r>
            <w:r>
              <w:rPr>
                <w:rStyle w:val="8"/>
                <w:rFonts w:eastAsia="宋体"/>
                <w:lang w:bidi="ar"/>
              </w:rPr>
              <w:t>OR (95% CI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FBC978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9"/>
                <w:rFonts w:eastAsia="宋体"/>
                <w:lang w:bidi="ar"/>
              </w:rPr>
              <w:t>P</w:t>
            </w:r>
          </w:p>
        </w:tc>
      </w:tr>
      <w:tr w14:paraId="3D1B5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11732B23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Normal weight</w:t>
            </w:r>
          </w:p>
        </w:tc>
        <w:tc>
          <w:tcPr>
            <w:tcW w:w="0" w:type="auto"/>
            <w:noWrap/>
          </w:tcPr>
          <w:p w14:paraId="0A4A90D2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69A2771E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18C0A7E5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31F5C88B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55219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5D530CD6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1957" w:type="dxa"/>
            <w:noWrap/>
          </w:tcPr>
          <w:p w14:paraId="5620454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AA</w:t>
            </w:r>
          </w:p>
        </w:tc>
        <w:tc>
          <w:tcPr>
            <w:tcW w:w="1286" w:type="dxa"/>
            <w:noWrap/>
            <w:vAlign w:val="center"/>
          </w:tcPr>
          <w:p w14:paraId="2F0DD4D0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181/379</w:t>
            </w:r>
          </w:p>
        </w:tc>
        <w:tc>
          <w:tcPr>
            <w:tcW w:w="2482" w:type="dxa"/>
            <w:noWrap/>
          </w:tcPr>
          <w:p w14:paraId="40A9EF40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865" w:type="dxa"/>
            <w:noWrap/>
          </w:tcPr>
          <w:p w14:paraId="524C5339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1813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05B38BDA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57" w:type="dxa"/>
            <w:noWrap/>
          </w:tcPr>
          <w:p w14:paraId="5408D10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AC+CC</w:t>
            </w:r>
          </w:p>
        </w:tc>
        <w:tc>
          <w:tcPr>
            <w:tcW w:w="1286" w:type="dxa"/>
            <w:noWrap/>
          </w:tcPr>
          <w:p w14:paraId="7147170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90/147</w:t>
            </w:r>
          </w:p>
        </w:tc>
        <w:tc>
          <w:tcPr>
            <w:tcW w:w="2482" w:type="dxa"/>
            <w:noWrap/>
          </w:tcPr>
          <w:p w14:paraId="4F4AAD66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-2.12)</w:t>
            </w:r>
          </w:p>
        </w:tc>
        <w:tc>
          <w:tcPr>
            <w:tcW w:w="865" w:type="dxa"/>
            <w:noWrap/>
          </w:tcPr>
          <w:p w14:paraId="7EEAFDB0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0.112</w:t>
            </w:r>
          </w:p>
        </w:tc>
      </w:tr>
      <w:tr w14:paraId="00B73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37C15234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Underweight</w:t>
            </w:r>
          </w:p>
        </w:tc>
        <w:tc>
          <w:tcPr>
            <w:tcW w:w="0" w:type="auto"/>
            <w:noWrap/>
          </w:tcPr>
          <w:p w14:paraId="0E7B53AF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2C461C4B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noWrap/>
          </w:tcPr>
          <w:p w14:paraId="18B83A2C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6E9C640D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1E308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10D8730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1957" w:type="dxa"/>
            <w:noWrap/>
          </w:tcPr>
          <w:p w14:paraId="5AC2907D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AA</w:t>
            </w:r>
          </w:p>
        </w:tc>
        <w:tc>
          <w:tcPr>
            <w:tcW w:w="1286" w:type="dxa"/>
            <w:noWrap/>
            <w:vAlign w:val="center"/>
          </w:tcPr>
          <w:p w14:paraId="752DFDC9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40/76</w:t>
            </w:r>
          </w:p>
        </w:tc>
        <w:tc>
          <w:tcPr>
            <w:tcW w:w="2482" w:type="dxa"/>
            <w:noWrap/>
          </w:tcPr>
          <w:p w14:paraId="006DFF9C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865" w:type="dxa"/>
            <w:noWrap/>
          </w:tcPr>
          <w:p w14:paraId="16F3B341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02EEC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4672F0E6"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bookmarkStart w:id="0" w:name="OLE_LINK1" w:colFirst="1" w:colLast="1"/>
          </w:p>
        </w:tc>
        <w:tc>
          <w:tcPr>
            <w:tcW w:w="1957" w:type="dxa"/>
            <w:noWrap/>
          </w:tcPr>
          <w:p w14:paraId="429070F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AC+CC</w:t>
            </w:r>
          </w:p>
        </w:tc>
        <w:tc>
          <w:tcPr>
            <w:tcW w:w="1286" w:type="dxa"/>
            <w:noWrap/>
          </w:tcPr>
          <w:p w14:paraId="3A49DDB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21/11</w:t>
            </w:r>
          </w:p>
        </w:tc>
        <w:tc>
          <w:tcPr>
            <w:tcW w:w="2482" w:type="dxa"/>
            <w:noWrap/>
          </w:tcPr>
          <w:p w14:paraId="3ECB7B3D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(1.4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-16.85)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**</w:t>
            </w:r>
          </w:p>
        </w:tc>
        <w:tc>
          <w:tcPr>
            <w:tcW w:w="865" w:type="dxa"/>
            <w:noWrap/>
          </w:tcPr>
          <w:p w14:paraId="1F43B11F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0.009</w:t>
            </w:r>
          </w:p>
        </w:tc>
      </w:tr>
      <w:bookmarkEnd w:id="0"/>
      <w:tr w14:paraId="61C2B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1CD121DD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Overweight</w:t>
            </w:r>
          </w:p>
        </w:tc>
        <w:tc>
          <w:tcPr>
            <w:tcW w:w="0" w:type="auto"/>
            <w:noWrap/>
          </w:tcPr>
          <w:p w14:paraId="1E0CD7C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</w:tcPr>
          <w:p w14:paraId="6DBDE7FE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noWrap/>
          </w:tcPr>
          <w:p w14:paraId="2979F62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46E5322D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1972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056A369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1957" w:type="dxa"/>
            <w:noWrap/>
          </w:tcPr>
          <w:p w14:paraId="56BCF81A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AA</w:t>
            </w:r>
          </w:p>
        </w:tc>
        <w:tc>
          <w:tcPr>
            <w:tcW w:w="1286" w:type="dxa"/>
            <w:noWrap/>
            <w:vAlign w:val="center"/>
          </w:tcPr>
          <w:p w14:paraId="2A86CE98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52/84</w:t>
            </w:r>
          </w:p>
        </w:tc>
        <w:tc>
          <w:tcPr>
            <w:tcW w:w="2482" w:type="dxa"/>
            <w:noWrap/>
          </w:tcPr>
          <w:p w14:paraId="10B06C3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865" w:type="dxa"/>
            <w:noWrap/>
            <w:vAlign w:val="center"/>
          </w:tcPr>
          <w:p w14:paraId="5B337EDF">
            <w:pP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40ABC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7DC6D97D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noWrap/>
          </w:tcPr>
          <w:p w14:paraId="50928E70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AC+CC</w:t>
            </w:r>
          </w:p>
        </w:tc>
        <w:tc>
          <w:tcPr>
            <w:tcW w:w="1286" w:type="dxa"/>
            <w:noWrap/>
          </w:tcPr>
          <w:p w14:paraId="216F4C9C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16/34</w:t>
            </w:r>
          </w:p>
        </w:tc>
        <w:tc>
          <w:tcPr>
            <w:tcW w:w="2482" w:type="dxa"/>
            <w:noWrap/>
          </w:tcPr>
          <w:p w14:paraId="45DAC20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0.73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-1.9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865" w:type="dxa"/>
            <w:noWrap/>
          </w:tcPr>
          <w:p w14:paraId="74537491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0.524</w:t>
            </w:r>
          </w:p>
        </w:tc>
      </w:tr>
      <w:tr w14:paraId="656A8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18A13CC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Obesity</w:t>
            </w:r>
          </w:p>
        </w:tc>
        <w:tc>
          <w:tcPr>
            <w:tcW w:w="1957" w:type="dxa"/>
            <w:noWrap/>
          </w:tcPr>
          <w:p w14:paraId="7CA678E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noWrap/>
          </w:tcPr>
          <w:p w14:paraId="197966D4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482" w:type="dxa"/>
            <w:noWrap/>
          </w:tcPr>
          <w:p w14:paraId="616A80F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4DE1AB04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C773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noWrap/>
          </w:tcPr>
          <w:p w14:paraId="441F1D0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Dominant model</w:t>
            </w:r>
          </w:p>
        </w:tc>
        <w:tc>
          <w:tcPr>
            <w:tcW w:w="1957" w:type="dxa"/>
            <w:noWrap/>
          </w:tcPr>
          <w:p w14:paraId="78AA8C42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AA</w:t>
            </w:r>
          </w:p>
        </w:tc>
        <w:tc>
          <w:tcPr>
            <w:tcW w:w="1286" w:type="dxa"/>
            <w:noWrap/>
            <w:vAlign w:val="center"/>
          </w:tcPr>
          <w:p w14:paraId="41D3A894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12/15</w:t>
            </w:r>
          </w:p>
        </w:tc>
        <w:tc>
          <w:tcPr>
            <w:tcW w:w="2482" w:type="dxa"/>
            <w:noWrap/>
          </w:tcPr>
          <w:p w14:paraId="6FF6FF1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1.00 (Reference)</w:t>
            </w:r>
          </w:p>
        </w:tc>
        <w:tc>
          <w:tcPr>
            <w:tcW w:w="865" w:type="dxa"/>
            <w:noWrap/>
            <w:vAlign w:val="center"/>
          </w:tcPr>
          <w:p w14:paraId="71A61B6E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4E33A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556374D6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638607B6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AC+CC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27E2C662">
            <w:pPr>
              <w:widowControl/>
              <w:jc w:val="left"/>
              <w:textAlignment w:val="top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9/14</w:t>
            </w:r>
          </w:p>
        </w:tc>
        <w:tc>
          <w:tcPr>
            <w:tcW w:w="248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1E15B58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7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(0.08-55.17)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7D7A0C37"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0.664</w:t>
            </w:r>
          </w:p>
        </w:tc>
      </w:tr>
    </w:tbl>
    <w:p w14:paraId="5CDC5031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a. Adjusted for: </w:t>
      </w:r>
      <w:r>
        <w:rPr>
          <w:rFonts w:ascii="Times New Roman" w:hAnsi="Times New Roman" w:cs="Times New Roman"/>
        </w:rPr>
        <w:t>education</w:t>
      </w:r>
      <w:r>
        <w:rPr>
          <w:rFonts w:hint="eastAsia"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>, maternal age, parity, gestational age, delivery</w:t>
      </w:r>
      <w:r>
        <w:rPr>
          <w:rFonts w:hint="eastAsia" w:ascii="Times New Roman" w:hAnsi="Times New Roman" w:cs="Times New Roman"/>
        </w:rPr>
        <w:t xml:space="preserve"> mode, infant sex, time of postpartum OGTT, family history of T2D</w:t>
      </w:r>
      <w:r>
        <w:rPr>
          <w:rFonts w:hint="eastAsia" w:ascii="Times New Roman" w:hAnsi="Times New Roman" w:cs="Times New Roman"/>
          <w:lang w:val="en-US" w:eastAsia="zh-CN"/>
        </w:rPr>
        <w:t>M</w:t>
      </w:r>
      <w:r>
        <w:rPr>
          <w:rFonts w:hint="eastAsia" w:ascii="Times New Roman" w:hAnsi="Times New Roman" w:cs="Times New Roman"/>
        </w:rPr>
        <w:t>, history of GDM, and homocysteine.</w:t>
      </w:r>
    </w:p>
    <w:p w14:paraId="0AFD4218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*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Cs w:val="21"/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/>
          <w:kern w:val="0"/>
          <w:szCs w:val="21"/>
        </w:rPr>
        <w:t xml:space="preserve"> &lt;0.01</w:t>
      </w:r>
    </w:p>
    <w:p w14:paraId="1D5D567D">
      <w:pPr>
        <w:rPr>
          <w:rFonts w:ascii="Times New Roman" w:hAnsi="Times New Roman" w:cs="Times New Roman"/>
          <w:sz w:val="24"/>
        </w:rPr>
      </w:pPr>
    </w:p>
    <w:p w14:paraId="20CBA8C4">
      <w:pPr>
        <w:rPr>
          <w:rFonts w:ascii="Times New Roman" w:hAnsi="Times New Roman" w:cs="Times New Roman"/>
          <w:sz w:val="24"/>
        </w:rPr>
      </w:pPr>
    </w:p>
    <w:p w14:paraId="738A44C2">
      <w:pPr>
        <w:rPr>
          <w:rFonts w:ascii="Times New Roman" w:hAnsi="Times New Roman" w:cs="Times New Roman"/>
          <w:sz w:val="24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3053"/>
        <w:gridCol w:w="1076"/>
        <w:gridCol w:w="1749"/>
        <w:gridCol w:w="733"/>
      </w:tblGrid>
      <w:tr w14:paraId="1B291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00" w:type="pct"/>
            <w:gridSpan w:val="5"/>
            <w:noWrap/>
            <w:vAlign w:val="center"/>
          </w:tcPr>
          <w:p w14:paraId="30172AD3">
            <w:pPr>
              <w:jc w:val="left"/>
              <w:rPr>
                <w:rFonts w:hint="eastAsia" w:ascii="宋体" w:hAnsi="宋体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Table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. Associations of postpartum impaired glucose tolerance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risk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and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 xml:space="preserve"> specific genotype of the MTHFR variants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 xml:space="preserve"> stratifie</w:t>
            </w: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d by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pre-BMI </w:t>
            </w:r>
            <w:r>
              <w:rPr>
                <w:rFonts w:ascii="Times New Roman" w:hAnsi="Times New Roman" w:eastAsia="宋体" w:cs="Times New Roman"/>
                <w:sz w:val="24"/>
                <w:lang w:bidi="ar"/>
              </w:rPr>
              <w:t>categories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</w:p>
        </w:tc>
      </w:tr>
      <w:tr w14:paraId="4DA1D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8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0F7290C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BMI status</w:t>
            </w:r>
          </w:p>
        </w:tc>
        <w:tc>
          <w:tcPr>
            <w:tcW w:w="176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D488308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MTHFR variants</w:t>
            </w:r>
          </w:p>
        </w:tc>
        <w:tc>
          <w:tcPr>
            <w:tcW w:w="58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73D869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Case</w:t>
            </w:r>
          </w:p>
        </w:tc>
        <w:tc>
          <w:tcPr>
            <w:tcW w:w="98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FB8FC2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OR (95% CI)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38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F99AFD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P</w:t>
            </w:r>
          </w:p>
        </w:tc>
      </w:tr>
      <w:tr w14:paraId="30C12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81" w:type="pct"/>
            <w:noWrap/>
            <w:vAlign w:val="center"/>
          </w:tcPr>
          <w:p w14:paraId="316B5D9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Normal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760" w:type="pct"/>
            <w:noWrap/>
            <w:vAlign w:val="center"/>
          </w:tcPr>
          <w:p w14:paraId="5E45E08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noWrap/>
            <w:vAlign w:val="center"/>
          </w:tcPr>
          <w:p w14:paraId="4188CB9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noWrap/>
            <w:vAlign w:val="center"/>
          </w:tcPr>
          <w:p w14:paraId="3C2D50D7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noWrap/>
            <w:vAlign w:val="center"/>
          </w:tcPr>
          <w:p w14:paraId="58BF6367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7465B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81" w:type="pct"/>
            <w:noWrap/>
            <w:vAlign w:val="center"/>
          </w:tcPr>
          <w:p w14:paraId="44FEA4E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21A1DD33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A1298C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AC+CC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C677T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CT</w:t>
            </w:r>
          </w:p>
        </w:tc>
        <w:tc>
          <w:tcPr>
            <w:tcW w:w="588" w:type="pct"/>
            <w:noWrap/>
            <w:vAlign w:val="center"/>
          </w:tcPr>
          <w:p w14:paraId="310B830C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136/60</w:t>
            </w:r>
          </w:p>
        </w:tc>
        <w:tc>
          <w:tcPr>
            <w:tcW w:w="987" w:type="pct"/>
            <w:noWrap/>
            <w:vAlign w:val="center"/>
          </w:tcPr>
          <w:p w14:paraId="710CBA21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381" w:type="pct"/>
            <w:noWrap/>
            <w:vAlign w:val="center"/>
          </w:tcPr>
          <w:p w14:paraId="0B4A8C18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3F6A8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81" w:type="pct"/>
            <w:noWrap/>
            <w:vAlign w:val="center"/>
          </w:tcPr>
          <w:p w14:paraId="191DC952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78AABBE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A1298C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AC+CC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+TT</w:t>
            </w:r>
          </w:p>
        </w:tc>
        <w:tc>
          <w:tcPr>
            <w:tcW w:w="588" w:type="pct"/>
            <w:noWrap/>
            <w:vAlign w:val="center"/>
          </w:tcPr>
          <w:p w14:paraId="6D35A8F9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152/65</w:t>
            </w:r>
          </w:p>
        </w:tc>
        <w:tc>
          <w:tcPr>
            <w:tcW w:w="987" w:type="pct"/>
            <w:noWrap/>
            <w:vAlign w:val="center"/>
          </w:tcPr>
          <w:p w14:paraId="5986A826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.79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0.46-1.36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1" w:type="pct"/>
            <w:noWrap/>
            <w:vAlign w:val="center"/>
          </w:tcPr>
          <w:p w14:paraId="614770CC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.396</w:t>
            </w:r>
          </w:p>
        </w:tc>
      </w:tr>
      <w:tr w14:paraId="0154A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81" w:type="pct"/>
            <w:noWrap/>
            <w:vAlign w:val="center"/>
          </w:tcPr>
          <w:p w14:paraId="4C10AE33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1CF1023C">
            <w:pPr>
              <w:widowControl/>
              <w:jc w:val="center"/>
              <w:textAlignment w:val="top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A1298C 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588" w:type="pct"/>
            <w:noWrap/>
            <w:vAlign w:val="center"/>
          </w:tcPr>
          <w:p w14:paraId="2CD6D927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45/21</w:t>
            </w:r>
          </w:p>
        </w:tc>
        <w:tc>
          <w:tcPr>
            <w:tcW w:w="987" w:type="pct"/>
            <w:noWrap/>
            <w:vAlign w:val="center"/>
          </w:tcPr>
          <w:p w14:paraId="456882E2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.80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0.38-1.71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1" w:type="pct"/>
            <w:noWrap/>
            <w:vAlign w:val="center"/>
          </w:tcPr>
          <w:p w14:paraId="46007C48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.565</w:t>
            </w:r>
          </w:p>
        </w:tc>
      </w:tr>
      <w:tr w14:paraId="3F9A2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81" w:type="pct"/>
            <w:noWrap/>
            <w:vAlign w:val="center"/>
          </w:tcPr>
          <w:p w14:paraId="6BD98C9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105A3A21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A1298C 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A 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+TT</w:t>
            </w:r>
          </w:p>
        </w:tc>
        <w:tc>
          <w:tcPr>
            <w:tcW w:w="588" w:type="pct"/>
            <w:noWrap/>
            <w:vAlign w:val="center"/>
          </w:tcPr>
          <w:p w14:paraId="1B06FE5D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227/82</w:t>
            </w:r>
          </w:p>
        </w:tc>
        <w:tc>
          <w:tcPr>
            <w:tcW w:w="987" w:type="pct"/>
            <w:noWrap/>
            <w:vAlign w:val="center"/>
          </w:tcPr>
          <w:p w14:paraId="44737265">
            <w:pPr>
              <w:widowControl/>
              <w:jc w:val="center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.5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0.35-0.98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*</w:t>
            </w:r>
          </w:p>
        </w:tc>
        <w:tc>
          <w:tcPr>
            <w:tcW w:w="381" w:type="pct"/>
            <w:noWrap/>
            <w:vAlign w:val="center"/>
          </w:tcPr>
          <w:p w14:paraId="685C98EF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.042</w:t>
            </w:r>
          </w:p>
        </w:tc>
      </w:tr>
      <w:tr w14:paraId="451C2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81" w:type="pct"/>
            <w:noWrap/>
            <w:vAlign w:val="center"/>
          </w:tcPr>
          <w:p w14:paraId="29EA0E79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Under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760" w:type="pct"/>
            <w:noWrap/>
            <w:vAlign w:val="center"/>
          </w:tcPr>
          <w:p w14:paraId="754B0010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noWrap/>
            <w:vAlign w:val="center"/>
          </w:tcPr>
          <w:p w14:paraId="795FFB05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noWrap/>
            <w:vAlign w:val="center"/>
          </w:tcPr>
          <w:p w14:paraId="70121E88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noWrap/>
            <w:vAlign w:val="center"/>
          </w:tcPr>
          <w:p w14:paraId="27111950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29DC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81" w:type="pct"/>
            <w:noWrap/>
            <w:vAlign w:val="center"/>
          </w:tcPr>
          <w:p w14:paraId="5BB2D83F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29A314B3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A1298C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AC+CC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C677T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CT</w:t>
            </w:r>
          </w:p>
        </w:tc>
        <w:tc>
          <w:tcPr>
            <w:tcW w:w="588" w:type="pct"/>
            <w:noWrap/>
            <w:vAlign w:val="center"/>
          </w:tcPr>
          <w:p w14:paraId="6D3D7934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30/13</w:t>
            </w:r>
          </w:p>
        </w:tc>
        <w:tc>
          <w:tcPr>
            <w:tcW w:w="987" w:type="pct"/>
            <w:noWrap/>
            <w:vAlign w:val="center"/>
          </w:tcPr>
          <w:p w14:paraId="41BE523A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381" w:type="pct"/>
            <w:noWrap/>
            <w:vAlign w:val="center"/>
          </w:tcPr>
          <w:p w14:paraId="2EC0723F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41383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81" w:type="pct"/>
            <w:noWrap/>
            <w:vAlign w:val="center"/>
          </w:tcPr>
          <w:p w14:paraId="594B481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039B830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A1298C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AC+CC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+TT</w:t>
            </w:r>
          </w:p>
        </w:tc>
        <w:tc>
          <w:tcPr>
            <w:tcW w:w="588" w:type="pct"/>
            <w:noWrap/>
            <w:vAlign w:val="center"/>
          </w:tcPr>
          <w:p w14:paraId="663013CB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32/6</w:t>
            </w:r>
          </w:p>
        </w:tc>
        <w:tc>
          <w:tcPr>
            <w:tcW w:w="987" w:type="pct"/>
            <w:noWrap/>
            <w:vAlign w:val="center"/>
          </w:tcPr>
          <w:p w14:paraId="3F5E17D3">
            <w:pPr>
              <w:widowControl/>
              <w:jc w:val="center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0.16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(0.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0.90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*</w:t>
            </w:r>
          </w:p>
        </w:tc>
        <w:tc>
          <w:tcPr>
            <w:tcW w:w="381" w:type="pct"/>
            <w:noWrap/>
            <w:vAlign w:val="center"/>
          </w:tcPr>
          <w:p w14:paraId="42EE1932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.037</w:t>
            </w:r>
          </w:p>
        </w:tc>
      </w:tr>
      <w:tr w14:paraId="04BC2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81" w:type="pct"/>
            <w:noWrap/>
            <w:vAlign w:val="center"/>
          </w:tcPr>
          <w:p w14:paraId="448FE5EF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31E4675A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A1298C 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588" w:type="pct"/>
            <w:noWrap/>
            <w:vAlign w:val="center"/>
          </w:tcPr>
          <w:p w14:paraId="6791C6A9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10/8</w:t>
            </w:r>
          </w:p>
        </w:tc>
        <w:tc>
          <w:tcPr>
            <w:tcW w:w="987" w:type="pct"/>
            <w:noWrap/>
            <w:vAlign w:val="center"/>
          </w:tcPr>
          <w:p w14:paraId="4B43F0D1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1.12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6.61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1" w:type="pct"/>
            <w:noWrap/>
            <w:vAlign w:val="center"/>
          </w:tcPr>
          <w:p w14:paraId="6EE77BCD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.903</w:t>
            </w:r>
          </w:p>
        </w:tc>
      </w:tr>
      <w:tr w14:paraId="02087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81" w:type="pct"/>
            <w:noWrap/>
            <w:vAlign w:val="center"/>
          </w:tcPr>
          <w:p w14:paraId="1B9094D8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noWrap/>
            <w:vAlign w:val="center"/>
          </w:tcPr>
          <w:p w14:paraId="4F4DDBB5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A1298C 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A 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+TT</w:t>
            </w:r>
          </w:p>
        </w:tc>
        <w:tc>
          <w:tcPr>
            <w:tcW w:w="588" w:type="pct"/>
            <w:noWrap/>
            <w:vAlign w:val="center"/>
          </w:tcPr>
          <w:p w14:paraId="0511037E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44/5</w:t>
            </w:r>
          </w:p>
        </w:tc>
        <w:tc>
          <w:tcPr>
            <w:tcW w:w="987" w:type="pct"/>
            <w:noWrap/>
            <w:vAlign w:val="center"/>
          </w:tcPr>
          <w:p w14:paraId="4BA5D589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0.25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1.19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1" w:type="pct"/>
            <w:noWrap/>
            <w:vAlign w:val="center"/>
          </w:tcPr>
          <w:p w14:paraId="6A14D7E5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.082</w:t>
            </w:r>
          </w:p>
        </w:tc>
      </w:tr>
      <w:tr w14:paraId="6BE50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81" w:type="pct"/>
            <w:noWrap/>
            <w:vAlign w:val="center"/>
          </w:tcPr>
          <w:p w14:paraId="50CF5279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Over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  <w:t>weight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&amp; Obesity</w:t>
            </w:r>
          </w:p>
        </w:tc>
        <w:tc>
          <w:tcPr>
            <w:tcW w:w="1760" w:type="pct"/>
            <w:noWrap/>
            <w:vAlign w:val="center"/>
          </w:tcPr>
          <w:p w14:paraId="57C71DA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noWrap/>
            <w:vAlign w:val="center"/>
          </w:tcPr>
          <w:p w14:paraId="3B9AFAE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noWrap/>
            <w:vAlign w:val="center"/>
          </w:tcPr>
          <w:p w14:paraId="750966B5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noWrap/>
            <w:vAlign w:val="center"/>
          </w:tcPr>
          <w:p w14:paraId="4CDFDD7A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577A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81" w:type="pct"/>
            <w:noWrap/>
            <w:vAlign w:val="center"/>
          </w:tcPr>
          <w:p w14:paraId="40D14D44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760" w:type="pct"/>
            <w:shd w:val="clear" w:color="auto" w:fill="auto"/>
            <w:noWrap/>
            <w:vAlign w:val="center"/>
          </w:tcPr>
          <w:p w14:paraId="0E65A1FC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A1298C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AC+CC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C677T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CC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4E5B80C9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39/13</w:t>
            </w:r>
          </w:p>
        </w:tc>
        <w:tc>
          <w:tcPr>
            <w:tcW w:w="987" w:type="pct"/>
            <w:shd w:val="clear" w:color="auto" w:fill="auto"/>
            <w:noWrap/>
            <w:vAlign w:val="center"/>
          </w:tcPr>
          <w:p w14:paraId="652CF607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1.00 (Reference)</w:t>
            </w:r>
          </w:p>
        </w:tc>
        <w:tc>
          <w:tcPr>
            <w:tcW w:w="381" w:type="pct"/>
            <w:shd w:val="clear" w:color="auto" w:fill="auto"/>
            <w:noWrap/>
            <w:vAlign w:val="center"/>
          </w:tcPr>
          <w:p w14:paraId="14270423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43639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81" w:type="pct"/>
            <w:noWrap/>
            <w:vAlign w:val="center"/>
          </w:tcPr>
          <w:p w14:paraId="69CCB17E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shd w:val="clear" w:color="auto" w:fill="auto"/>
            <w:noWrap/>
            <w:vAlign w:val="center"/>
          </w:tcPr>
          <w:p w14:paraId="6C0012E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A1298C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AC+CC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+TT</w:t>
            </w:r>
          </w:p>
        </w:tc>
        <w:tc>
          <w:tcPr>
            <w:tcW w:w="588" w:type="pct"/>
            <w:shd w:val="clear" w:color="auto" w:fill="auto"/>
            <w:noWrap/>
            <w:vAlign w:val="center"/>
          </w:tcPr>
          <w:p w14:paraId="16CFC173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39/21</w:t>
            </w:r>
          </w:p>
        </w:tc>
        <w:tc>
          <w:tcPr>
            <w:tcW w:w="987" w:type="pct"/>
            <w:shd w:val="clear" w:color="auto" w:fill="auto"/>
            <w:noWrap/>
            <w:vAlign w:val="center"/>
          </w:tcPr>
          <w:p w14:paraId="744619E6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1.942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0.57-6.57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1" w:type="pct"/>
            <w:shd w:val="clear" w:color="auto" w:fill="auto"/>
            <w:noWrap/>
            <w:vAlign w:val="center"/>
          </w:tcPr>
          <w:p w14:paraId="12120ECD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.286</w:t>
            </w:r>
          </w:p>
        </w:tc>
      </w:tr>
      <w:tr w14:paraId="01869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4D981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AA26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A1298C 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0C468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25/12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0C15E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3.197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0.80-7.19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8C2FF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.102</w:t>
            </w:r>
          </w:p>
        </w:tc>
      </w:tr>
      <w:tr w14:paraId="5D9C3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281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D01CE4"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933253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A1298C 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 xml:space="preserve">A &amp;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C677T CT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+TT</w:t>
            </w:r>
          </w:p>
        </w:tc>
        <w:tc>
          <w:tcPr>
            <w:tcW w:w="5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26FED3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60/27</w:t>
            </w:r>
          </w:p>
        </w:tc>
        <w:tc>
          <w:tcPr>
            <w:tcW w:w="98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749213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2.250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0.70-7.19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927C30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.171</w:t>
            </w:r>
          </w:p>
        </w:tc>
      </w:tr>
    </w:tbl>
    <w:p w14:paraId="06D0C517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a. Adjusted for: </w:t>
      </w:r>
      <w:r>
        <w:rPr>
          <w:rFonts w:ascii="Times New Roman" w:hAnsi="Times New Roman" w:cs="Times New Roman"/>
        </w:rPr>
        <w:t>education</w:t>
      </w:r>
      <w:r>
        <w:rPr>
          <w:rFonts w:hint="eastAsia" w:ascii="Times New Roman" w:hAnsi="Times New Roman" w:cs="Times New Roman"/>
        </w:rPr>
        <w:t xml:space="preserve"> level</w:t>
      </w:r>
      <w:r>
        <w:rPr>
          <w:rFonts w:ascii="Times New Roman" w:hAnsi="Times New Roman" w:cs="Times New Roman"/>
        </w:rPr>
        <w:t>, maternal age, parity, gestational age, delivery</w:t>
      </w:r>
      <w:r>
        <w:rPr>
          <w:rFonts w:hint="eastAsia" w:ascii="Times New Roman" w:hAnsi="Times New Roman" w:cs="Times New Roman"/>
        </w:rPr>
        <w:t xml:space="preserve"> mode, infant sex, time of postpartum OGTT, family history of T2D</w:t>
      </w:r>
      <w:r>
        <w:rPr>
          <w:rFonts w:hint="eastAsia" w:ascii="Times New Roman" w:hAnsi="Times New Roman" w:cs="Times New Roman"/>
          <w:lang w:val="en-US" w:eastAsia="zh-CN"/>
        </w:rPr>
        <w:t>M</w:t>
      </w:r>
      <w:r>
        <w:rPr>
          <w:rFonts w:hint="eastAsia" w:ascii="Times New Roman" w:hAnsi="Times New Roman" w:cs="Times New Roman"/>
        </w:rPr>
        <w:t>, history of GDM, and homocysteine.</w:t>
      </w:r>
    </w:p>
    <w:p w14:paraId="56DEDBA0"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i/>
          <w:iCs/>
          <w:color w:val="000000"/>
          <w:kern w:val="0"/>
          <w:szCs w:val="21"/>
        </w:rPr>
        <w:t>P</w:t>
      </w:r>
      <w:r>
        <w:rPr>
          <w:rFonts w:hint="eastAsia" w:ascii="Times New Roman" w:hAnsi="Times New Roman" w:eastAsia="宋体" w:cs="Times New Roman"/>
          <w:i/>
          <w:iCs/>
          <w:color w:val="000000"/>
          <w:kern w:val="0"/>
          <w:szCs w:val="21"/>
        </w:rPr>
        <w:t xml:space="preserve"> &lt;0.05</w:t>
      </w:r>
    </w:p>
    <w:p w14:paraId="4EBDB5DC">
      <w:pPr>
        <w:autoSpaceDE w:val="0"/>
        <w:autoSpaceDN w:val="0"/>
        <w:adjustRightInd w:val="0"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06ECB8E3">
      <w:pPr>
        <w:autoSpaceDE w:val="0"/>
        <w:autoSpaceDN w:val="0"/>
        <w:adjustRightInd w:val="0"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427D83BA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eastAsia="宋体" w:cs="Times New Roman"/>
          <w:kern w:val="0"/>
          <w:sz w:val="24"/>
        </w:rPr>
      </w:pPr>
    </w:p>
    <w:p w14:paraId="6433574D">
      <w:pPr>
        <w:rPr>
          <w:rFonts w:ascii="Times New Roman" w:hAnsi="Times New Roman" w:cs="Times New Roman"/>
          <w:sz w:val="24"/>
        </w:rPr>
      </w:pPr>
    </w:p>
    <w:p w14:paraId="20A911EC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Y0YmE1YTYxYmI0ZjVhMmI3NjkyODIwNzhkNWNhYTcifQ=="/>
  </w:docVars>
  <w:rsids>
    <w:rsidRoot w:val="009C1F6C"/>
    <w:rsid w:val="00007AA8"/>
    <w:rsid w:val="00103017"/>
    <w:rsid w:val="00185167"/>
    <w:rsid w:val="002C336B"/>
    <w:rsid w:val="003327EF"/>
    <w:rsid w:val="004A1008"/>
    <w:rsid w:val="006B0224"/>
    <w:rsid w:val="008968D0"/>
    <w:rsid w:val="009C1F6C"/>
    <w:rsid w:val="00A64AB8"/>
    <w:rsid w:val="00E97040"/>
    <w:rsid w:val="00F959AA"/>
    <w:rsid w:val="04246C9F"/>
    <w:rsid w:val="199E1722"/>
    <w:rsid w:val="37BE127A"/>
    <w:rsid w:val="4BFD1F49"/>
    <w:rsid w:val="4DA70138"/>
    <w:rsid w:val="4E814E19"/>
    <w:rsid w:val="609D4E2E"/>
    <w:rsid w:val="63353ED9"/>
    <w:rsid w:val="67CD1726"/>
    <w:rsid w:val="6D593CEB"/>
    <w:rsid w:val="76BA326D"/>
    <w:rsid w:val="79985F8C"/>
    <w:rsid w:val="7C5C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autoRedefine/>
    <w:qFormat/>
    <w:uiPriority w:val="0"/>
    <w:rPr>
      <w:color w:val="954F72"/>
      <w:u w:val="single"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15"/>
    <w:basedOn w:val="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</w:rPr>
  </w:style>
  <w:style w:type="character" w:customStyle="1" w:styleId="9">
    <w:name w:val="16"/>
    <w:basedOn w:val="5"/>
    <w:qFormat/>
    <w:uiPriority w:val="0"/>
    <w:rPr>
      <w:rFonts w:hint="default" w:ascii="Times New Roman" w:hAnsi="Times New Roman" w:cs="Times New Roman"/>
      <w:i/>
      <w:iCs/>
      <w:color w:val="000000"/>
      <w:sz w:val="20"/>
      <w:szCs w:val="20"/>
    </w:rPr>
  </w:style>
  <w:style w:type="character" w:customStyle="1" w:styleId="10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612</Words>
  <Characters>3483</Characters>
  <Lines>21</Lines>
  <Paragraphs>6</Paragraphs>
  <TotalTime>1</TotalTime>
  <ScaleCrop>false</ScaleCrop>
  <LinksUpToDate>false</LinksUpToDate>
  <CharactersWithSpaces>3880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2026-03-01T08:35:00Z</dcterms:created>
  <dc:creator>SFY</dc:creator>
  <cp:lastModifiedBy>Charming Koo</cp:lastModifiedBy>
  <dcterms:modified xsi:type="dcterms:W3CDTF">2026-04-13T11:40:01Z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C53442A2EFEB4DCA8FA18225363FA999_13</vt:lpwstr>
  </property>
  <property fmtid="{D5CDD505-2E9C-101B-9397-08002B2CF9AE}" pid="4" name="KSOTemplateDocerSaveRecord">
    <vt:lpwstr>eyJoZGlkIjoiZGI2MjUyYzBkNGZmZmFhMWQxZjdlNzQ1NjYzNTRkMWMiLCJ1c2VySWQiOiI4MTUyNDE0MDgifQ==</vt:lpwstr>
  </property>
</Properties>
</file>