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9A745">
      <w:pPr>
        <w:jc w:val="lef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  <w:color w:val="auto"/>
          <w:sz w:val="24"/>
          <w:szCs w:val="24"/>
        </w:rPr>
        <w:t>Supplementary Table 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14:ligatures w14:val="none"/>
        </w:rPr>
        <w:t xml:space="preserve">1: </w:t>
      </w:r>
      <w:r>
        <w:rPr>
          <w:rFonts w:ascii="Times New Roman" w:hAnsi="Times New Roman" w:eastAsia="Myriad Pro Light" w:cs="Times New Roman"/>
          <w:color w:val="000000"/>
          <w:kern w:val="0"/>
          <w:sz w:val="24"/>
          <w:lang w:bidi="ar"/>
          <w14:ligatures w14:val="none"/>
        </w:rPr>
        <w:t>Robustness of Mediation Analysis Across HDL-C Levels</w:t>
      </w:r>
    </w:p>
    <w:tbl>
      <w:tblPr>
        <w:tblStyle w:val="13"/>
        <w:tblW w:w="4999" w:type="pct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48"/>
        <w:gridCol w:w="859"/>
        <w:gridCol w:w="2929"/>
        <w:gridCol w:w="2836"/>
        <w:gridCol w:w="3457"/>
        <w:gridCol w:w="1316"/>
      </w:tblGrid>
      <w:tr w14:paraId="536C36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tblHeader/>
          <w:tblCellSpacing w:w="15" w:type="dxa"/>
          <w:jc w:val="center"/>
        </w:trPr>
        <w:tc>
          <w:tcPr>
            <w:tcW w:w="926" w:type="pct"/>
            <w:tcBorders>
              <w:top w:val="single" w:color="auto" w:sz="4" w:space="0"/>
            </w:tcBorders>
            <w:vAlign w:val="center"/>
          </w:tcPr>
          <w:p w14:paraId="666323A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HDL-C Groups</w:t>
            </w:r>
          </w:p>
        </w:tc>
        <w:tc>
          <w:tcPr>
            <w:tcW w:w="295" w:type="pct"/>
            <w:tcBorders>
              <w:top w:val="single" w:color="auto" w:sz="4" w:space="0"/>
            </w:tcBorders>
            <w:vAlign w:val="center"/>
          </w:tcPr>
          <w:p w14:paraId="045B91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</w:t>
            </w:r>
          </w:p>
        </w:tc>
        <w:tc>
          <w:tcPr>
            <w:tcW w:w="1031" w:type="pct"/>
            <w:tcBorders>
              <w:top w:val="single" w:color="auto" w:sz="4" w:space="0"/>
            </w:tcBorders>
            <w:vAlign w:val="center"/>
          </w:tcPr>
          <w:p w14:paraId="47D8F3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 Effect</w:t>
            </w:r>
          </w:p>
        </w:tc>
        <w:tc>
          <w:tcPr>
            <w:tcW w:w="998" w:type="pct"/>
            <w:tcBorders>
              <w:top w:val="single" w:color="auto" w:sz="4" w:space="0"/>
            </w:tcBorders>
            <w:vAlign w:val="center"/>
          </w:tcPr>
          <w:p w14:paraId="68EFE9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Mediation Effect</w:t>
            </w:r>
          </w:p>
        </w:tc>
        <w:tc>
          <w:tcPr>
            <w:tcW w:w="1219" w:type="pct"/>
            <w:tcBorders>
              <w:top w:val="single" w:color="auto" w:sz="4" w:space="0"/>
            </w:tcBorders>
            <w:vAlign w:val="center"/>
          </w:tcPr>
          <w:p w14:paraId="56D7CF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Proportion mediated</w:t>
            </w:r>
          </w:p>
        </w:tc>
        <w:tc>
          <w:tcPr>
            <w:tcW w:w="452" w:type="pct"/>
            <w:tcBorders>
              <w:top w:val="single" w:color="auto" w:sz="4" w:space="0"/>
            </w:tcBorders>
            <w:vAlign w:val="center"/>
          </w:tcPr>
          <w:p w14:paraId="3047F41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value</w:t>
            </w:r>
          </w:p>
        </w:tc>
      </w:tr>
      <w:tr w14:paraId="658BEB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tblCellSpacing w:w="15" w:type="dxa"/>
          <w:jc w:val="center"/>
        </w:trPr>
        <w:tc>
          <w:tcPr>
            <w:tcW w:w="926" w:type="pct"/>
            <w:tcBorders>
              <w:bottom w:val="single" w:color="auto" w:sz="4" w:space="0"/>
            </w:tcBorders>
            <w:vAlign w:val="center"/>
          </w:tcPr>
          <w:p w14:paraId="796FE6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5" w:type="pct"/>
            <w:tcBorders>
              <w:bottom w:val="single" w:color="auto" w:sz="4" w:space="0"/>
            </w:tcBorders>
            <w:vAlign w:val="center"/>
          </w:tcPr>
          <w:p w14:paraId="54F0A1A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1" w:type="pct"/>
            <w:tcBorders>
              <w:bottom w:val="single" w:color="auto" w:sz="4" w:space="0"/>
            </w:tcBorders>
            <w:vAlign w:val="center"/>
          </w:tcPr>
          <w:p w14:paraId="2E778AB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998" w:type="pct"/>
            <w:tcBorders>
              <w:bottom w:val="single" w:color="auto" w:sz="4" w:space="0"/>
            </w:tcBorders>
            <w:vAlign w:val="center"/>
          </w:tcPr>
          <w:p w14:paraId="3B118E0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β (95% CI)</w:t>
            </w:r>
          </w:p>
        </w:tc>
        <w:tc>
          <w:tcPr>
            <w:tcW w:w="1219" w:type="pct"/>
            <w:tcBorders>
              <w:bottom w:val="single" w:color="auto" w:sz="4" w:space="0"/>
            </w:tcBorders>
            <w:vAlign w:val="center"/>
          </w:tcPr>
          <w:p w14:paraId="2B81C269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452" w:type="pct"/>
            <w:tcBorders>
              <w:bottom w:val="single" w:color="auto" w:sz="4" w:space="0"/>
            </w:tcBorders>
            <w:vAlign w:val="center"/>
          </w:tcPr>
          <w:p w14:paraId="2C0C0E4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1FA73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15" w:type="dxa"/>
          <w:jc w:val="center"/>
        </w:trPr>
        <w:tc>
          <w:tcPr>
            <w:tcW w:w="926" w:type="pct"/>
            <w:vAlign w:val="center"/>
          </w:tcPr>
          <w:p w14:paraId="43CAA23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Overall</w:t>
            </w:r>
          </w:p>
        </w:tc>
        <w:tc>
          <w:tcPr>
            <w:tcW w:w="295" w:type="pct"/>
            <w:vAlign w:val="center"/>
          </w:tcPr>
          <w:p w14:paraId="4FBF36D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1658</w:t>
            </w:r>
          </w:p>
        </w:tc>
        <w:tc>
          <w:tcPr>
            <w:tcW w:w="1031" w:type="pct"/>
            <w:vAlign w:val="center"/>
          </w:tcPr>
          <w:p w14:paraId="75A865F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0.1288 (0.05-0.21)</w:t>
            </w:r>
          </w:p>
        </w:tc>
        <w:tc>
          <w:tcPr>
            <w:tcW w:w="998" w:type="pct"/>
            <w:vAlign w:val="center"/>
          </w:tcPr>
          <w:p w14:paraId="585BCE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0.0281(0.01-0.04)</w:t>
            </w:r>
          </w:p>
        </w:tc>
        <w:tc>
          <w:tcPr>
            <w:tcW w:w="1219" w:type="pct"/>
            <w:vAlign w:val="center"/>
          </w:tcPr>
          <w:p w14:paraId="550C146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21.51</w:t>
            </w:r>
          </w:p>
        </w:tc>
        <w:tc>
          <w:tcPr>
            <w:tcW w:w="452" w:type="pct"/>
            <w:vAlign w:val="center"/>
          </w:tcPr>
          <w:p w14:paraId="4B7697B7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63605E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15" w:type="dxa"/>
          <w:jc w:val="center"/>
        </w:trPr>
        <w:tc>
          <w:tcPr>
            <w:tcW w:w="926" w:type="pct"/>
            <w:vAlign w:val="center"/>
          </w:tcPr>
          <w:p w14:paraId="6CE0B3F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Lowest Tertile</w:t>
            </w:r>
          </w:p>
        </w:tc>
        <w:tc>
          <w:tcPr>
            <w:tcW w:w="295" w:type="pct"/>
            <w:vAlign w:val="center"/>
          </w:tcPr>
          <w:p w14:paraId="0365E56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553</w:t>
            </w:r>
          </w:p>
        </w:tc>
        <w:tc>
          <w:tcPr>
            <w:tcW w:w="1031" w:type="pct"/>
            <w:vAlign w:val="center"/>
          </w:tcPr>
          <w:p w14:paraId="771F4B7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0.1403 (0.03-0.25)</w:t>
            </w:r>
          </w:p>
        </w:tc>
        <w:tc>
          <w:tcPr>
            <w:tcW w:w="998" w:type="pct"/>
            <w:vAlign w:val="center"/>
          </w:tcPr>
          <w:p w14:paraId="069E9E93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0.0256(0.01-0.05)</w:t>
            </w:r>
          </w:p>
        </w:tc>
        <w:tc>
          <w:tcPr>
            <w:tcW w:w="1219" w:type="pct"/>
            <w:vAlign w:val="center"/>
          </w:tcPr>
          <w:p w14:paraId="0E36239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18.3</w:t>
            </w:r>
          </w:p>
        </w:tc>
        <w:tc>
          <w:tcPr>
            <w:tcW w:w="452" w:type="pct"/>
            <w:vAlign w:val="center"/>
          </w:tcPr>
          <w:p w14:paraId="4DFFA4C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0.034</w:t>
            </w:r>
          </w:p>
        </w:tc>
      </w:tr>
      <w:tr w14:paraId="6CE9E9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15" w:type="dxa"/>
          <w:jc w:val="center"/>
        </w:trPr>
        <w:tc>
          <w:tcPr>
            <w:tcW w:w="926" w:type="pct"/>
            <w:vAlign w:val="center"/>
          </w:tcPr>
          <w:p w14:paraId="0319EF4C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Middle Tertile</w:t>
            </w:r>
          </w:p>
        </w:tc>
        <w:tc>
          <w:tcPr>
            <w:tcW w:w="295" w:type="pct"/>
            <w:vAlign w:val="center"/>
          </w:tcPr>
          <w:p w14:paraId="14FDF6A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550</w:t>
            </w:r>
          </w:p>
        </w:tc>
        <w:tc>
          <w:tcPr>
            <w:tcW w:w="1031" w:type="pct"/>
            <w:vAlign w:val="center"/>
          </w:tcPr>
          <w:p w14:paraId="6DED09F0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0.1331(0.04-0.22)</w:t>
            </w:r>
          </w:p>
        </w:tc>
        <w:tc>
          <w:tcPr>
            <w:tcW w:w="998" w:type="pct"/>
            <w:vAlign w:val="center"/>
          </w:tcPr>
          <w:p w14:paraId="39A32AC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0.0283(0.01-0.04)</w:t>
            </w:r>
          </w:p>
        </w:tc>
        <w:tc>
          <w:tcPr>
            <w:tcW w:w="1219" w:type="pct"/>
            <w:vAlign w:val="center"/>
          </w:tcPr>
          <w:p w14:paraId="43AD186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21.8</w:t>
            </w:r>
          </w:p>
        </w:tc>
        <w:tc>
          <w:tcPr>
            <w:tcW w:w="452" w:type="pct"/>
            <w:vAlign w:val="center"/>
          </w:tcPr>
          <w:p w14:paraId="628D9715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0.012</w:t>
            </w:r>
          </w:p>
        </w:tc>
      </w:tr>
      <w:tr w14:paraId="5199BF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tblCellSpacing w:w="15" w:type="dxa"/>
          <w:jc w:val="center"/>
        </w:trPr>
        <w:tc>
          <w:tcPr>
            <w:tcW w:w="926" w:type="pct"/>
            <w:tcBorders>
              <w:bottom w:val="single" w:color="auto" w:sz="4" w:space="0"/>
            </w:tcBorders>
            <w:vAlign w:val="center"/>
          </w:tcPr>
          <w:p w14:paraId="64BF249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Highest Tertile</w:t>
            </w:r>
          </w:p>
        </w:tc>
        <w:tc>
          <w:tcPr>
            <w:tcW w:w="295" w:type="pct"/>
            <w:tcBorders>
              <w:bottom w:val="single" w:color="auto" w:sz="4" w:space="0"/>
            </w:tcBorders>
            <w:vAlign w:val="center"/>
          </w:tcPr>
          <w:p w14:paraId="13ECE29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555</w:t>
            </w:r>
          </w:p>
        </w:tc>
        <w:tc>
          <w:tcPr>
            <w:tcW w:w="1031" w:type="pct"/>
            <w:tcBorders>
              <w:bottom w:val="single" w:color="auto" w:sz="4" w:space="0"/>
            </w:tcBorders>
            <w:vAlign w:val="center"/>
          </w:tcPr>
          <w:p w14:paraId="01BCC9B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0.1204 (0.03-0.21)</w:t>
            </w:r>
          </w:p>
        </w:tc>
        <w:tc>
          <w:tcPr>
            <w:tcW w:w="998" w:type="pct"/>
            <w:tcBorders>
              <w:bottom w:val="single" w:color="auto" w:sz="4" w:space="0"/>
            </w:tcBorders>
            <w:vAlign w:val="center"/>
          </w:tcPr>
          <w:p w14:paraId="429340AE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0.0277(0.01-0.05)</w:t>
            </w:r>
          </w:p>
        </w:tc>
        <w:tc>
          <w:tcPr>
            <w:tcW w:w="1219" w:type="pct"/>
            <w:tcBorders>
              <w:bottom w:val="single" w:color="auto" w:sz="4" w:space="0"/>
            </w:tcBorders>
            <w:vAlign w:val="center"/>
          </w:tcPr>
          <w:p w14:paraId="26252CD4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23.1</w:t>
            </w:r>
          </w:p>
        </w:tc>
        <w:tc>
          <w:tcPr>
            <w:tcW w:w="452" w:type="pct"/>
            <w:tcBorders>
              <w:bottom w:val="single" w:color="auto" w:sz="4" w:space="0"/>
            </w:tcBorders>
            <w:vAlign w:val="center"/>
          </w:tcPr>
          <w:p w14:paraId="7B3594C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0.018</w:t>
            </w:r>
          </w:p>
        </w:tc>
      </w:tr>
    </w:tbl>
    <w:p w14:paraId="1A3C0A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Note: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eastAsia="Myriad Pro Light" w:cs="Times New Roman"/>
          <w:color w:val="auto"/>
          <w:kern w:val="0"/>
          <w:sz w:val="21"/>
          <w:szCs w:val="21"/>
          <w:lang w:bidi="ar"/>
          <w14:ligatures w14:val="none"/>
        </w:rPr>
        <w:t xml:space="preserve">All analyses were performed using Model </w:t>
      </w:r>
      <w:r>
        <w:rPr>
          <w:rFonts w:hint="eastAsia" w:ascii="Times New Roman" w:hAnsi="Times New Roman" w:eastAsia="Myriad Pro Light" w:cs="Times New Roman"/>
          <w:color w:val="auto"/>
          <w:kern w:val="0"/>
          <w:sz w:val="21"/>
          <w:szCs w:val="21"/>
          <w:lang w:bidi="ar"/>
          <w14:ligatures w14:val="none"/>
        </w:rPr>
        <w:t>3</w:t>
      </w:r>
      <w:r>
        <w:rPr>
          <w:rFonts w:ascii="Times New Roman" w:hAnsi="Times New Roman" w:eastAsia="Myriad Pro Light" w:cs="Times New Roman"/>
          <w:color w:val="auto"/>
          <w:kern w:val="0"/>
          <w:sz w:val="21"/>
          <w:szCs w:val="21"/>
          <w:lang w:bidi="ar"/>
          <w14:ligatures w14:val="none"/>
        </w:rPr>
        <w:t xml:space="preserve"> (fully adjusted model) with 1000 bootstrap resamples. Total effect represents the overall association between HDL-C and DR; Direct effect represents the association between HDL-C and DR after accounting for BRI mediation; Indirect effect represents the mediation effect through BRI; Mediation effect % = (Indirect effect / Total effect) × 100%</w:t>
      </w:r>
    </w:p>
    <w:p w14:paraId="3E2D071C">
      <w:pPr>
        <w:spacing w:line="440" w:lineRule="exact"/>
        <w:rPr>
          <w:rFonts w:cs="Times New Roman"/>
          <w:b/>
          <w:bCs/>
          <w:color w:val="auto"/>
          <w:sz w:val="24"/>
          <w:szCs w:val="24"/>
        </w:rPr>
      </w:pPr>
    </w:p>
    <w:p w14:paraId="79718287">
      <w:pPr>
        <w:spacing w:line="440" w:lineRule="exact"/>
        <w:rPr>
          <w:rFonts w:hint="eastAsia" w:cs="Times New Roman"/>
          <w:color w:val="auto"/>
          <w:sz w:val="24"/>
          <w:szCs w:val="24"/>
        </w:rPr>
      </w:pPr>
      <w:r>
        <w:rPr>
          <w:rFonts w:cs="Times New Roman"/>
          <w:b/>
          <w:bCs/>
          <w:color w:val="auto"/>
          <w:sz w:val="24"/>
          <w:szCs w:val="24"/>
        </w:rPr>
        <w:t>Supplementary Table S2</w:t>
      </w:r>
      <w:r>
        <w:rPr>
          <w:rFonts w:hint="eastAsia" w:cs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/>
          <w:color w:val="auto"/>
          <w:sz w:val="24"/>
          <w:szCs w:val="24"/>
        </w:rPr>
        <w:t>Missingness summary for medication-category indicators (after recoding based on skip logic).</w:t>
      </w:r>
    </w:p>
    <w:tbl>
      <w:tblPr>
        <w:tblStyle w:val="13"/>
        <w:tblW w:w="4999" w:type="pct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9"/>
        <w:gridCol w:w="2326"/>
        <w:gridCol w:w="4990"/>
      </w:tblGrid>
      <w:tr w14:paraId="3D4449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tblHeader/>
          <w:tblCellSpacing w:w="15" w:type="dxa"/>
          <w:jc w:val="center"/>
        </w:trPr>
        <w:tc>
          <w:tcPr>
            <w:tcW w:w="237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A975FF">
            <w:pPr>
              <w:spacing w:line="440" w:lineRule="exact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Variable</w:t>
            </w:r>
          </w:p>
        </w:tc>
        <w:tc>
          <w:tcPr>
            <w:tcW w:w="8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208258">
            <w:pPr>
              <w:spacing w:line="440" w:lineRule="exact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Miss.freq</w:t>
            </w:r>
          </w:p>
        </w:tc>
        <w:tc>
          <w:tcPr>
            <w:tcW w:w="17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35211E">
            <w:pPr>
              <w:spacing w:line="440" w:lineRule="exact"/>
              <w:jc w:val="center"/>
              <w:rPr>
                <w:rFonts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auto"/>
                <w:sz w:val="24"/>
                <w:szCs w:val="24"/>
              </w:rPr>
              <w:t>Miss.percentage (%)</w:t>
            </w:r>
          </w:p>
        </w:tc>
      </w:tr>
      <w:tr w14:paraId="4D399D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tblCellSpacing w:w="15" w:type="dxa"/>
          <w:jc w:val="center"/>
        </w:trPr>
        <w:tc>
          <w:tcPr>
            <w:tcW w:w="2379" w:type="pct"/>
            <w:vAlign w:val="center"/>
          </w:tcPr>
          <w:p w14:paraId="7FCE1A05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Antihypertensive medications</w:t>
            </w:r>
          </w:p>
        </w:tc>
        <w:tc>
          <w:tcPr>
            <w:tcW w:w="817" w:type="pct"/>
            <w:vAlign w:val="center"/>
          </w:tcPr>
          <w:p w14:paraId="20C938C4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203</w:t>
            </w:r>
          </w:p>
        </w:tc>
        <w:tc>
          <w:tcPr>
            <w:tcW w:w="1760" w:type="pct"/>
            <w:vAlign w:val="center"/>
          </w:tcPr>
          <w:p w14:paraId="62936FEC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12.2437</w:t>
            </w:r>
          </w:p>
        </w:tc>
      </w:tr>
      <w:tr w14:paraId="5E67CB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tblCellSpacing w:w="15" w:type="dxa"/>
          <w:jc w:val="center"/>
        </w:trPr>
        <w:tc>
          <w:tcPr>
            <w:tcW w:w="2379" w:type="pct"/>
            <w:vAlign w:val="center"/>
          </w:tcPr>
          <w:p w14:paraId="3668B9D7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Lipid-lowering agents</w:t>
            </w:r>
          </w:p>
        </w:tc>
        <w:tc>
          <w:tcPr>
            <w:tcW w:w="817" w:type="pct"/>
            <w:vAlign w:val="center"/>
          </w:tcPr>
          <w:p w14:paraId="6AAE2F31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497</w:t>
            </w:r>
          </w:p>
        </w:tc>
        <w:tc>
          <w:tcPr>
            <w:tcW w:w="1760" w:type="pct"/>
            <w:vAlign w:val="center"/>
          </w:tcPr>
          <w:p w14:paraId="37554C95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29.9759</w:t>
            </w:r>
          </w:p>
        </w:tc>
      </w:tr>
      <w:tr w14:paraId="7B84A4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tblCellSpacing w:w="15" w:type="dxa"/>
          <w:jc w:val="center"/>
        </w:trPr>
        <w:tc>
          <w:tcPr>
            <w:tcW w:w="2379" w:type="pct"/>
            <w:tcBorders>
              <w:bottom w:val="single" w:color="auto" w:sz="4" w:space="0"/>
            </w:tcBorders>
            <w:vAlign w:val="center"/>
          </w:tcPr>
          <w:p w14:paraId="4EF85E0D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Antidiabetic drugs</w:t>
            </w:r>
          </w:p>
        </w:tc>
        <w:tc>
          <w:tcPr>
            <w:tcW w:w="817" w:type="pct"/>
            <w:tcBorders>
              <w:bottom w:val="single" w:color="auto" w:sz="4" w:space="0"/>
            </w:tcBorders>
            <w:vAlign w:val="center"/>
          </w:tcPr>
          <w:p w14:paraId="293CE84C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694</w:t>
            </w:r>
          </w:p>
        </w:tc>
        <w:tc>
          <w:tcPr>
            <w:tcW w:w="1760" w:type="pct"/>
            <w:tcBorders>
              <w:bottom w:val="single" w:color="auto" w:sz="4" w:space="0"/>
            </w:tcBorders>
            <w:vAlign w:val="center"/>
          </w:tcPr>
          <w:p w14:paraId="20A881B4">
            <w:pPr>
              <w:spacing w:line="440" w:lineRule="exac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41.8577</w:t>
            </w:r>
          </w:p>
        </w:tc>
      </w:tr>
    </w:tbl>
    <w:p w14:paraId="4FEC1E5B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firstLine="241" w:firstLineChars="100"/>
        <w:jc w:val="left"/>
        <w:rPr>
          <w:b/>
          <w:bCs/>
          <w:color w:val="auto"/>
          <w:kern w:val="0"/>
          <w:sz w:val="24"/>
        </w:rPr>
      </w:pPr>
    </w:p>
    <w:p w14:paraId="4459F202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jc w:val="left"/>
        <w:rPr>
          <w:color w:val="auto"/>
          <w:kern w:val="0"/>
          <w:sz w:val="24"/>
        </w:rPr>
      </w:pPr>
      <w:r>
        <w:rPr>
          <w:rFonts w:cs="Times New Roman"/>
          <w:b/>
          <w:bCs/>
          <w:color w:val="auto"/>
          <w:sz w:val="24"/>
          <w:szCs w:val="24"/>
        </w:rPr>
        <w:t>Supplementary Table S</w:t>
      </w:r>
      <w:r>
        <w:rPr>
          <w:rFonts w:hint="eastAsia" w:cs="Times New Roman"/>
          <w:b/>
          <w:bCs/>
          <w:color w:val="auto"/>
          <w:sz w:val="24"/>
          <w:szCs w:val="24"/>
        </w:rPr>
        <w:t xml:space="preserve">3 </w:t>
      </w:r>
      <w:r>
        <w:rPr>
          <w:color w:val="auto"/>
          <w:kern w:val="0"/>
          <w:sz w:val="24"/>
        </w:rPr>
        <w:t>Association between HDL-C and DR</w:t>
      </w:r>
    </w:p>
    <w:tbl>
      <w:tblPr>
        <w:tblStyle w:val="1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6"/>
        <w:gridCol w:w="2334"/>
        <w:gridCol w:w="1496"/>
        <w:gridCol w:w="10"/>
        <w:gridCol w:w="2408"/>
        <w:gridCol w:w="1496"/>
        <w:gridCol w:w="10"/>
        <w:gridCol w:w="2408"/>
        <w:gridCol w:w="1010"/>
      </w:tblGrid>
      <w:tr w14:paraId="2876C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C4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07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73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9CB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AC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1D1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Model3</w:t>
            </w:r>
          </w:p>
        </w:tc>
      </w:tr>
      <w:tr w14:paraId="06EE2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D5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09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BCE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i/>
                <w:iCs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kern w:val="0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CB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486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A9F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i/>
                <w:iCs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kern w:val="0"/>
                <w:sz w:val="21"/>
                <w:szCs w:val="21"/>
              </w:rPr>
              <w:t xml:space="preserve"> value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CD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BB4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0CE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i/>
                <w:iCs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kern w:val="0"/>
                <w:sz w:val="21"/>
                <w:szCs w:val="21"/>
              </w:rPr>
              <w:t xml:space="preserve"> value</w:t>
            </w:r>
          </w:p>
        </w:tc>
      </w:tr>
      <w:tr w14:paraId="514C9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5BD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HDL-C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36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1.81 (1.27 ~ 2.57)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ED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0.003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D9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D8C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2.35 (1.63 ~ 3.40)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D01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color w:val="000000"/>
                <w:kern w:val="0"/>
                <w:sz w:val="21"/>
                <w:szCs w:val="21"/>
              </w:rPr>
              <w:t>.001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CF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EC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2.22 (1.41 ~ 3.51)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FC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0.009</w:t>
            </w:r>
          </w:p>
        </w:tc>
      </w:tr>
      <w:tr w14:paraId="6207D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23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HDL-C(Tertile)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02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BE7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10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38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538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D85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1D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E7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4D3F2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81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BC2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3D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420" w:firstLineChars="2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9A6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5A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3F5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4CC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D0B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E6B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3F287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78D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97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1.10 (0.84 ~ 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5D3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FBE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F7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1.22 (0.93 ~ 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50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0.16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747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0B9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1.16 (0.87 ~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89B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0.346</w:t>
            </w:r>
          </w:p>
        </w:tc>
      </w:tr>
      <w:tr w14:paraId="59525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9A3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32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1.86 (1.35 ~ 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A42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color w:val="000000"/>
                <w:kern w:val="0"/>
                <w:sz w:val="21"/>
                <w:szCs w:val="21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39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5B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2.45 (1.76 ~ 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864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color w:val="000000"/>
                <w:kern w:val="0"/>
                <w:sz w:val="21"/>
                <w:szCs w:val="21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52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819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2.30 (1.50 ~ 3.52)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8C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0.006</w:t>
            </w:r>
          </w:p>
        </w:tc>
      </w:tr>
      <w:tr w14:paraId="0E672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9D2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color w:val="000000"/>
                <w:kern w:val="0"/>
                <w:sz w:val="21"/>
                <w:szCs w:val="21"/>
              </w:rPr>
              <w:t xml:space="preserve">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50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color w:val="000000"/>
                <w:kern w:val="0"/>
                <w:sz w:val="21"/>
                <w:szCs w:val="21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0B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D1A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86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color w:val="000000"/>
                <w:kern w:val="0"/>
                <w:sz w:val="21"/>
                <w:szCs w:val="21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A06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2B7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1F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color w:val="000000"/>
                <w:kern w:val="0"/>
                <w:sz w:val="21"/>
                <w:szCs w:val="21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B1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5767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0" w:type="auto"/>
            <w:gridSpan w:val="9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AE7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OR: Odds Ratio, CI: Confidence Interval.</w:t>
            </w:r>
          </w:p>
        </w:tc>
      </w:tr>
      <w:tr w14:paraId="1F077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A0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Myriad Pro Light"/>
                <w:color w:val="000000"/>
                <w:kern w:val="0"/>
                <w:sz w:val="21"/>
                <w:szCs w:val="21"/>
                <w:lang w:bidi="ar"/>
              </w:rPr>
              <w:t>Model1: no covariates were adjusted</w:t>
            </w:r>
            <w:r>
              <w:rPr>
                <w:rFonts w:eastAsia="等线"/>
                <w:color w:val="000000"/>
                <w:kern w:val="0"/>
                <w:sz w:val="21"/>
                <w:szCs w:val="21"/>
                <w:lang w:bidi="ar"/>
              </w:rPr>
              <w:t>.</w:t>
            </w:r>
          </w:p>
        </w:tc>
      </w:tr>
      <w:tr w14:paraId="257B7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BA56">
            <w:pPr>
              <w:widowControl/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 xml:space="preserve">Model2: </w:t>
            </w:r>
            <w:r>
              <w:rPr>
                <w:rFonts w:eastAsia="Myriad Pro Light"/>
                <w:color w:val="000000"/>
                <w:kern w:val="0"/>
                <w:sz w:val="21"/>
                <w:szCs w:val="21"/>
                <w:lang w:bidi="ar"/>
              </w:rPr>
              <w:t>gender</w:t>
            </w:r>
            <w:r>
              <w:rPr>
                <w:color w:val="000000"/>
                <w:kern w:val="0"/>
                <w:sz w:val="21"/>
                <w:szCs w:val="21"/>
              </w:rPr>
              <w:t xml:space="preserve">, </w:t>
            </w:r>
            <w:r>
              <w:rPr>
                <w:rFonts w:eastAsia="Myriad Pro Light"/>
                <w:color w:val="000000"/>
                <w:kern w:val="0"/>
                <w:sz w:val="21"/>
                <w:szCs w:val="21"/>
                <w:lang w:bidi="ar"/>
              </w:rPr>
              <w:t>age,</w:t>
            </w:r>
            <w:r>
              <w:rPr>
                <w:rFonts w:eastAsia="等线"/>
                <w:color w:val="000000"/>
                <w:kern w:val="0"/>
                <w:sz w:val="21"/>
                <w:szCs w:val="21"/>
                <w:lang w:bidi="ar"/>
              </w:rPr>
              <w:t xml:space="preserve"> and </w:t>
            </w:r>
            <w:r>
              <w:rPr>
                <w:color w:val="000000"/>
                <w:kern w:val="0"/>
                <w:sz w:val="21"/>
                <w:szCs w:val="21"/>
              </w:rPr>
              <w:t xml:space="preserve">race </w:t>
            </w:r>
            <w:r>
              <w:rPr>
                <w:rFonts w:eastAsia="Myriad Pro Light"/>
                <w:color w:val="000000"/>
                <w:kern w:val="0"/>
                <w:sz w:val="21"/>
                <w:szCs w:val="21"/>
                <w:lang w:bidi="ar"/>
              </w:rPr>
              <w:t>were adjusted</w:t>
            </w:r>
            <w:r>
              <w:rPr>
                <w:rFonts w:eastAsia="等线"/>
                <w:color w:val="000000"/>
                <w:kern w:val="0"/>
                <w:sz w:val="21"/>
                <w:szCs w:val="21"/>
                <w:lang w:bidi="ar"/>
              </w:rPr>
              <w:t>.</w:t>
            </w:r>
          </w:p>
        </w:tc>
      </w:tr>
      <w:tr w14:paraId="25CB4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199F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Model3: gender, age, race, smoking status, Alcohol use, overweight, Hypertension history, Hyperlipidemia, duration of diabetes, Glu, HbA1c, BUN, Cr, TC, CRP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>,</w:t>
            </w:r>
            <w:r>
              <w:rPr>
                <w:color w:val="auto"/>
                <w:kern w:val="0"/>
                <w:sz w:val="21"/>
                <w:szCs w:val="21"/>
              </w:rPr>
              <w:t xml:space="preserve"> Antihypertensive medication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>s,L</w:t>
            </w:r>
            <w:r>
              <w:rPr>
                <w:color w:val="auto"/>
                <w:kern w:val="0"/>
                <w:sz w:val="21"/>
                <w:szCs w:val="21"/>
              </w:rPr>
              <w:t xml:space="preserve">ipid-lowering 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agents, </w:t>
            </w:r>
            <w:r>
              <w:rPr>
                <w:color w:val="auto"/>
                <w:kern w:val="0"/>
                <w:sz w:val="21"/>
                <w:szCs w:val="21"/>
              </w:rPr>
              <w:t>Anti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>diabetic</w:t>
            </w:r>
            <w:r>
              <w:rPr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drugs </w:t>
            </w:r>
            <w:r>
              <w:rPr>
                <w:color w:val="auto"/>
                <w:kern w:val="0"/>
                <w:sz w:val="21"/>
                <w:szCs w:val="21"/>
              </w:rPr>
              <w:t>were adjusted.</w:t>
            </w:r>
          </w:p>
        </w:tc>
      </w:tr>
    </w:tbl>
    <w:p w14:paraId="035E7707">
      <w:pPr>
        <w:spacing w:line="440" w:lineRule="exact"/>
        <w:ind w:left="360"/>
        <w:rPr>
          <w:rFonts w:cs="Times New Roman"/>
          <w:color w:val="0000CC"/>
          <w:sz w:val="21"/>
          <w:szCs w:val="21"/>
          <w:highlight w:val="yellow"/>
        </w:rPr>
      </w:pPr>
    </w:p>
    <w:p w14:paraId="71C6BCF0">
      <w:pPr>
        <w:spacing w:line="440" w:lineRule="exact"/>
        <w:rPr>
          <w:rFonts w:cs="Times New Roman"/>
          <w:color w:val="0000CC"/>
          <w:sz w:val="21"/>
          <w:szCs w:val="21"/>
          <w:highlight w:val="yellow"/>
        </w:rPr>
      </w:pPr>
    </w:p>
    <w:p w14:paraId="06D2F563">
      <w:pPr>
        <w:widowControl/>
        <w:jc w:val="left"/>
        <w:rPr>
          <w:rFonts w:cs="Times New Roman"/>
          <w:b/>
          <w:bCs/>
          <w:color w:val="auto"/>
          <w:sz w:val="24"/>
          <w:szCs w:val="24"/>
        </w:rPr>
      </w:pPr>
    </w:p>
    <w:p w14:paraId="779BD2BA">
      <w:pPr>
        <w:widowControl/>
        <w:jc w:val="left"/>
        <w:rPr>
          <w:rFonts w:cs="Times New Roman"/>
          <w:b/>
          <w:bCs/>
          <w:color w:val="auto"/>
          <w:sz w:val="24"/>
          <w:szCs w:val="24"/>
        </w:rPr>
      </w:pPr>
    </w:p>
    <w:p w14:paraId="5A08E98F">
      <w:pPr>
        <w:widowControl/>
        <w:jc w:val="left"/>
        <w:rPr>
          <w:rFonts w:eastAsia="Myriad Pro Light"/>
          <w:color w:val="000000"/>
          <w:kern w:val="0"/>
          <w:sz w:val="24"/>
          <w:lang w:bidi="ar"/>
        </w:rPr>
      </w:pPr>
      <w:bookmarkStart w:id="0" w:name="_GoBack"/>
      <w:bookmarkEnd w:id="0"/>
      <w:r>
        <w:rPr>
          <w:rFonts w:cs="Times New Roman"/>
          <w:b/>
          <w:bCs/>
          <w:color w:val="auto"/>
          <w:sz w:val="24"/>
          <w:szCs w:val="24"/>
        </w:rPr>
        <w:t>Supplementary Table S</w:t>
      </w:r>
      <w:r>
        <w:rPr>
          <w:rFonts w:hint="eastAsia" w:cs="Times New Roman"/>
          <w:b/>
          <w:bCs/>
          <w:color w:val="auto"/>
          <w:sz w:val="24"/>
          <w:szCs w:val="24"/>
          <w:lang w:val="en-US" w:eastAsia="zh-CN"/>
        </w:rPr>
        <w:t xml:space="preserve">4 </w:t>
      </w:r>
      <w:r>
        <w:rPr>
          <w:rFonts w:eastAsia="Myriad Pro Light"/>
          <w:color w:val="000000"/>
          <w:kern w:val="0"/>
          <w:sz w:val="24"/>
          <w:lang w:bidi="ar"/>
        </w:rPr>
        <w:t>Subgroup analysis of the association between HDL-C and DR</w:t>
      </w:r>
    </w:p>
    <w:tbl>
      <w:tblPr>
        <w:tblStyle w:val="1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1"/>
        <w:gridCol w:w="4373"/>
        <w:gridCol w:w="2411"/>
        <w:gridCol w:w="2617"/>
      </w:tblGrid>
      <w:tr w14:paraId="225DB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tblHeader/>
          <w:jc w:val="center"/>
        </w:trPr>
        <w:tc>
          <w:tcPr>
            <w:tcW w:w="163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4FEA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Subgroup</w:t>
            </w:r>
          </w:p>
        </w:tc>
        <w:tc>
          <w:tcPr>
            <w:tcW w:w="156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8F4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Model 3</w:t>
            </w:r>
          </w:p>
          <w:p w14:paraId="3D200B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OR (95%CI)</w:t>
            </w:r>
          </w:p>
        </w:tc>
        <w:tc>
          <w:tcPr>
            <w:tcW w:w="86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3B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i/>
                <w:iCs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 value</w:t>
            </w:r>
          </w:p>
        </w:tc>
        <w:tc>
          <w:tcPr>
            <w:tcW w:w="93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1F6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1"/>
                <w:szCs w:val="21"/>
              </w:rPr>
              <w:t xml:space="preserve">P </w:t>
            </w: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for interaction</w:t>
            </w:r>
          </w:p>
        </w:tc>
      </w:tr>
      <w:tr w14:paraId="21B0C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tblHeader/>
          <w:jc w:val="center"/>
        </w:trPr>
        <w:tc>
          <w:tcPr>
            <w:tcW w:w="163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EC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B3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C3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0A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210" w:firstLineChars="1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550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FA88">
            <w:pPr>
              <w:widowControl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color w:val="000000"/>
                <w:kern w:val="0"/>
                <w:sz w:val="21"/>
                <w:szCs w:val="21"/>
                <w:lang w:bidi="ar"/>
              </w:rPr>
              <w:t>Gender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E59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5FF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A6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0.773</w:t>
            </w:r>
          </w:p>
        </w:tc>
      </w:tr>
      <w:tr w14:paraId="1A343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6E0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Male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1AB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2.53 (1.36 ~ 4.71)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DB9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B0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20365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EF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1"/>
                <w:szCs w:val="21"/>
              </w:rPr>
              <w:t>Female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868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2.28 (1.30 ~ 3.98)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F0D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E9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24B24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CCA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Overweight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C7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DF4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1A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0.188</w:t>
            </w:r>
          </w:p>
        </w:tc>
      </w:tr>
      <w:tr w14:paraId="6565C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472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No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6A1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3.67 (1.69 ~ 7.97)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63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0.009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26A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16DD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20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Yes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B7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1.79 (1.06 ~ 3.02)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3A8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0.056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A676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3B3A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5DC9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Race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D0B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30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81C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0.455</w:t>
            </w:r>
          </w:p>
        </w:tc>
      </w:tr>
      <w:tr w14:paraId="7098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8B97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Mexican American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288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0.9 (0.43~1.92)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82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0.793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894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7D3B0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94A4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Other Hispanic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2F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3.32 (0.64~17.23)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2B2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0.153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C3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56D74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25B8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Non-Hispanic White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F7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2.32 (1.42~3.79)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A73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0.001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C0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4CA03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77FB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Non-Hispanic Black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A7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1.59 (0.89~2.86)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E141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6F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1383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7092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Other Race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52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25.69 (0.19~3557.33)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750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0.197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63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4272D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3293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Smoking status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4FB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E967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DF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0.147</w:t>
            </w:r>
          </w:p>
        </w:tc>
      </w:tr>
      <w:tr w14:paraId="7DA3F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97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Never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734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2.62 (1.28 ~ 5.35)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5FF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0.025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843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70531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B1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Former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C6B3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1.45 (0.71 ~ 2.97)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841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0.328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CDF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35D96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774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Now</w:t>
            </w: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D4C4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3.59 (1.67 ~ 7.73)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6B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00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78FC9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0B963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Alcohol use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F04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50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91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0.765</w:t>
            </w:r>
          </w:p>
        </w:tc>
      </w:tr>
      <w:tr w14:paraId="09A59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2B4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No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0C6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2.33 (1.10 ~ 4.96)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97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0.055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0DDB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31D6B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065E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Yes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33F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2.31 (1.30 ~ 4.10)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AB3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16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3E0A7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66061">
            <w:pPr>
              <w:widowControl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Hypertension history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21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21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80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0.771</w:t>
            </w:r>
          </w:p>
        </w:tc>
      </w:tr>
      <w:tr w14:paraId="75657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E7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No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2E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2.53 (1.07 ~ 5.96)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10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0.060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96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011AE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B9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Yes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B94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2.17 (1.35 ~ 3.50)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E95B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5A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D1D6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B3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Hyperlipidemia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E2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30A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602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0.431</w:t>
            </w:r>
          </w:p>
        </w:tc>
      </w:tr>
      <w:tr w14:paraId="27981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2A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No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0D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5.43 (1.65 ~ 17.86)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BF2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0.027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30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1D307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433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Yes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95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2.11 (1.28 ~ 3.48)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BB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0.017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267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412E1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9734">
            <w:pPr>
              <w:widowControl/>
              <w:jc w:val="center"/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Age group</w:t>
            </w:r>
          </w:p>
        </w:tc>
        <w:tc>
          <w:tcPr>
            <w:tcW w:w="1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A0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62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D4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0.942</w:t>
            </w:r>
          </w:p>
        </w:tc>
      </w:tr>
      <w:tr w14:paraId="1D595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C8E2">
            <w:pPr>
              <w:widowControl/>
              <w:jc w:val="center"/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eastAsia="微软雅黑" w:cs="Times New Roman"/>
                <w:kern w:val="0"/>
                <w:sz w:val="21"/>
                <w:szCs w:val="21"/>
                <w:lang w:bidi="ar"/>
              </w:rPr>
              <w:t>＜</w:t>
            </w: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60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396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2.33 (1.23 ~ 4.44)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F4B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0.033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32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52C05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631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0DAA">
            <w:pPr>
              <w:widowControl/>
              <w:jc w:val="center"/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eastAsia="Myriad Pro Light" w:cs="Times New Roman"/>
                <w:kern w:val="0"/>
                <w:sz w:val="21"/>
                <w:szCs w:val="21"/>
                <w:lang w:bidi="ar"/>
              </w:rPr>
              <w:t>≥60</w:t>
            </w:r>
          </w:p>
        </w:tc>
        <w:tc>
          <w:tcPr>
            <w:tcW w:w="482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7D7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2.11 (1.16 ~ 3.86)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B7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0.041</w:t>
            </w:r>
          </w:p>
        </w:tc>
        <w:tc>
          <w:tcPr>
            <w:tcW w:w="93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10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</w:tbl>
    <w:p w14:paraId="667AF68E">
      <w:pPr>
        <w:spacing w:line="440" w:lineRule="exact"/>
        <w:rPr>
          <w:rFonts w:eastAsia="Myriad Pro Light"/>
          <w:kern w:val="0"/>
          <w:sz w:val="21"/>
          <w:szCs w:val="21"/>
          <w:lang w:bidi="ar"/>
        </w:rPr>
      </w:pPr>
      <w:r>
        <w:rPr>
          <w:rFonts w:eastAsia="Myriad Pro Light"/>
          <w:kern w:val="0"/>
          <w:sz w:val="21"/>
          <w:szCs w:val="21"/>
          <w:lang w:bidi="ar"/>
        </w:rPr>
        <w:t>Model3 adjust</w:t>
      </w:r>
      <w:r>
        <w:rPr>
          <w:rFonts w:eastAsia="Myriad Pro Light"/>
          <w:color w:val="auto"/>
          <w:kern w:val="0"/>
          <w:sz w:val="21"/>
          <w:szCs w:val="21"/>
          <w:lang w:bidi="ar"/>
        </w:rPr>
        <w:t xml:space="preserve">s for: </w:t>
      </w:r>
      <w:r>
        <w:rPr>
          <w:color w:val="auto"/>
          <w:kern w:val="0"/>
          <w:sz w:val="21"/>
          <w:szCs w:val="21"/>
        </w:rPr>
        <w:t>gender, age, race, smoking status, Alcohol use, overweight, Hypertension history, Hyperlipidemia, duration of diabetes, Glu, HbA1c, BUN, Cr, TC, CRP</w:t>
      </w:r>
      <w:r>
        <w:rPr>
          <w:rFonts w:hint="eastAsia"/>
          <w:color w:val="auto"/>
          <w:kern w:val="0"/>
          <w:sz w:val="21"/>
          <w:szCs w:val="21"/>
        </w:rPr>
        <w:t>,</w:t>
      </w:r>
      <w:r>
        <w:rPr>
          <w:color w:val="auto"/>
          <w:kern w:val="0"/>
          <w:sz w:val="21"/>
          <w:szCs w:val="21"/>
        </w:rPr>
        <w:t xml:space="preserve"> Antihypertensive medication</w:t>
      </w:r>
      <w:r>
        <w:rPr>
          <w:rFonts w:hint="eastAsia"/>
          <w:color w:val="auto"/>
          <w:kern w:val="0"/>
          <w:sz w:val="21"/>
          <w:szCs w:val="21"/>
        </w:rPr>
        <w:t>s,L</w:t>
      </w:r>
      <w:r>
        <w:rPr>
          <w:color w:val="auto"/>
          <w:kern w:val="0"/>
          <w:sz w:val="21"/>
          <w:szCs w:val="21"/>
        </w:rPr>
        <w:t xml:space="preserve">ipid-lowering </w:t>
      </w:r>
      <w:r>
        <w:rPr>
          <w:rFonts w:hint="eastAsia"/>
          <w:color w:val="auto"/>
          <w:kern w:val="0"/>
          <w:sz w:val="21"/>
          <w:szCs w:val="21"/>
        </w:rPr>
        <w:t xml:space="preserve">agents, </w:t>
      </w:r>
      <w:r>
        <w:rPr>
          <w:color w:val="auto"/>
          <w:kern w:val="0"/>
          <w:sz w:val="21"/>
          <w:szCs w:val="21"/>
        </w:rPr>
        <w:t>Anti</w:t>
      </w:r>
      <w:r>
        <w:rPr>
          <w:rFonts w:hint="eastAsia"/>
          <w:color w:val="auto"/>
          <w:kern w:val="0"/>
          <w:sz w:val="21"/>
          <w:szCs w:val="21"/>
        </w:rPr>
        <w:t>diabetic</w:t>
      </w:r>
      <w:r>
        <w:rPr>
          <w:color w:val="auto"/>
          <w:kern w:val="0"/>
          <w:sz w:val="21"/>
          <w:szCs w:val="21"/>
        </w:rPr>
        <w:t xml:space="preserve"> </w:t>
      </w:r>
      <w:r>
        <w:rPr>
          <w:rFonts w:hint="eastAsia"/>
          <w:color w:val="auto"/>
          <w:kern w:val="0"/>
          <w:sz w:val="21"/>
          <w:szCs w:val="21"/>
        </w:rPr>
        <w:t>drugs</w:t>
      </w:r>
      <w:r>
        <w:rPr>
          <w:rFonts w:eastAsia="Myriad Pro Light"/>
          <w:color w:val="auto"/>
          <w:kern w:val="0"/>
          <w:sz w:val="21"/>
          <w:szCs w:val="21"/>
          <w:lang w:bidi="ar"/>
        </w:rPr>
        <w:t xml:space="preserve">. </w:t>
      </w:r>
      <w:r>
        <w:rPr>
          <w:rFonts w:eastAsia="Myriad Pro Light"/>
          <w:kern w:val="0"/>
          <w:sz w:val="21"/>
          <w:szCs w:val="21"/>
          <w:lang w:bidi="ar"/>
        </w:rPr>
        <w:t>Stratification variables were not included in the adjustment process of the corresponding stratification analysis.</w:t>
      </w:r>
    </w:p>
    <w:p w14:paraId="311F03D1">
      <w:pPr>
        <w:spacing w:line="440" w:lineRule="exact"/>
        <w:rPr>
          <w:rFonts w:eastAsia="Myriad Pro Light"/>
          <w:kern w:val="0"/>
          <w:sz w:val="21"/>
          <w:szCs w:val="21"/>
          <w:lang w:bidi="ar"/>
        </w:rPr>
      </w:pPr>
    </w:p>
    <w:p w14:paraId="67A75F73">
      <w:pPr>
        <w:widowControl/>
        <w:jc w:val="left"/>
        <w:rPr>
          <w:rFonts w:eastAsia="Myriad Pro Light"/>
          <w:color w:val="000000"/>
          <w:kern w:val="0"/>
          <w:sz w:val="24"/>
          <w:lang w:bidi="ar"/>
        </w:rPr>
      </w:pPr>
      <w:r>
        <w:rPr>
          <w:rFonts w:cs="Times New Roman"/>
          <w:b/>
          <w:bCs/>
          <w:color w:val="auto"/>
          <w:sz w:val="24"/>
          <w:szCs w:val="24"/>
        </w:rPr>
        <w:t>Supplementary Table S</w:t>
      </w:r>
      <w:r>
        <w:rPr>
          <w:rFonts w:hint="eastAsia" w:cs="Times New Roman"/>
          <w:b/>
          <w:bCs/>
          <w:color w:val="auto"/>
          <w:sz w:val="24"/>
          <w:szCs w:val="24"/>
          <w:lang w:val="en-US" w:eastAsia="zh-CN"/>
        </w:rPr>
        <w:t xml:space="preserve">5 </w:t>
      </w:r>
      <w:r>
        <w:rPr>
          <w:color w:val="000000"/>
          <w:kern w:val="0"/>
          <w:sz w:val="24"/>
        </w:rPr>
        <w:t>Association between BRI and DR; HDL-C and BRI</w:t>
      </w:r>
    </w:p>
    <w:tbl>
      <w:tblPr>
        <w:tblStyle w:val="1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2758"/>
        <w:gridCol w:w="1276"/>
        <w:gridCol w:w="33"/>
        <w:gridCol w:w="2898"/>
        <w:gridCol w:w="1415"/>
        <w:gridCol w:w="33"/>
        <w:gridCol w:w="2900"/>
        <w:gridCol w:w="1179"/>
      </w:tblGrid>
      <w:tr w14:paraId="66C06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5A4E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5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421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Model1</w:t>
            </w:r>
          </w:p>
        </w:tc>
        <w:tc>
          <w:tcPr>
            <w:tcW w:w="1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3DC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5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207F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Model2</w:t>
            </w:r>
          </w:p>
        </w:tc>
        <w:tc>
          <w:tcPr>
            <w:tcW w:w="1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72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61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23E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Model3</w:t>
            </w:r>
          </w:p>
        </w:tc>
      </w:tr>
      <w:tr w14:paraId="798FF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3B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46A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Value (95%CI)</w:t>
            </w:r>
          </w:p>
        </w:tc>
        <w:tc>
          <w:tcPr>
            <w:tcW w:w="45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0A7D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color w:val="000000"/>
                <w:kern w:val="0"/>
                <w:sz w:val="21"/>
                <w:szCs w:val="21"/>
              </w:rPr>
              <w:t xml:space="preserve"> value</w:t>
            </w:r>
          </w:p>
        </w:tc>
        <w:tc>
          <w:tcPr>
            <w:tcW w:w="1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C29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A1DF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Value (95%CI)</w:t>
            </w:r>
          </w:p>
        </w:tc>
        <w:tc>
          <w:tcPr>
            <w:tcW w:w="50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FB3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color w:val="000000"/>
                <w:kern w:val="0"/>
                <w:sz w:val="21"/>
                <w:szCs w:val="21"/>
              </w:rPr>
              <w:t xml:space="preserve"> value</w:t>
            </w:r>
          </w:p>
        </w:tc>
        <w:tc>
          <w:tcPr>
            <w:tcW w:w="1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EC03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066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Value (95%CI)</w:t>
            </w:r>
          </w:p>
        </w:tc>
        <w:tc>
          <w:tcPr>
            <w:tcW w:w="42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48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eastAsia="en-US"/>
              </w:rPr>
              <w:t>P</w:t>
            </w:r>
            <w:r>
              <w:rPr>
                <w:color w:val="000000"/>
                <w:kern w:val="0"/>
                <w:sz w:val="21"/>
                <w:szCs w:val="21"/>
              </w:rPr>
              <w:t xml:space="preserve"> value</w:t>
            </w:r>
          </w:p>
        </w:tc>
      </w:tr>
      <w:tr w14:paraId="29004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A53B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BRI and DR</w:t>
            </w:r>
          </w:p>
        </w:tc>
        <w:tc>
          <w:tcPr>
            <w:tcW w:w="98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C2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   0.84 (0.80 ~ 0.88)</w:t>
            </w:r>
          </w:p>
        </w:tc>
        <w:tc>
          <w:tcPr>
            <w:tcW w:w="45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11B9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01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7F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   0.84 (0.80 ~ 0.89)</w:t>
            </w:r>
          </w:p>
        </w:tc>
        <w:tc>
          <w:tcPr>
            <w:tcW w:w="50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BC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F9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B74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OR  0.84 (0.78 ~ 0.91)</w:t>
            </w:r>
          </w:p>
        </w:tc>
        <w:tc>
          <w:tcPr>
            <w:tcW w:w="42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00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0.003</w:t>
            </w:r>
          </w:p>
        </w:tc>
      </w:tr>
      <w:tr w14:paraId="77940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3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BC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HDL-C and BRI</w:t>
            </w:r>
          </w:p>
        </w:tc>
        <w:tc>
          <w:tcPr>
            <w:tcW w:w="988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CB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β     -1.54(-1.88~ -1.21)</w:t>
            </w:r>
          </w:p>
        </w:tc>
        <w:tc>
          <w:tcPr>
            <w:tcW w:w="456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FB66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CC1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8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329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β    -1.94 (-2.23 ~ -1.64)</w:t>
            </w:r>
          </w:p>
        </w:tc>
        <w:tc>
          <w:tcPr>
            <w:tcW w:w="506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1A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2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80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9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88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β    -1.14 (-1.41 ~ -0.88)</w:t>
            </w:r>
          </w:p>
        </w:tc>
        <w:tc>
          <w:tcPr>
            <w:tcW w:w="422" w:type="pct"/>
            <w:tcBorders>
              <w:top w:val="single" w:color="000000" w:sz="8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CD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</w:tbl>
    <w:tbl>
      <w:tblPr>
        <w:tblStyle w:val="13"/>
        <w:tblpPr w:leftFromText="180" w:rightFromText="180" w:vertAnchor="text" w:horzAnchor="margin" w:tblpXSpec="center" w:tblpY="276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8"/>
      </w:tblGrid>
      <w:tr w14:paraId="3263E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800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eastAsia="等线"/>
                <w:kern w:val="0"/>
                <w:sz w:val="21"/>
                <w:szCs w:val="21"/>
              </w:rPr>
            </w:pPr>
            <w:r>
              <w:rPr>
                <w:rFonts w:eastAsia="Myriad Pro Light"/>
                <w:kern w:val="0"/>
                <w:sz w:val="21"/>
                <w:szCs w:val="21"/>
                <w:lang w:bidi="ar"/>
              </w:rPr>
              <w:t>Model1: no covariates were adjusted</w:t>
            </w:r>
            <w:r>
              <w:rPr>
                <w:rFonts w:eastAsia="等线"/>
                <w:kern w:val="0"/>
                <w:sz w:val="21"/>
                <w:szCs w:val="21"/>
                <w:lang w:bidi="ar"/>
              </w:rPr>
              <w:t>.</w:t>
            </w:r>
          </w:p>
        </w:tc>
      </w:tr>
      <w:tr w14:paraId="347F5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DCD3">
            <w:pPr>
              <w:widowControl/>
              <w:jc w:val="left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 xml:space="preserve">Model2: </w:t>
            </w:r>
            <w:r>
              <w:rPr>
                <w:rFonts w:eastAsia="Myriad Pro Light"/>
                <w:color w:val="auto"/>
                <w:kern w:val="0"/>
                <w:sz w:val="21"/>
                <w:szCs w:val="21"/>
                <w:lang w:bidi="ar"/>
              </w:rPr>
              <w:t>gender</w:t>
            </w:r>
            <w:r>
              <w:rPr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eastAsia="Myriad Pro Light"/>
                <w:color w:val="auto"/>
                <w:kern w:val="0"/>
                <w:sz w:val="21"/>
                <w:szCs w:val="21"/>
                <w:lang w:bidi="ar"/>
              </w:rPr>
              <w:t>age,</w:t>
            </w:r>
            <w:r>
              <w:rPr>
                <w:rFonts w:eastAsia="等线"/>
                <w:color w:val="auto"/>
                <w:kern w:val="0"/>
                <w:sz w:val="21"/>
                <w:szCs w:val="21"/>
                <w:lang w:bidi="ar"/>
              </w:rPr>
              <w:t xml:space="preserve"> and </w:t>
            </w:r>
            <w:r>
              <w:rPr>
                <w:color w:val="auto"/>
                <w:kern w:val="0"/>
                <w:sz w:val="21"/>
                <w:szCs w:val="21"/>
              </w:rPr>
              <w:t xml:space="preserve">race </w:t>
            </w:r>
            <w:r>
              <w:rPr>
                <w:rFonts w:eastAsia="Myriad Pro Light"/>
                <w:color w:val="auto"/>
                <w:kern w:val="0"/>
                <w:sz w:val="21"/>
                <w:szCs w:val="21"/>
                <w:lang w:bidi="ar"/>
              </w:rPr>
              <w:t>were adjusted</w:t>
            </w:r>
            <w:r>
              <w:rPr>
                <w:rFonts w:eastAsia="等线"/>
                <w:color w:val="auto"/>
                <w:kern w:val="0"/>
                <w:sz w:val="21"/>
                <w:szCs w:val="21"/>
                <w:lang w:bidi="ar"/>
              </w:rPr>
              <w:t>.</w:t>
            </w:r>
          </w:p>
        </w:tc>
      </w:tr>
      <w:tr w14:paraId="5A0BD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16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left"/>
              <w:rPr>
                <w:rFonts w:eastAsia="等线"/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Model3: gender, age, race, smoking status, Alcohol use, overweight, Hypertension history, Hyperlipidemia, duration of diabetes, Glu, HbA1c, BUN, Cr, TC, CRP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>,</w:t>
            </w:r>
            <w:r>
              <w:rPr>
                <w:color w:val="auto"/>
                <w:kern w:val="0"/>
                <w:sz w:val="21"/>
                <w:szCs w:val="21"/>
              </w:rPr>
              <w:t xml:space="preserve"> Antihypertensive medication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>s,L</w:t>
            </w:r>
            <w:r>
              <w:rPr>
                <w:color w:val="auto"/>
                <w:kern w:val="0"/>
                <w:sz w:val="21"/>
                <w:szCs w:val="21"/>
              </w:rPr>
              <w:t xml:space="preserve">ipid-lowering 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agents, </w:t>
            </w:r>
            <w:r>
              <w:rPr>
                <w:color w:val="auto"/>
                <w:kern w:val="0"/>
                <w:sz w:val="21"/>
                <w:szCs w:val="21"/>
              </w:rPr>
              <w:t>Anti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>diabetic</w:t>
            </w:r>
            <w:r>
              <w:rPr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drugs </w:t>
            </w:r>
            <w:r>
              <w:rPr>
                <w:color w:val="auto"/>
                <w:kern w:val="0"/>
                <w:sz w:val="21"/>
                <w:szCs w:val="21"/>
              </w:rPr>
              <w:t xml:space="preserve">were adjusted. </w:t>
            </w:r>
          </w:p>
        </w:tc>
      </w:tr>
    </w:tbl>
    <w:p w14:paraId="05DA3652">
      <w:pPr>
        <w:rPr>
          <w:vanish/>
        </w:rPr>
      </w:pPr>
    </w:p>
    <w:p w14:paraId="6D80A6B1">
      <w:pPr>
        <w:rPr>
          <w:rFonts w:hint="eastAsia" w:cs="Times New Roman"/>
          <w:color w:val="0000CC"/>
          <w:sz w:val="24"/>
          <w:szCs w:val="24"/>
        </w:rPr>
      </w:pPr>
    </w:p>
    <w:p w14:paraId="1647E6EC">
      <w:pPr>
        <w:rPr>
          <w:rFonts w:hint="eastAsia" w:cs="Times New Roman"/>
          <w:color w:val="0000CC"/>
          <w:sz w:val="24"/>
          <w:szCs w:val="24"/>
        </w:rPr>
      </w:pPr>
    </w:p>
    <w:p w14:paraId="713114A2">
      <w:pPr>
        <w:rPr>
          <w:rFonts w:hint="eastAsia" w:cs="Times New Roman"/>
          <w:color w:val="0000CC"/>
          <w:sz w:val="24"/>
          <w:szCs w:val="24"/>
        </w:rPr>
      </w:pPr>
    </w:p>
    <w:p w14:paraId="2A8A170F">
      <w:pPr>
        <w:widowControl/>
        <w:jc w:val="left"/>
        <w:rPr>
          <w:color w:val="000000"/>
          <w:kern w:val="0"/>
          <w:sz w:val="21"/>
          <w:szCs w:val="21"/>
        </w:rPr>
      </w:pPr>
    </w:p>
    <w:p w14:paraId="2C86BB78">
      <w:pPr>
        <w:widowControl/>
        <w:jc w:val="left"/>
        <w:rPr>
          <w:color w:val="000000"/>
          <w:kern w:val="0"/>
          <w:sz w:val="21"/>
          <w:szCs w:val="21"/>
        </w:rPr>
      </w:pPr>
    </w:p>
    <w:p w14:paraId="21AEF312">
      <w:pPr>
        <w:widowControl/>
        <w:jc w:val="left"/>
        <w:rPr>
          <w:color w:val="000000"/>
          <w:kern w:val="0"/>
          <w:sz w:val="21"/>
          <w:szCs w:val="21"/>
        </w:rPr>
      </w:pPr>
      <w:r>
        <w:rPr>
          <w:rFonts w:hint="eastAsia" w:cs="Times New Roman"/>
          <w:color w:val="0000CC"/>
          <w:sz w:val="24"/>
          <w:szCs w:val="24"/>
        </w:rPr>
        <w:drawing>
          <wp:inline distT="0" distB="0" distL="114300" distR="114300">
            <wp:extent cx="5274310" cy="2242820"/>
            <wp:effectExtent l="0" t="0" r="2540" b="5080"/>
            <wp:docPr id="1" name="图片 1" descr="中介图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介图_01(1)"/>
                    <pic:cNvPicPr>
                      <a:picLocks noChangeAspect="1"/>
                    </pic:cNvPicPr>
                  </pic:nvPicPr>
                  <pic:blipFill>
                    <a:blip r:embed="rId6"/>
                    <a:srcRect t="15219" r="4864" b="308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7CE7">
      <w:pPr>
        <w:widowControl/>
        <w:jc w:val="left"/>
        <w:rPr>
          <w:color w:val="000000"/>
          <w:kern w:val="0"/>
          <w:sz w:val="21"/>
          <w:szCs w:val="21"/>
        </w:rPr>
      </w:pPr>
    </w:p>
    <w:p w14:paraId="22ABDC5A">
      <w:pPr>
        <w:widowControl/>
        <w:jc w:val="left"/>
        <w:rPr>
          <w:color w:val="000000"/>
          <w:kern w:val="0"/>
          <w:sz w:val="21"/>
          <w:szCs w:val="21"/>
        </w:rPr>
      </w:pPr>
      <w:r>
        <w:rPr>
          <w:color w:val="000000"/>
          <w:kern w:val="0"/>
          <w:sz w:val="21"/>
          <w:szCs w:val="21"/>
        </w:rPr>
        <w:t>Fig</w:t>
      </w:r>
      <w:r>
        <w:rPr>
          <w:rFonts w:hint="eastAsia"/>
          <w:color w:val="000000"/>
          <w:kern w:val="0"/>
          <w:sz w:val="21"/>
          <w:szCs w:val="21"/>
        </w:rPr>
        <w:t xml:space="preserve"> S1</w:t>
      </w:r>
      <w:r>
        <w:rPr>
          <w:color w:val="000000"/>
          <w:kern w:val="0"/>
          <w:sz w:val="21"/>
          <w:szCs w:val="21"/>
        </w:rPr>
        <w:t>. Medication-adjusted mediation effect of body roundness index (BRI) on the association between high-density lipoprotein cholesterol (HDL-C) and diabetic retinopathy (DR).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 Pro Light">
    <w:panose1 w:val="020B0603030403020204"/>
    <w:charset w:val="00"/>
    <w:family w:val="auto"/>
    <w:pitch w:val="default"/>
    <w:sig w:usb0="20000287" w:usb1="00000001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DC"/>
    <w:rsid w:val="000300A8"/>
    <w:rsid w:val="001B3EFF"/>
    <w:rsid w:val="004C3DA3"/>
    <w:rsid w:val="00534995"/>
    <w:rsid w:val="00581A10"/>
    <w:rsid w:val="006C6EDD"/>
    <w:rsid w:val="007F25DC"/>
    <w:rsid w:val="00AB52D5"/>
    <w:rsid w:val="00B74EDC"/>
    <w:rsid w:val="00C77A7F"/>
    <w:rsid w:val="00D77FC5"/>
    <w:rsid w:val="00E96E8E"/>
    <w:rsid w:val="074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/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</Words>
  <Characters>1049</Characters>
  <Lines>24</Lines>
  <Paragraphs>6</Paragraphs>
  <TotalTime>0</TotalTime>
  <ScaleCrop>false</ScaleCrop>
  <LinksUpToDate>false</LinksUpToDate>
  <CharactersWithSpaces>1169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2026-01-14T03:09:00Z</dcterms:created>
  <dc:creator>Agent Smith</dc:creator>
  <cp:lastModifiedBy>Drx</cp:lastModifiedBy>
  <dcterms:modified xsi:type="dcterms:W3CDTF">2026-01-17T02:30:02Z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eyJoZGlkIjoiZWFjZmFhODdiNDA2ODY4MjQ0MDAxYzAyZjZmMGRhNTAiLCJ1c2VySWQiOiIyMzQzNzk0MzQifQ==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6E29B473A3E44E45828349AE51FD23B9_12</vt:lpwstr>
  </property>
</Properties>
</file>