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7CF1B">
      <w:pPr>
        <w:pStyle w:val="2"/>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b w:val="0"/>
          <w:bCs w:val="0"/>
          <w:sz w:val="21"/>
          <w:szCs w:val="21"/>
          <w:lang w:val="en-US" w:eastAsia="zh-CN"/>
        </w:rPr>
      </w:pPr>
      <w:r>
        <w:rPr>
          <w:rStyle w:val="6"/>
          <w:rFonts w:hint="eastAsia" w:eastAsia="宋体"/>
          <w:b w:val="0"/>
          <w:bCs w:val="0"/>
          <w:sz w:val="24"/>
          <w:szCs w:val="24"/>
          <w:lang w:eastAsia="zh-CN"/>
        </w:rPr>
        <w:t>Supplementary Table 1</w:t>
      </w:r>
      <w:r>
        <w:rPr>
          <w:rStyle w:val="6"/>
          <w:b w:val="0"/>
          <w:bCs w:val="0"/>
          <w:sz w:val="24"/>
          <w:szCs w:val="24"/>
        </w:rPr>
        <w:t>. Laboratory Reference Ranges and Analytical Methods</w:t>
      </w:r>
      <w:r>
        <w:rPr>
          <w:rStyle w:val="6"/>
          <w:rFonts w:hint="eastAsia" w:eastAsia="宋体"/>
          <w:b w:val="0"/>
          <w:bCs w:val="0"/>
          <w:sz w:val="24"/>
          <w:szCs w:val="24"/>
          <w:lang w:val="en-US" w:eastAsia="zh-CN"/>
        </w:rPr>
        <w:t>.</w:t>
      </w:r>
    </w:p>
    <w:tbl>
      <w:tblPr>
        <w:tblStyle w:val="4"/>
        <w:tblpPr w:leftFromText="180" w:rightFromText="180" w:vertAnchor="page" w:horzAnchor="page" w:tblpX="1374" w:tblpY="2146"/>
        <w:tblOverlap w:val="never"/>
        <w:tblW w:w="9000" w:type="dxa"/>
        <w:tblCellSpacing w:w="15"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536"/>
        <w:gridCol w:w="2646"/>
        <w:gridCol w:w="852"/>
        <w:gridCol w:w="2193"/>
        <w:gridCol w:w="1773"/>
      </w:tblGrid>
      <w:tr w14:paraId="2EDCD7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1491" w:type="dxa"/>
            <w:vAlign w:val="center"/>
          </w:tcPr>
          <w:p w14:paraId="12DC25B3">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Parameter</w:t>
            </w:r>
          </w:p>
        </w:tc>
        <w:tc>
          <w:tcPr>
            <w:tcW w:w="2616" w:type="dxa"/>
            <w:vAlign w:val="center"/>
          </w:tcPr>
          <w:p w14:paraId="15541EC2">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Methodology</w:t>
            </w:r>
          </w:p>
        </w:tc>
        <w:tc>
          <w:tcPr>
            <w:tcW w:w="822" w:type="dxa"/>
            <w:vAlign w:val="center"/>
          </w:tcPr>
          <w:p w14:paraId="118A3122">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Unit</w:t>
            </w:r>
          </w:p>
        </w:tc>
        <w:tc>
          <w:tcPr>
            <w:tcW w:w="2163" w:type="dxa"/>
            <w:vAlign w:val="center"/>
          </w:tcPr>
          <w:p w14:paraId="4818687E">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Reference Range</w:t>
            </w:r>
          </w:p>
        </w:tc>
        <w:tc>
          <w:tcPr>
            <w:tcW w:w="1728" w:type="dxa"/>
            <w:vAlign w:val="center"/>
          </w:tcPr>
          <w:p w14:paraId="6977B888">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b w:val="0"/>
                <w:bCs w:val="0"/>
                <w:sz w:val="24"/>
                <w:szCs w:val="24"/>
              </w:rPr>
            </w:pPr>
            <w:r>
              <w:rPr>
                <w:rFonts w:ascii="Times New Roman" w:hAnsi="Times New Roman" w:cs="Times New Roman"/>
                <w:b w:val="0"/>
                <w:bCs w:val="0"/>
                <w:sz w:val="24"/>
                <w:szCs w:val="24"/>
              </w:rPr>
              <w:t>Instrument Used</w:t>
            </w:r>
          </w:p>
        </w:tc>
      </w:tr>
      <w:tr w14:paraId="18A811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tcBorders>
              <w:top w:val="single" w:color="auto" w:sz="4" w:space="0"/>
            </w:tcBorders>
            <w:vAlign w:val="center"/>
          </w:tcPr>
          <w:p w14:paraId="40A55D3B">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Fasting Blood Glucose</w:t>
            </w:r>
          </w:p>
        </w:tc>
        <w:tc>
          <w:tcPr>
            <w:tcW w:w="2616" w:type="dxa"/>
            <w:tcBorders>
              <w:top w:val="single" w:color="auto" w:sz="4" w:space="0"/>
            </w:tcBorders>
            <w:vAlign w:val="center"/>
          </w:tcPr>
          <w:p w14:paraId="0D528643">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Hexokinase enzymatic method</w:t>
            </w:r>
          </w:p>
        </w:tc>
        <w:tc>
          <w:tcPr>
            <w:tcW w:w="822" w:type="dxa"/>
            <w:tcBorders>
              <w:top w:val="single" w:color="auto" w:sz="4" w:space="0"/>
            </w:tcBorders>
            <w:vAlign w:val="center"/>
          </w:tcPr>
          <w:p w14:paraId="0B8E637E">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mg/dL</w:t>
            </w:r>
          </w:p>
        </w:tc>
        <w:tc>
          <w:tcPr>
            <w:tcW w:w="2163" w:type="dxa"/>
            <w:tcBorders>
              <w:top w:val="single" w:color="auto" w:sz="4" w:space="0"/>
            </w:tcBorders>
            <w:vAlign w:val="center"/>
          </w:tcPr>
          <w:p w14:paraId="640B1DD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70–99</w:t>
            </w:r>
          </w:p>
        </w:tc>
        <w:tc>
          <w:tcPr>
            <w:tcW w:w="1728" w:type="dxa"/>
            <w:tcBorders>
              <w:top w:val="single" w:color="auto" w:sz="4" w:space="0"/>
            </w:tcBorders>
            <w:vAlign w:val="center"/>
          </w:tcPr>
          <w:p w14:paraId="78B37D32">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Roche Cobas 6000</w:t>
            </w:r>
          </w:p>
        </w:tc>
      </w:tr>
      <w:tr w14:paraId="4A605F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5D51FC3B">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Fasting Insulin</w:t>
            </w:r>
          </w:p>
        </w:tc>
        <w:tc>
          <w:tcPr>
            <w:tcW w:w="2616" w:type="dxa"/>
            <w:vAlign w:val="center"/>
          </w:tcPr>
          <w:p w14:paraId="1CB0119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Chemiluminescent immunoassay</w:t>
            </w:r>
          </w:p>
        </w:tc>
        <w:tc>
          <w:tcPr>
            <w:tcW w:w="822" w:type="dxa"/>
            <w:vAlign w:val="center"/>
          </w:tcPr>
          <w:p w14:paraId="6EADFBFA">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µIU/mL</w:t>
            </w:r>
          </w:p>
        </w:tc>
        <w:tc>
          <w:tcPr>
            <w:tcW w:w="2163" w:type="dxa"/>
            <w:vAlign w:val="center"/>
          </w:tcPr>
          <w:p w14:paraId="12877039">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1728" w:type="dxa"/>
            <w:vAlign w:val="center"/>
          </w:tcPr>
          <w:p w14:paraId="591DF347">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Abbott Architect i2000SR</w:t>
            </w:r>
          </w:p>
        </w:tc>
      </w:tr>
      <w:tr w14:paraId="7BD215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37A22B3B">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HbA1c</w:t>
            </w:r>
          </w:p>
        </w:tc>
        <w:tc>
          <w:tcPr>
            <w:tcW w:w="2616" w:type="dxa"/>
            <w:vAlign w:val="center"/>
          </w:tcPr>
          <w:p w14:paraId="7846AB78">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HPLC</w:t>
            </w:r>
          </w:p>
        </w:tc>
        <w:tc>
          <w:tcPr>
            <w:tcW w:w="822" w:type="dxa"/>
            <w:vAlign w:val="center"/>
          </w:tcPr>
          <w:p w14:paraId="29969F35">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163" w:type="dxa"/>
            <w:vAlign w:val="center"/>
          </w:tcPr>
          <w:p w14:paraId="684C6828">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&lt;5.7</w:t>
            </w:r>
          </w:p>
        </w:tc>
        <w:tc>
          <w:tcPr>
            <w:tcW w:w="1728" w:type="dxa"/>
            <w:vAlign w:val="center"/>
          </w:tcPr>
          <w:p w14:paraId="352AB7E4">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Bio-Rad D-10 Analyzer</w:t>
            </w:r>
          </w:p>
        </w:tc>
      </w:tr>
      <w:tr w14:paraId="63C7A1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268B3A43">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Total Cholesterol</w:t>
            </w:r>
          </w:p>
        </w:tc>
        <w:tc>
          <w:tcPr>
            <w:tcW w:w="2616" w:type="dxa"/>
            <w:vAlign w:val="center"/>
          </w:tcPr>
          <w:p w14:paraId="5B926F55">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Enzymatic colorimetric</w:t>
            </w:r>
          </w:p>
        </w:tc>
        <w:tc>
          <w:tcPr>
            <w:tcW w:w="822" w:type="dxa"/>
            <w:vAlign w:val="center"/>
          </w:tcPr>
          <w:p w14:paraId="051DE845">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mg/dL</w:t>
            </w:r>
          </w:p>
        </w:tc>
        <w:tc>
          <w:tcPr>
            <w:tcW w:w="2163" w:type="dxa"/>
            <w:vAlign w:val="center"/>
          </w:tcPr>
          <w:p w14:paraId="6F3C506D">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&lt;200</w:t>
            </w:r>
          </w:p>
        </w:tc>
        <w:tc>
          <w:tcPr>
            <w:tcW w:w="1728" w:type="dxa"/>
            <w:vAlign w:val="center"/>
          </w:tcPr>
          <w:p w14:paraId="50E3AC10">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Beckman AU5800</w:t>
            </w:r>
          </w:p>
        </w:tc>
      </w:tr>
      <w:tr w14:paraId="427AA9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6A4445AD">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HDL-C</w:t>
            </w:r>
          </w:p>
        </w:tc>
        <w:tc>
          <w:tcPr>
            <w:tcW w:w="2616" w:type="dxa"/>
            <w:vAlign w:val="center"/>
          </w:tcPr>
          <w:p w14:paraId="096FBB2A">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Direct enzymatic</w:t>
            </w:r>
          </w:p>
        </w:tc>
        <w:tc>
          <w:tcPr>
            <w:tcW w:w="822" w:type="dxa"/>
            <w:vAlign w:val="center"/>
          </w:tcPr>
          <w:p w14:paraId="7B70BD4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mg/dL</w:t>
            </w:r>
          </w:p>
        </w:tc>
        <w:tc>
          <w:tcPr>
            <w:tcW w:w="2163" w:type="dxa"/>
            <w:vAlign w:val="center"/>
          </w:tcPr>
          <w:p w14:paraId="6AA0F7A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&gt;40</w:t>
            </w:r>
          </w:p>
        </w:tc>
        <w:tc>
          <w:tcPr>
            <w:tcW w:w="1728" w:type="dxa"/>
            <w:vAlign w:val="center"/>
          </w:tcPr>
          <w:p w14:paraId="0EC2586E">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Beckman AU5800</w:t>
            </w:r>
          </w:p>
        </w:tc>
      </w:tr>
      <w:tr w14:paraId="1150F0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293F4F69">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LDL-C</w:t>
            </w:r>
          </w:p>
        </w:tc>
        <w:tc>
          <w:tcPr>
            <w:tcW w:w="2616" w:type="dxa"/>
            <w:vAlign w:val="center"/>
          </w:tcPr>
          <w:p w14:paraId="1997D99D">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Calculated (Friedewald)</w:t>
            </w:r>
          </w:p>
        </w:tc>
        <w:tc>
          <w:tcPr>
            <w:tcW w:w="822" w:type="dxa"/>
            <w:vAlign w:val="center"/>
          </w:tcPr>
          <w:p w14:paraId="3BDFAD93">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mg/dL</w:t>
            </w:r>
          </w:p>
        </w:tc>
        <w:tc>
          <w:tcPr>
            <w:tcW w:w="2163" w:type="dxa"/>
            <w:vAlign w:val="center"/>
          </w:tcPr>
          <w:p w14:paraId="10161BB8">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&lt;130</w:t>
            </w:r>
          </w:p>
        </w:tc>
        <w:tc>
          <w:tcPr>
            <w:tcW w:w="1728" w:type="dxa"/>
            <w:vAlign w:val="center"/>
          </w:tcPr>
          <w:p w14:paraId="5E4FCDAB">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Beckman AU5800</w:t>
            </w:r>
          </w:p>
        </w:tc>
      </w:tr>
      <w:tr w14:paraId="7DA89C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0E0B1EB8">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Triglycerides</w:t>
            </w:r>
          </w:p>
        </w:tc>
        <w:tc>
          <w:tcPr>
            <w:tcW w:w="2616" w:type="dxa"/>
            <w:vAlign w:val="center"/>
          </w:tcPr>
          <w:p w14:paraId="555FE047">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GPO-PAP enzymatic</w:t>
            </w:r>
          </w:p>
        </w:tc>
        <w:tc>
          <w:tcPr>
            <w:tcW w:w="822" w:type="dxa"/>
            <w:vAlign w:val="center"/>
          </w:tcPr>
          <w:p w14:paraId="66FE7299">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mg/dL</w:t>
            </w:r>
          </w:p>
        </w:tc>
        <w:tc>
          <w:tcPr>
            <w:tcW w:w="2163" w:type="dxa"/>
            <w:vAlign w:val="center"/>
          </w:tcPr>
          <w:p w14:paraId="724482B8">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&lt;150</w:t>
            </w:r>
          </w:p>
        </w:tc>
        <w:tc>
          <w:tcPr>
            <w:tcW w:w="1728" w:type="dxa"/>
            <w:vAlign w:val="center"/>
          </w:tcPr>
          <w:p w14:paraId="3C7B7C39">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Beckman AU5800</w:t>
            </w:r>
          </w:p>
        </w:tc>
      </w:tr>
      <w:tr w14:paraId="5FF493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132A2CA8">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ALT</w:t>
            </w:r>
          </w:p>
        </w:tc>
        <w:tc>
          <w:tcPr>
            <w:tcW w:w="2616" w:type="dxa"/>
            <w:vAlign w:val="center"/>
          </w:tcPr>
          <w:p w14:paraId="29CF5C8C">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Kinetic UV method</w:t>
            </w:r>
          </w:p>
        </w:tc>
        <w:tc>
          <w:tcPr>
            <w:tcW w:w="822" w:type="dxa"/>
            <w:vAlign w:val="center"/>
          </w:tcPr>
          <w:p w14:paraId="554FB93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U/L</w:t>
            </w:r>
          </w:p>
        </w:tc>
        <w:tc>
          <w:tcPr>
            <w:tcW w:w="2163" w:type="dxa"/>
            <w:vAlign w:val="center"/>
          </w:tcPr>
          <w:p w14:paraId="1D68A221">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&lt;40</w:t>
            </w:r>
          </w:p>
        </w:tc>
        <w:tc>
          <w:tcPr>
            <w:tcW w:w="1728" w:type="dxa"/>
            <w:vAlign w:val="center"/>
          </w:tcPr>
          <w:p w14:paraId="66EA43A1">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Roche Cobas 6000</w:t>
            </w:r>
          </w:p>
        </w:tc>
      </w:tr>
      <w:tr w14:paraId="764315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263656CE">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AST</w:t>
            </w:r>
          </w:p>
        </w:tc>
        <w:tc>
          <w:tcPr>
            <w:tcW w:w="2616" w:type="dxa"/>
            <w:vAlign w:val="center"/>
          </w:tcPr>
          <w:p w14:paraId="0A76D13E">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Kinetic UV method</w:t>
            </w:r>
          </w:p>
        </w:tc>
        <w:tc>
          <w:tcPr>
            <w:tcW w:w="822" w:type="dxa"/>
            <w:vAlign w:val="center"/>
          </w:tcPr>
          <w:p w14:paraId="336EF087">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U/L</w:t>
            </w:r>
          </w:p>
        </w:tc>
        <w:tc>
          <w:tcPr>
            <w:tcW w:w="2163" w:type="dxa"/>
            <w:vAlign w:val="center"/>
          </w:tcPr>
          <w:p w14:paraId="1401F39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&lt;40</w:t>
            </w:r>
          </w:p>
        </w:tc>
        <w:tc>
          <w:tcPr>
            <w:tcW w:w="1728" w:type="dxa"/>
            <w:vAlign w:val="center"/>
          </w:tcPr>
          <w:p w14:paraId="238B3A3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Roche Cobas 6000</w:t>
            </w:r>
          </w:p>
        </w:tc>
      </w:tr>
      <w:tr w14:paraId="2E4FDD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62CB3F3E">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TSH</w:t>
            </w:r>
          </w:p>
        </w:tc>
        <w:tc>
          <w:tcPr>
            <w:tcW w:w="2616" w:type="dxa"/>
            <w:vAlign w:val="center"/>
          </w:tcPr>
          <w:p w14:paraId="4AEE58A0">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Electrochemiluminescence</w:t>
            </w:r>
          </w:p>
        </w:tc>
        <w:tc>
          <w:tcPr>
            <w:tcW w:w="822" w:type="dxa"/>
            <w:vAlign w:val="center"/>
          </w:tcPr>
          <w:p w14:paraId="6D91CE0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µIU/mL</w:t>
            </w:r>
          </w:p>
        </w:tc>
        <w:tc>
          <w:tcPr>
            <w:tcW w:w="2163" w:type="dxa"/>
            <w:vAlign w:val="center"/>
          </w:tcPr>
          <w:p w14:paraId="25CE9C2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0.4–4.0</w:t>
            </w:r>
          </w:p>
        </w:tc>
        <w:tc>
          <w:tcPr>
            <w:tcW w:w="1728" w:type="dxa"/>
            <w:vAlign w:val="center"/>
          </w:tcPr>
          <w:p w14:paraId="172C1C19">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Abbott Architect i2000SR</w:t>
            </w:r>
          </w:p>
        </w:tc>
      </w:tr>
      <w:tr w14:paraId="0B45C1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783ED3D3">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Free T4</w:t>
            </w:r>
          </w:p>
        </w:tc>
        <w:tc>
          <w:tcPr>
            <w:tcW w:w="2616" w:type="dxa"/>
            <w:vAlign w:val="center"/>
          </w:tcPr>
          <w:p w14:paraId="08319725">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Chemiluminescent immunoassay</w:t>
            </w:r>
          </w:p>
        </w:tc>
        <w:tc>
          <w:tcPr>
            <w:tcW w:w="822" w:type="dxa"/>
            <w:vAlign w:val="center"/>
          </w:tcPr>
          <w:p w14:paraId="5246A7FD">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ng/dL</w:t>
            </w:r>
          </w:p>
        </w:tc>
        <w:tc>
          <w:tcPr>
            <w:tcW w:w="2163" w:type="dxa"/>
            <w:vAlign w:val="center"/>
          </w:tcPr>
          <w:p w14:paraId="0D42F88F">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0.8–1.8</w:t>
            </w:r>
          </w:p>
        </w:tc>
        <w:tc>
          <w:tcPr>
            <w:tcW w:w="1728" w:type="dxa"/>
            <w:vAlign w:val="center"/>
          </w:tcPr>
          <w:p w14:paraId="4F71072E">
            <w:pPr>
              <w:keepNext w:val="0"/>
              <w:keepLines w:val="0"/>
              <w:pageBreakBefore w:val="0"/>
              <w:kinsoku/>
              <w:wordWrap/>
              <w:overflowPunct/>
              <w:topLinePunct w:val="0"/>
              <w:autoSpaceDE/>
              <w:autoSpaceDN/>
              <w:bidi w:val="0"/>
              <w:adjustRightInd/>
              <w:snapToGrid/>
              <w:spacing w:line="216" w:lineRule="auto"/>
              <w:jc w:val="center"/>
              <w:rPr>
                <w:rFonts w:ascii="Times New Roman" w:hAnsi="Times New Roman" w:cs="Times New Roman"/>
                <w:sz w:val="24"/>
                <w:szCs w:val="24"/>
              </w:rPr>
            </w:pPr>
            <w:r>
              <w:rPr>
                <w:rFonts w:ascii="Times New Roman" w:hAnsi="Times New Roman" w:cs="Times New Roman"/>
                <w:sz w:val="24"/>
                <w:szCs w:val="24"/>
              </w:rPr>
              <w:t>Abbott Architect i2000SR</w:t>
            </w:r>
          </w:p>
        </w:tc>
      </w:tr>
      <w:tr w14:paraId="32C951D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4189E884">
            <w:pPr>
              <w:keepNext w:val="0"/>
              <w:keepLines w:val="0"/>
              <w:pageBreakBefore w:val="0"/>
              <w:kinsoku/>
              <w:wordWrap/>
              <w:overflowPunct/>
              <w:topLinePunct w:val="0"/>
              <w:autoSpaceDE/>
              <w:autoSpaceDN/>
              <w:bidi w:val="0"/>
              <w:adjustRightInd/>
              <w:snapToGrid/>
              <w:spacing w:line="216"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IGF-1</w:t>
            </w:r>
          </w:p>
        </w:tc>
        <w:tc>
          <w:tcPr>
            <w:tcW w:w="2616" w:type="dxa"/>
            <w:vAlign w:val="center"/>
          </w:tcPr>
          <w:p w14:paraId="4B0D0676">
            <w:pPr>
              <w:keepNext w:val="0"/>
              <w:keepLines w:val="0"/>
              <w:pageBreakBefore w:val="0"/>
              <w:kinsoku/>
              <w:wordWrap/>
              <w:overflowPunct/>
              <w:topLinePunct w:val="0"/>
              <w:autoSpaceDE/>
              <w:autoSpaceDN/>
              <w:bidi w:val="0"/>
              <w:adjustRightInd/>
              <w:snapToGrid/>
              <w:spacing w:line="216"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Chemiluminescent immunoassay</w:t>
            </w:r>
          </w:p>
        </w:tc>
        <w:tc>
          <w:tcPr>
            <w:tcW w:w="822" w:type="dxa"/>
            <w:vAlign w:val="center"/>
          </w:tcPr>
          <w:p w14:paraId="7311D8D2">
            <w:pPr>
              <w:keepNext w:val="0"/>
              <w:keepLines w:val="0"/>
              <w:pageBreakBefore w:val="0"/>
              <w:kinsoku/>
              <w:wordWrap/>
              <w:overflowPunct/>
              <w:topLinePunct w:val="0"/>
              <w:autoSpaceDE/>
              <w:autoSpaceDN/>
              <w:bidi w:val="0"/>
              <w:adjustRightInd/>
              <w:snapToGrid/>
              <w:spacing w:line="216"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ng/mL</w:t>
            </w:r>
          </w:p>
        </w:tc>
        <w:tc>
          <w:tcPr>
            <w:tcW w:w="2163" w:type="dxa"/>
            <w:vAlign w:val="center"/>
          </w:tcPr>
          <w:p w14:paraId="38E01597">
            <w:pPr>
              <w:keepNext w:val="0"/>
              <w:keepLines w:val="0"/>
              <w:pageBreakBefore w:val="0"/>
              <w:kinsoku/>
              <w:wordWrap/>
              <w:overflowPunct/>
              <w:topLinePunct w:val="0"/>
              <w:autoSpaceDE/>
              <w:autoSpaceDN/>
              <w:bidi w:val="0"/>
              <w:adjustRightInd/>
              <w:snapToGrid/>
              <w:spacing w:line="216"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Age-, sex-, and puberty-stage-specific reference interval</w:t>
            </w:r>
          </w:p>
        </w:tc>
        <w:tc>
          <w:tcPr>
            <w:tcW w:w="1728" w:type="dxa"/>
            <w:vAlign w:val="center"/>
          </w:tcPr>
          <w:p w14:paraId="175CE437">
            <w:pPr>
              <w:keepNext w:val="0"/>
              <w:keepLines w:val="0"/>
              <w:pageBreakBefore w:val="0"/>
              <w:kinsoku/>
              <w:wordWrap/>
              <w:overflowPunct/>
              <w:topLinePunct w:val="0"/>
              <w:autoSpaceDE/>
              <w:autoSpaceDN/>
              <w:bidi w:val="0"/>
              <w:adjustRightInd/>
              <w:snapToGrid/>
              <w:spacing w:line="216" w:lineRule="auto"/>
              <w:jc w:val="center"/>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Abbott Architect i2000SR</w:t>
            </w:r>
          </w:p>
        </w:tc>
      </w:tr>
      <w:tr w14:paraId="53ABF3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center"/>
          </w:tcPr>
          <w:p w14:paraId="462FFFF0">
            <w:pPr>
              <w:keepNext w:val="0"/>
              <w:keepLines w:val="0"/>
              <w:pageBreakBefore w:val="0"/>
              <w:widowControl/>
              <w:suppressLineNumbers w:val="0"/>
              <w:kinsoku/>
              <w:wordWrap/>
              <w:overflowPunct/>
              <w:topLinePunct w:val="0"/>
              <w:autoSpaceDE/>
              <w:autoSpaceDN/>
              <w:bidi w:val="0"/>
              <w:adjustRightInd/>
              <w:snapToGrid/>
              <w:spacing w:line="216"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Cortisol</w:t>
            </w:r>
          </w:p>
        </w:tc>
        <w:tc>
          <w:tcPr>
            <w:tcW w:w="2616" w:type="dxa"/>
            <w:vAlign w:val="center"/>
          </w:tcPr>
          <w:p w14:paraId="18EF3812">
            <w:pPr>
              <w:keepNext w:val="0"/>
              <w:keepLines w:val="0"/>
              <w:pageBreakBefore w:val="0"/>
              <w:widowControl/>
              <w:suppressLineNumbers w:val="0"/>
              <w:kinsoku/>
              <w:wordWrap/>
              <w:overflowPunct/>
              <w:topLinePunct w:val="0"/>
              <w:autoSpaceDE/>
              <w:autoSpaceDN/>
              <w:bidi w:val="0"/>
              <w:adjustRightInd/>
              <w:snapToGrid/>
              <w:spacing w:line="216"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Chemiluminescent immunoassay</w:t>
            </w:r>
          </w:p>
        </w:tc>
        <w:tc>
          <w:tcPr>
            <w:tcW w:w="822" w:type="dxa"/>
            <w:vAlign w:val="center"/>
          </w:tcPr>
          <w:p w14:paraId="1DC1E54C">
            <w:pPr>
              <w:keepNext w:val="0"/>
              <w:keepLines w:val="0"/>
              <w:pageBreakBefore w:val="0"/>
              <w:widowControl/>
              <w:suppressLineNumbers w:val="0"/>
              <w:kinsoku/>
              <w:wordWrap/>
              <w:overflowPunct/>
              <w:topLinePunct w:val="0"/>
              <w:autoSpaceDE/>
              <w:autoSpaceDN/>
              <w:bidi w:val="0"/>
              <w:adjustRightInd/>
              <w:snapToGrid/>
              <w:spacing w:line="216"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μg/dL</w:t>
            </w:r>
          </w:p>
        </w:tc>
        <w:tc>
          <w:tcPr>
            <w:tcW w:w="2163" w:type="dxa"/>
            <w:vAlign w:val="center"/>
          </w:tcPr>
          <w:p w14:paraId="3DBDCD45">
            <w:pPr>
              <w:keepNext w:val="0"/>
              <w:keepLines w:val="0"/>
              <w:pageBreakBefore w:val="0"/>
              <w:widowControl/>
              <w:suppressLineNumbers w:val="0"/>
              <w:kinsoku/>
              <w:wordWrap/>
              <w:overflowPunct/>
              <w:topLinePunct w:val="0"/>
              <w:autoSpaceDE/>
              <w:autoSpaceDN/>
              <w:bidi w:val="0"/>
              <w:adjustRightInd/>
              <w:snapToGrid/>
              <w:spacing w:line="216"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6–23</w:t>
            </w:r>
          </w:p>
        </w:tc>
        <w:tc>
          <w:tcPr>
            <w:tcW w:w="1728" w:type="dxa"/>
            <w:vAlign w:val="center"/>
          </w:tcPr>
          <w:p w14:paraId="568FE41E">
            <w:pPr>
              <w:keepNext w:val="0"/>
              <w:keepLines w:val="0"/>
              <w:pageBreakBefore w:val="0"/>
              <w:widowControl/>
              <w:suppressLineNumbers w:val="0"/>
              <w:kinsoku/>
              <w:wordWrap/>
              <w:overflowPunct/>
              <w:topLinePunct w:val="0"/>
              <w:autoSpaceDE/>
              <w:autoSpaceDN/>
              <w:bidi w:val="0"/>
              <w:adjustRightInd/>
              <w:snapToGrid/>
              <w:spacing w:line="216"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Abbott Architect i2000SR</w:t>
            </w:r>
          </w:p>
        </w:tc>
      </w:tr>
      <w:tr w14:paraId="18D3C8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bottom"/>
          </w:tcPr>
          <w:p w14:paraId="0C3E007A">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Leptin</w:t>
            </w:r>
          </w:p>
        </w:tc>
        <w:tc>
          <w:tcPr>
            <w:tcW w:w="2616" w:type="dxa"/>
            <w:vAlign w:val="bottom"/>
          </w:tcPr>
          <w:p w14:paraId="19DDFFB1">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ELISA</w:t>
            </w:r>
          </w:p>
        </w:tc>
        <w:tc>
          <w:tcPr>
            <w:tcW w:w="822" w:type="dxa"/>
            <w:vAlign w:val="bottom"/>
          </w:tcPr>
          <w:p w14:paraId="4D172F84">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ng/mL</w:t>
            </w:r>
          </w:p>
        </w:tc>
        <w:tc>
          <w:tcPr>
            <w:tcW w:w="2163" w:type="dxa"/>
            <w:vAlign w:val="bottom"/>
          </w:tcPr>
          <w:p w14:paraId="3CCDF16E">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3–18</w:t>
            </w:r>
          </w:p>
        </w:tc>
        <w:tc>
          <w:tcPr>
            <w:tcW w:w="1728" w:type="dxa"/>
            <w:vAlign w:val="bottom"/>
          </w:tcPr>
          <w:p w14:paraId="79E975EF">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Arial" w:cs="Times New Roman"/>
                <w:i w:val="0"/>
                <w:iCs w:val="0"/>
                <w:caps w:val="0"/>
                <w:color w:val="000000" w:themeColor="text1"/>
                <w:spacing w:val="0"/>
                <w:sz w:val="24"/>
                <w:szCs w:val="24"/>
                <w:highlight w:val="none"/>
                <w:shd w:val="clear" w:fill="FFFFFF"/>
                <w14:textFill>
                  <w14:solidFill>
                    <w14:schemeClr w14:val="tx1"/>
                  </w14:solidFill>
                </w14:textFill>
              </w:rPr>
              <w:t>BioTek 800 TS absorbance reader</w:t>
            </w:r>
          </w:p>
        </w:tc>
      </w:tr>
      <w:tr w14:paraId="1791C1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491" w:type="dxa"/>
            <w:vAlign w:val="bottom"/>
          </w:tcPr>
          <w:p w14:paraId="123498C7">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Adiponectin</w:t>
            </w:r>
          </w:p>
        </w:tc>
        <w:tc>
          <w:tcPr>
            <w:tcW w:w="2616" w:type="dxa"/>
            <w:vAlign w:val="bottom"/>
          </w:tcPr>
          <w:p w14:paraId="63B11B86">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 xml:space="preserve"> ELISA</w:t>
            </w:r>
          </w:p>
        </w:tc>
        <w:tc>
          <w:tcPr>
            <w:tcW w:w="822" w:type="dxa"/>
            <w:vAlign w:val="bottom"/>
          </w:tcPr>
          <w:p w14:paraId="1FE60093">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μg/mL</w:t>
            </w:r>
          </w:p>
        </w:tc>
        <w:tc>
          <w:tcPr>
            <w:tcW w:w="2163" w:type="dxa"/>
            <w:vAlign w:val="bottom"/>
          </w:tcPr>
          <w:p w14:paraId="39B2E8EB">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t>6–12</w:t>
            </w:r>
          </w:p>
        </w:tc>
        <w:tc>
          <w:tcPr>
            <w:tcW w:w="1728" w:type="dxa"/>
            <w:vAlign w:val="bottom"/>
          </w:tcPr>
          <w:p w14:paraId="223B8A67">
            <w:pPr>
              <w:keepNext w:val="0"/>
              <w:keepLines w:val="0"/>
              <w:pageBreakBefore w:val="0"/>
              <w:widowControl/>
              <w:suppressLineNumbers w:val="0"/>
              <w:kinsoku/>
              <w:wordWrap/>
              <w:overflowPunct/>
              <w:topLinePunct w:val="0"/>
              <w:autoSpaceDE/>
              <w:autoSpaceDN/>
              <w:bidi w:val="0"/>
              <w:adjustRightInd/>
              <w:snapToGrid/>
              <w:spacing w:line="216" w:lineRule="auto"/>
              <w:jc w:val="left"/>
              <w:textAlignment w:val="bottom"/>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pPr>
            <w:r>
              <w:rPr>
                <w:rFonts w:hint="default" w:ascii="Times New Roman" w:hAnsi="Times New Roman" w:eastAsia="Arial" w:cs="Times New Roman"/>
                <w:i w:val="0"/>
                <w:iCs w:val="0"/>
                <w:caps w:val="0"/>
                <w:color w:val="000000" w:themeColor="text1"/>
                <w:spacing w:val="0"/>
                <w:sz w:val="24"/>
                <w:szCs w:val="24"/>
                <w:highlight w:val="none"/>
                <w:shd w:val="clear" w:fill="FFFFFF"/>
                <w14:textFill>
                  <w14:solidFill>
                    <w14:schemeClr w14:val="tx1"/>
                  </w14:solidFill>
                </w14:textFill>
              </w:rPr>
              <w:t> BioTek 800 TS absorbance reader</w:t>
            </w:r>
          </w:p>
        </w:tc>
      </w:tr>
    </w:tbl>
    <w:p w14:paraId="228AEDB7">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CDD3578">
      <w:pPr>
        <w:pStyle w:val="2"/>
        <w:jc w:val="center"/>
        <w:rPr>
          <w:rFonts w:hint="eastAsia" w:eastAsia="宋体"/>
          <w:b w:val="0"/>
          <w:bCs w:val="0"/>
          <w:sz w:val="24"/>
          <w:szCs w:val="24"/>
          <w:lang w:val="en-US" w:eastAsia="zh-CN"/>
        </w:rPr>
      </w:pPr>
      <w:r>
        <w:rPr>
          <w:rFonts w:hint="eastAsia" w:eastAsia="宋体"/>
          <w:b w:val="0"/>
          <w:bCs w:val="0"/>
          <w:sz w:val="24"/>
          <w:szCs w:val="24"/>
          <w:lang w:eastAsia="zh-CN"/>
        </w:rPr>
        <w:t>Supplementary Table 2</w:t>
      </w:r>
      <w:r>
        <w:rPr>
          <w:rFonts w:hint="eastAsia"/>
          <w:b w:val="0"/>
          <w:bCs w:val="0"/>
          <w:sz w:val="24"/>
          <w:szCs w:val="24"/>
        </w:rPr>
        <w:t>. HOMA-IR and MetS Distribution by Sex and Tanner Stage.</w:t>
      </w:r>
    </w:p>
    <w:p w14:paraId="730CBDE2"/>
    <w:tbl>
      <w:tblPr>
        <w:tblStyle w:val="4"/>
        <w:tblW w:w="1334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47"/>
        <w:gridCol w:w="1967"/>
        <w:gridCol w:w="2000"/>
        <w:gridCol w:w="2200"/>
        <w:gridCol w:w="1766"/>
        <w:gridCol w:w="2167"/>
      </w:tblGrid>
      <w:tr w14:paraId="7BBD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247" w:type="dxa"/>
            <w:tcBorders>
              <w:top w:val="single" w:color="auto" w:sz="4" w:space="0"/>
              <w:left w:val="nil"/>
              <w:bottom w:val="single" w:color="auto" w:sz="4" w:space="0"/>
              <w:right w:val="nil"/>
            </w:tcBorders>
            <w:shd w:val="clear" w:color="auto" w:fill="auto"/>
            <w:noWrap/>
            <w:vAlign w:val="bottom"/>
          </w:tcPr>
          <w:p w14:paraId="6BB92481">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Variable</w:t>
            </w:r>
          </w:p>
        </w:tc>
        <w:tc>
          <w:tcPr>
            <w:tcW w:w="1967" w:type="dxa"/>
            <w:tcBorders>
              <w:top w:val="single" w:color="auto" w:sz="4" w:space="0"/>
              <w:left w:val="nil"/>
              <w:bottom w:val="single" w:color="auto" w:sz="4" w:space="0"/>
              <w:right w:val="nil"/>
            </w:tcBorders>
            <w:shd w:val="clear" w:color="auto" w:fill="auto"/>
            <w:noWrap/>
            <w:vAlign w:val="bottom"/>
          </w:tcPr>
          <w:p w14:paraId="369FB70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Total (n=429)</w:t>
            </w:r>
          </w:p>
        </w:tc>
        <w:tc>
          <w:tcPr>
            <w:tcW w:w="2000" w:type="dxa"/>
            <w:tcBorders>
              <w:top w:val="single" w:color="auto" w:sz="4" w:space="0"/>
              <w:left w:val="nil"/>
              <w:bottom w:val="single" w:color="auto" w:sz="4" w:space="0"/>
              <w:right w:val="nil"/>
            </w:tcBorders>
            <w:shd w:val="clear" w:color="auto" w:fill="auto"/>
            <w:noWrap/>
            <w:vAlign w:val="bottom"/>
          </w:tcPr>
          <w:p w14:paraId="5BF8592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Male (n=240)</w:t>
            </w:r>
          </w:p>
        </w:tc>
        <w:tc>
          <w:tcPr>
            <w:tcW w:w="2200" w:type="dxa"/>
            <w:tcBorders>
              <w:top w:val="single" w:color="auto" w:sz="4" w:space="0"/>
              <w:left w:val="nil"/>
              <w:bottom w:val="single" w:color="auto" w:sz="4" w:space="0"/>
              <w:right w:val="nil"/>
            </w:tcBorders>
            <w:shd w:val="clear" w:color="auto" w:fill="auto"/>
            <w:noWrap/>
            <w:vAlign w:val="bottom"/>
          </w:tcPr>
          <w:p w14:paraId="6EAA12D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Female (n=189)</w:t>
            </w:r>
          </w:p>
        </w:tc>
        <w:tc>
          <w:tcPr>
            <w:tcW w:w="1766" w:type="dxa"/>
            <w:tcBorders>
              <w:top w:val="single" w:color="auto" w:sz="4" w:space="0"/>
              <w:left w:val="nil"/>
              <w:bottom w:val="single" w:color="auto" w:sz="4" w:space="0"/>
              <w:right w:val="nil"/>
            </w:tcBorders>
            <w:shd w:val="clear" w:color="auto" w:fill="auto"/>
            <w:noWrap/>
            <w:vAlign w:val="bottom"/>
          </w:tcPr>
          <w:p w14:paraId="0328224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Crude p-value</w:t>
            </w:r>
          </w:p>
        </w:tc>
        <w:tc>
          <w:tcPr>
            <w:tcW w:w="2167" w:type="dxa"/>
            <w:tcBorders>
              <w:top w:val="single" w:color="auto" w:sz="4" w:space="0"/>
              <w:left w:val="nil"/>
              <w:bottom w:val="single" w:color="auto" w:sz="4" w:space="0"/>
              <w:right w:val="nil"/>
            </w:tcBorders>
            <w:shd w:val="clear" w:color="auto" w:fill="auto"/>
            <w:noWrap/>
            <w:vAlign w:val="bottom"/>
          </w:tcPr>
          <w:p w14:paraId="21907AE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Adjusted p-value</w:t>
            </w:r>
          </w:p>
        </w:tc>
      </w:tr>
      <w:tr w14:paraId="397B5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247" w:type="dxa"/>
            <w:tcBorders>
              <w:top w:val="single" w:color="auto" w:sz="4" w:space="0"/>
              <w:left w:val="nil"/>
              <w:bottom w:val="nil"/>
              <w:right w:val="nil"/>
            </w:tcBorders>
            <w:shd w:val="clear" w:color="auto" w:fill="auto"/>
            <w:noWrap/>
            <w:vAlign w:val="bottom"/>
          </w:tcPr>
          <w:p w14:paraId="68F6E0F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HOMA-IR, median (IQR)</w:t>
            </w:r>
          </w:p>
        </w:tc>
        <w:tc>
          <w:tcPr>
            <w:tcW w:w="1967" w:type="dxa"/>
            <w:tcBorders>
              <w:top w:val="single" w:color="auto" w:sz="4" w:space="0"/>
              <w:left w:val="nil"/>
              <w:bottom w:val="nil"/>
              <w:right w:val="nil"/>
            </w:tcBorders>
            <w:shd w:val="clear" w:color="auto" w:fill="auto"/>
            <w:noWrap/>
            <w:vAlign w:val="bottom"/>
          </w:tcPr>
          <w:p w14:paraId="48A79D1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4.38 (2.69–5.66)</w:t>
            </w:r>
          </w:p>
        </w:tc>
        <w:tc>
          <w:tcPr>
            <w:tcW w:w="2000" w:type="dxa"/>
            <w:tcBorders>
              <w:top w:val="single" w:color="auto" w:sz="4" w:space="0"/>
              <w:left w:val="nil"/>
              <w:bottom w:val="nil"/>
              <w:right w:val="nil"/>
            </w:tcBorders>
            <w:shd w:val="clear" w:color="auto" w:fill="auto"/>
            <w:noWrap/>
            <w:vAlign w:val="bottom"/>
          </w:tcPr>
          <w:p w14:paraId="4184670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4.22 (2.54–5.62)</w:t>
            </w:r>
          </w:p>
        </w:tc>
        <w:tc>
          <w:tcPr>
            <w:tcW w:w="2200" w:type="dxa"/>
            <w:tcBorders>
              <w:top w:val="single" w:color="auto" w:sz="4" w:space="0"/>
              <w:left w:val="nil"/>
              <w:bottom w:val="nil"/>
              <w:right w:val="nil"/>
            </w:tcBorders>
            <w:shd w:val="clear" w:color="auto" w:fill="auto"/>
            <w:noWrap/>
            <w:vAlign w:val="bottom"/>
          </w:tcPr>
          <w:p w14:paraId="10355C0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 (2.93–5.70)</w:t>
            </w:r>
          </w:p>
        </w:tc>
        <w:tc>
          <w:tcPr>
            <w:tcW w:w="1766" w:type="dxa"/>
            <w:tcBorders>
              <w:top w:val="single" w:color="auto" w:sz="4" w:space="0"/>
              <w:left w:val="nil"/>
              <w:bottom w:val="nil"/>
              <w:right w:val="nil"/>
            </w:tcBorders>
            <w:shd w:val="clear" w:color="auto" w:fill="auto"/>
            <w:noWrap/>
            <w:vAlign w:val="bottom"/>
          </w:tcPr>
          <w:p w14:paraId="2279D33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0.291</w:t>
            </w:r>
          </w:p>
        </w:tc>
        <w:tc>
          <w:tcPr>
            <w:tcW w:w="2167" w:type="dxa"/>
            <w:tcBorders>
              <w:top w:val="single" w:color="auto" w:sz="4" w:space="0"/>
              <w:left w:val="nil"/>
              <w:bottom w:val="nil"/>
              <w:right w:val="nil"/>
            </w:tcBorders>
            <w:shd w:val="clear" w:color="auto" w:fill="auto"/>
            <w:noWrap/>
            <w:vAlign w:val="bottom"/>
          </w:tcPr>
          <w:p w14:paraId="21EDB3C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0.092</w:t>
            </w:r>
          </w:p>
        </w:tc>
      </w:tr>
      <w:tr w14:paraId="078C9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247" w:type="dxa"/>
            <w:tcBorders>
              <w:top w:val="nil"/>
              <w:left w:val="nil"/>
              <w:bottom w:val="nil"/>
              <w:right w:val="nil"/>
            </w:tcBorders>
            <w:shd w:val="clear" w:color="auto" w:fill="auto"/>
            <w:noWrap/>
            <w:vAlign w:val="bottom"/>
          </w:tcPr>
          <w:p w14:paraId="22F3942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HOMA-IR by Tanner stage, median (IQR)</w:t>
            </w:r>
          </w:p>
        </w:tc>
        <w:tc>
          <w:tcPr>
            <w:tcW w:w="10100" w:type="dxa"/>
            <w:gridSpan w:val="5"/>
            <w:tcBorders>
              <w:top w:val="nil"/>
              <w:left w:val="nil"/>
              <w:bottom w:val="nil"/>
              <w:right w:val="nil"/>
            </w:tcBorders>
            <w:shd w:val="clear" w:color="auto" w:fill="auto"/>
            <w:noWrap/>
            <w:vAlign w:val="bottom"/>
          </w:tcPr>
          <w:p w14:paraId="6FA2DFF8">
            <w:pPr>
              <w:rPr>
                <w:rFonts w:hint="default" w:ascii="Times New Roman" w:hAnsi="Times New Roman" w:cs="Times New Roman"/>
                <w:i w:val="0"/>
                <w:iCs w:val="0"/>
                <w:color w:val="000000"/>
                <w:sz w:val="24"/>
                <w:szCs w:val="24"/>
                <w:u w:val="none"/>
              </w:rPr>
            </w:pPr>
          </w:p>
        </w:tc>
      </w:tr>
      <w:tr w14:paraId="3CB66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3247" w:type="dxa"/>
            <w:tcBorders>
              <w:top w:val="nil"/>
              <w:left w:val="nil"/>
              <w:bottom w:val="nil"/>
              <w:right w:val="nil"/>
            </w:tcBorders>
            <w:shd w:val="clear" w:color="auto" w:fill="auto"/>
            <w:noWrap/>
            <w:vAlign w:val="bottom"/>
          </w:tcPr>
          <w:p w14:paraId="41B88CB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Tanner I</w:t>
            </w:r>
          </w:p>
        </w:tc>
        <w:tc>
          <w:tcPr>
            <w:tcW w:w="1967" w:type="dxa"/>
            <w:tcBorders>
              <w:top w:val="nil"/>
              <w:left w:val="nil"/>
              <w:bottom w:val="nil"/>
              <w:right w:val="nil"/>
            </w:tcBorders>
            <w:shd w:val="clear" w:color="auto" w:fill="auto"/>
            <w:noWrap/>
            <w:vAlign w:val="bottom"/>
          </w:tcPr>
          <w:p w14:paraId="1F144C3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 (2.04–4.91)</w:t>
            </w:r>
          </w:p>
        </w:tc>
        <w:tc>
          <w:tcPr>
            <w:tcW w:w="2000" w:type="dxa"/>
            <w:tcBorders>
              <w:top w:val="nil"/>
              <w:left w:val="nil"/>
              <w:bottom w:val="nil"/>
              <w:right w:val="nil"/>
            </w:tcBorders>
            <w:shd w:val="clear" w:color="auto" w:fill="auto"/>
            <w:noWrap/>
            <w:vAlign w:val="bottom"/>
          </w:tcPr>
          <w:p w14:paraId="2F204EB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 (1.85–4.68)</w:t>
            </w:r>
          </w:p>
        </w:tc>
        <w:tc>
          <w:tcPr>
            <w:tcW w:w="2200" w:type="dxa"/>
            <w:tcBorders>
              <w:top w:val="nil"/>
              <w:left w:val="nil"/>
              <w:bottom w:val="nil"/>
              <w:right w:val="nil"/>
            </w:tcBorders>
            <w:shd w:val="clear" w:color="auto" w:fill="auto"/>
            <w:noWrap/>
            <w:vAlign w:val="bottom"/>
          </w:tcPr>
          <w:p w14:paraId="3CD58A1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3.98 (2.84–5.65)</w:t>
            </w:r>
          </w:p>
        </w:tc>
        <w:tc>
          <w:tcPr>
            <w:tcW w:w="1766" w:type="dxa"/>
            <w:tcBorders>
              <w:top w:val="nil"/>
              <w:left w:val="nil"/>
              <w:bottom w:val="nil"/>
              <w:right w:val="nil"/>
            </w:tcBorders>
            <w:shd w:val="clear" w:color="auto" w:fill="auto"/>
            <w:noWrap/>
            <w:vAlign w:val="bottom"/>
          </w:tcPr>
          <w:p w14:paraId="6DFC195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0.149</w:t>
            </w:r>
          </w:p>
        </w:tc>
        <w:tc>
          <w:tcPr>
            <w:tcW w:w="2167" w:type="dxa"/>
            <w:tcBorders>
              <w:top w:val="nil"/>
              <w:left w:val="nil"/>
              <w:bottom w:val="nil"/>
              <w:right w:val="nil"/>
            </w:tcBorders>
            <w:shd w:val="clear" w:color="auto" w:fill="auto"/>
            <w:noWrap/>
            <w:vAlign w:val="bottom"/>
          </w:tcPr>
          <w:p w14:paraId="4665C94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r>
      <w:tr w14:paraId="32736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247" w:type="dxa"/>
            <w:tcBorders>
              <w:top w:val="nil"/>
              <w:left w:val="nil"/>
              <w:bottom w:val="nil"/>
              <w:right w:val="nil"/>
            </w:tcBorders>
            <w:shd w:val="clear" w:color="auto" w:fill="auto"/>
            <w:noWrap/>
            <w:vAlign w:val="bottom"/>
          </w:tcPr>
          <w:p w14:paraId="475B6D1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Tanner II–V</w:t>
            </w:r>
          </w:p>
        </w:tc>
        <w:tc>
          <w:tcPr>
            <w:tcW w:w="1967" w:type="dxa"/>
            <w:tcBorders>
              <w:top w:val="nil"/>
              <w:left w:val="nil"/>
              <w:bottom w:val="nil"/>
              <w:right w:val="nil"/>
            </w:tcBorders>
            <w:shd w:val="clear" w:color="auto" w:fill="auto"/>
            <w:noWrap/>
            <w:vAlign w:val="bottom"/>
          </w:tcPr>
          <w:p w14:paraId="3C081870">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4.67 (2.92–5.77)</w:t>
            </w:r>
          </w:p>
        </w:tc>
        <w:tc>
          <w:tcPr>
            <w:tcW w:w="2000" w:type="dxa"/>
            <w:tcBorders>
              <w:top w:val="nil"/>
              <w:left w:val="nil"/>
              <w:bottom w:val="nil"/>
              <w:right w:val="nil"/>
            </w:tcBorders>
            <w:shd w:val="clear" w:color="auto" w:fill="auto"/>
            <w:noWrap/>
            <w:vAlign w:val="bottom"/>
          </w:tcPr>
          <w:p w14:paraId="11156B3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 (2.74–5.89)</w:t>
            </w:r>
          </w:p>
        </w:tc>
        <w:tc>
          <w:tcPr>
            <w:tcW w:w="2200" w:type="dxa"/>
            <w:tcBorders>
              <w:top w:val="nil"/>
              <w:left w:val="nil"/>
              <w:bottom w:val="nil"/>
              <w:right w:val="nil"/>
            </w:tcBorders>
            <w:shd w:val="clear" w:color="auto" w:fill="auto"/>
            <w:noWrap/>
            <w:vAlign w:val="bottom"/>
          </w:tcPr>
          <w:p w14:paraId="43B093B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4.71 (3.08–5.67)</w:t>
            </w:r>
          </w:p>
        </w:tc>
        <w:tc>
          <w:tcPr>
            <w:tcW w:w="1766" w:type="dxa"/>
            <w:tcBorders>
              <w:top w:val="nil"/>
              <w:left w:val="nil"/>
              <w:bottom w:val="nil"/>
              <w:right w:val="nil"/>
            </w:tcBorders>
            <w:shd w:val="clear" w:color="auto" w:fill="auto"/>
            <w:noWrap/>
            <w:vAlign w:val="bottom"/>
          </w:tcPr>
          <w:p w14:paraId="1A6973D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0.904</w:t>
            </w:r>
          </w:p>
        </w:tc>
        <w:tc>
          <w:tcPr>
            <w:tcW w:w="2167" w:type="dxa"/>
            <w:tcBorders>
              <w:top w:val="nil"/>
              <w:left w:val="nil"/>
              <w:bottom w:val="nil"/>
              <w:right w:val="nil"/>
            </w:tcBorders>
            <w:shd w:val="clear" w:color="auto" w:fill="auto"/>
            <w:noWrap/>
            <w:vAlign w:val="bottom"/>
          </w:tcPr>
          <w:p w14:paraId="5FB3AD5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r>
      <w:tr w14:paraId="5EA6C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247" w:type="dxa"/>
            <w:tcBorders>
              <w:top w:val="nil"/>
              <w:left w:val="nil"/>
              <w:bottom w:val="nil"/>
              <w:right w:val="nil"/>
            </w:tcBorders>
            <w:shd w:val="clear" w:color="auto" w:fill="auto"/>
            <w:noWrap/>
            <w:vAlign w:val="bottom"/>
          </w:tcPr>
          <w:p w14:paraId="45CA859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Insulin resistance by puberty-stage-specific cutoff, n (%)</w:t>
            </w:r>
          </w:p>
        </w:tc>
        <w:tc>
          <w:tcPr>
            <w:tcW w:w="1967" w:type="dxa"/>
            <w:tcBorders>
              <w:top w:val="nil"/>
              <w:left w:val="nil"/>
              <w:bottom w:val="nil"/>
              <w:right w:val="nil"/>
            </w:tcBorders>
            <w:shd w:val="clear" w:color="auto" w:fill="auto"/>
            <w:noWrap/>
            <w:vAlign w:val="bottom"/>
          </w:tcPr>
          <w:p w14:paraId="3FF41D3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 (72.3)</w:t>
            </w:r>
          </w:p>
        </w:tc>
        <w:tc>
          <w:tcPr>
            <w:tcW w:w="2000" w:type="dxa"/>
            <w:tcBorders>
              <w:top w:val="nil"/>
              <w:left w:val="nil"/>
              <w:bottom w:val="nil"/>
              <w:right w:val="nil"/>
            </w:tcBorders>
            <w:shd w:val="clear" w:color="auto" w:fill="auto"/>
            <w:noWrap/>
            <w:vAlign w:val="bottom"/>
          </w:tcPr>
          <w:p w14:paraId="6F10D60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 (68.6)</w:t>
            </w:r>
          </w:p>
        </w:tc>
        <w:tc>
          <w:tcPr>
            <w:tcW w:w="2200" w:type="dxa"/>
            <w:tcBorders>
              <w:top w:val="nil"/>
              <w:left w:val="nil"/>
              <w:bottom w:val="nil"/>
              <w:right w:val="nil"/>
            </w:tcBorders>
            <w:shd w:val="clear" w:color="auto" w:fill="auto"/>
            <w:noWrap/>
            <w:vAlign w:val="bottom"/>
          </w:tcPr>
          <w:p w14:paraId="226EE598">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 (77.2)</w:t>
            </w:r>
          </w:p>
        </w:tc>
        <w:tc>
          <w:tcPr>
            <w:tcW w:w="1766" w:type="dxa"/>
            <w:tcBorders>
              <w:top w:val="nil"/>
              <w:left w:val="nil"/>
              <w:bottom w:val="nil"/>
              <w:right w:val="nil"/>
            </w:tcBorders>
            <w:shd w:val="clear" w:color="auto" w:fill="auto"/>
            <w:noWrap/>
            <w:vAlign w:val="bottom"/>
          </w:tcPr>
          <w:p w14:paraId="6E288DA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0.076</w:t>
            </w:r>
          </w:p>
        </w:tc>
        <w:tc>
          <w:tcPr>
            <w:tcW w:w="2167" w:type="dxa"/>
            <w:tcBorders>
              <w:top w:val="nil"/>
              <w:left w:val="nil"/>
              <w:bottom w:val="nil"/>
              <w:right w:val="nil"/>
            </w:tcBorders>
            <w:shd w:val="clear" w:color="auto" w:fill="auto"/>
            <w:noWrap/>
            <w:vAlign w:val="bottom"/>
          </w:tcPr>
          <w:p w14:paraId="6BA9532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0.103</w:t>
            </w:r>
          </w:p>
        </w:tc>
      </w:tr>
      <w:tr w14:paraId="6B76C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247" w:type="dxa"/>
            <w:tcBorders>
              <w:top w:val="nil"/>
              <w:left w:val="nil"/>
              <w:bottom w:val="nil"/>
              <w:right w:val="nil"/>
            </w:tcBorders>
            <w:shd w:val="clear" w:color="auto" w:fill="auto"/>
            <w:noWrap/>
            <w:vAlign w:val="bottom"/>
          </w:tcPr>
          <w:p w14:paraId="330B683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Tanner I, HOMA-IR &gt;2.5</w:t>
            </w:r>
          </w:p>
        </w:tc>
        <w:tc>
          <w:tcPr>
            <w:tcW w:w="1967" w:type="dxa"/>
            <w:tcBorders>
              <w:top w:val="nil"/>
              <w:left w:val="nil"/>
              <w:bottom w:val="nil"/>
              <w:right w:val="nil"/>
            </w:tcBorders>
            <w:shd w:val="clear" w:color="auto" w:fill="auto"/>
            <w:noWrap/>
            <w:vAlign w:val="bottom"/>
          </w:tcPr>
          <w:p w14:paraId="54C8B64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 (68.0)</w:t>
            </w:r>
          </w:p>
        </w:tc>
        <w:tc>
          <w:tcPr>
            <w:tcW w:w="2000" w:type="dxa"/>
            <w:tcBorders>
              <w:top w:val="nil"/>
              <w:left w:val="nil"/>
              <w:bottom w:val="nil"/>
              <w:right w:val="nil"/>
            </w:tcBorders>
            <w:shd w:val="clear" w:color="auto" w:fill="auto"/>
            <w:noWrap/>
            <w:vAlign w:val="bottom"/>
          </w:tcPr>
          <w:p w14:paraId="2BD0CAC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 (62.5)</w:t>
            </w:r>
          </w:p>
        </w:tc>
        <w:tc>
          <w:tcPr>
            <w:tcW w:w="2200" w:type="dxa"/>
            <w:tcBorders>
              <w:top w:val="nil"/>
              <w:left w:val="nil"/>
              <w:bottom w:val="nil"/>
              <w:right w:val="nil"/>
            </w:tcBorders>
            <w:shd w:val="clear" w:color="auto" w:fill="auto"/>
            <w:noWrap/>
            <w:vAlign w:val="bottom"/>
          </w:tcPr>
          <w:p w14:paraId="31EF394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 (84.2)</w:t>
            </w:r>
          </w:p>
        </w:tc>
        <w:tc>
          <w:tcPr>
            <w:tcW w:w="1766" w:type="dxa"/>
            <w:tcBorders>
              <w:top w:val="nil"/>
              <w:left w:val="nil"/>
              <w:bottom w:val="nil"/>
              <w:right w:val="nil"/>
            </w:tcBorders>
            <w:shd w:val="clear" w:color="auto" w:fill="auto"/>
            <w:noWrap/>
            <w:vAlign w:val="bottom"/>
          </w:tcPr>
          <w:p w14:paraId="7316023A">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0.142</w:t>
            </w:r>
          </w:p>
        </w:tc>
        <w:tc>
          <w:tcPr>
            <w:tcW w:w="2167" w:type="dxa"/>
            <w:tcBorders>
              <w:top w:val="nil"/>
              <w:left w:val="nil"/>
              <w:bottom w:val="nil"/>
              <w:right w:val="nil"/>
            </w:tcBorders>
            <w:shd w:val="clear" w:color="auto" w:fill="auto"/>
            <w:noWrap/>
            <w:vAlign w:val="bottom"/>
          </w:tcPr>
          <w:p w14:paraId="236C207B">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r>
      <w:tr w14:paraId="7C9F6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247" w:type="dxa"/>
            <w:tcBorders>
              <w:top w:val="nil"/>
              <w:left w:val="nil"/>
              <w:bottom w:val="nil"/>
              <w:right w:val="nil"/>
            </w:tcBorders>
            <w:shd w:val="clear" w:color="auto" w:fill="auto"/>
            <w:noWrap/>
            <w:vAlign w:val="bottom"/>
          </w:tcPr>
          <w:p w14:paraId="4090C85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Tanner II–V, HOMA-IR &gt;3.0</w:t>
            </w:r>
          </w:p>
        </w:tc>
        <w:tc>
          <w:tcPr>
            <w:tcW w:w="1967" w:type="dxa"/>
            <w:tcBorders>
              <w:top w:val="nil"/>
              <w:left w:val="nil"/>
              <w:bottom w:val="nil"/>
              <w:right w:val="nil"/>
            </w:tcBorders>
            <w:shd w:val="clear" w:color="auto" w:fill="auto"/>
            <w:noWrap/>
            <w:vAlign w:val="bottom"/>
          </w:tcPr>
          <w:p w14:paraId="6CEAE46C">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231 (73.3)</w:t>
            </w:r>
          </w:p>
        </w:tc>
        <w:tc>
          <w:tcPr>
            <w:tcW w:w="2000" w:type="dxa"/>
            <w:tcBorders>
              <w:top w:val="nil"/>
              <w:left w:val="nil"/>
              <w:bottom w:val="nil"/>
              <w:right w:val="nil"/>
            </w:tcBorders>
            <w:shd w:val="clear" w:color="auto" w:fill="auto"/>
            <w:noWrap/>
            <w:vAlign w:val="bottom"/>
          </w:tcPr>
          <w:p w14:paraId="11F26D1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 (70.7)</w:t>
            </w:r>
          </w:p>
        </w:tc>
        <w:tc>
          <w:tcPr>
            <w:tcW w:w="2200" w:type="dxa"/>
            <w:tcBorders>
              <w:top w:val="nil"/>
              <w:left w:val="nil"/>
              <w:bottom w:val="nil"/>
              <w:right w:val="nil"/>
            </w:tcBorders>
            <w:shd w:val="clear" w:color="auto" w:fill="auto"/>
            <w:noWrap/>
            <w:vAlign w:val="bottom"/>
          </w:tcPr>
          <w:p w14:paraId="7A8014C4">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 (76.4)</w:t>
            </w:r>
          </w:p>
        </w:tc>
        <w:tc>
          <w:tcPr>
            <w:tcW w:w="1766" w:type="dxa"/>
            <w:tcBorders>
              <w:top w:val="nil"/>
              <w:left w:val="nil"/>
              <w:bottom w:val="nil"/>
              <w:right w:val="nil"/>
            </w:tcBorders>
            <w:shd w:val="clear" w:color="auto" w:fill="auto"/>
            <w:noWrap/>
            <w:vAlign w:val="bottom"/>
          </w:tcPr>
          <w:p w14:paraId="2E2264F6">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0.311</w:t>
            </w:r>
          </w:p>
        </w:tc>
        <w:tc>
          <w:tcPr>
            <w:tcW w:w="2167" w:type="dxa"/>
            <w:tcBorders>
              <w:top w:val="nil"/>
              <w:left w:val="nil"/>
              <w:bottom w:val="nil"/>
              <w:right w:val="nil"/>
            </w:tcBorders>
            <w:shd w:val="clear" w:color="auto" w:fill="auto"/>
            <w:noWrap/>
            <w:vAlign w:val="bottom"/>
          </w:tcPr>
          <w:p w14:paraId="6BC4FF77">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r>
      <w:tr w14:paraId="311F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3247" w:type="dxa"/>
            <w:tcBorders>
              <w:top w:val="nil"/>
              <w:left w:val="nil"/>
              <w:bottom w:val="single" w:color="auto" w:sz="4" w:space="0"/>
              <w:right w:val="nil"/>
            </w:tcBorders>
            <w:shd w:val="clear" w:color="auto" w:fill="auto"/>
            <w:noWrap/>
            <w:vAlign w:val="bottom"/>
          </w:tcPr>
          <w:p w14:paraId="027D1EE9">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Metabolic syndrome, n (%)</w:t>
            </w:r>
          </w:p>
        </w:tc>
        <w:tc>
          <w:tcPr>
            <w:tcW w:w="1967" w:type="dxa"/>
            <w:tcBorders>
              <w:top w:val="nil"/>
              <w:left w:val="nil"/>
              <w:bottom w:val="single" w:color="auto" w:sz="4" w:space="0"/>
              <w:right w:val="nil"/>
            </w:tcBorders>
            <w:shd w:val="clear" w:color="auto" w:fill="auto"/>
            <w:noWrap/>
            <w:vAlign w:val="bottom"/>
          </w:tcPr>
          <w:p w14:paraId="5314CD1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 (43.6)</w:t>
            </w:r>
          </w:p>
        </w:tc>
        <w:tc>
          <w:tcPr>
            <w:tcW w:w="2000" w:type="dxa"/>
            <w:tcBorders>
              <w:top w:val="nil"/>
              <w:left w:val="nil"/>
              <w:bottom w:val="single" w:color="auto" w:sz="4" w:space="0"/>
              <w:right w:val="nil"/>
            </w:tcBorders>
            <w:shd w:val="clear" w:color="auto" w:fill="auto"/>
            <w:noWrap/>
            <w:vAlign w:val="bottom"/>
          </w:tcPr>
          <w:p w14:paraId="1680BDCF">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 (45.4)</w:t>
            </w:r>
          </w:p>
        </w:tc>
        <w:tc>
          <w:tcPr>
            <w:tcW w:w="2200" w:type="dxa"/>
            <w:tcBorders>
              <w:top w:val="nil"/>
              <w:left w:val="nil"/>
              <w:bottom w:val="single" w:color="auto" w:sz="4" w:space="0"/>
              <w:right w:val="nil"/>
            </w:tcBorders>
            <w:shd w:val="clear" w:color="auto" w:fill="auto"/>
            <w:noWrap/>
            <w:vAlign w:val="bottom"/>
          </w:tcPr>
          <w:p w14:paraId="34DB84A3">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 (41.3)</w:t>
            </w:r>
          </w:p>
        </w:tc>
        <w:tc>
          <w:tcPr>
            <w:tcW w:w="1766" w:type="dxa"/>
            <w:tcBorders>
              <w:top w:val="nil"/>
              <w:left w:val="nil"/>
              <w:bottom w:val="single" w:color="auto" w:sz="4" w:space="0"/>
              <w:right w:val="nil"/>
            </w:tcBorders>
            <w:shd w:val="clear" w:color="auto" w:fill="auto"/>
            <w:noWrap/>
            <w:vAlign w:val="bottom"/>
          </w:tcPr>
          <w:p w14:paraId="3360C342">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0.446</w:t>
            </w:r>
          </w:p>
        </w:tc>
        <w:tc>
          <w:tcPr>
            <w:tcW w:w="2167" w:type="dxa"/>
            <w:tcBorders>
              <w:top w:val="nil"/>
              <w:left w:val="nil"/>
              <w:bottom w:val="single" w:color="auto" w:sz="4" w:space="0"/>
              <w:right w:val="nil"/>
            </w:tcBorders>
            <w:shd w:val="clear" w:color="auto" w:fill="auto"/>
            <w:noWrap/>
            <w:vAlign w:val="bottom"/>
          </w:tcPr>
          <w:p w14:paraId="5938B57E">
            <w:pPr>
              <w:keepNext w:val="0"/>
              <w:keepLines w:val="0"/>
              <w:widowControl/>
              <w:suppressLineNumbers w:val="0"/>
              <w:jc w:val="left"/>
              <w:textAlignment w:val="bottom"/>
              <w:rPr>
                <w:rFonts w:hint="default" w:ascii="Times New Roman" w:hAnsi="Times New Roman"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0.934</w:t>
            </w:r>
          </w:p>
        </w:tc>
      </w:tr>
    </w:tbl>
    <w:p w14:paraId="3EC14D76">
      <w:pPr>
        <w:rPr>
          <w:rFonts w:ascii="宋体" w:hAnsi="宋体" w:eastAsia="宋体" w:cs="宋体"/>
          <w:sz w:val="24"/>
          <w:szCs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cs="Times New Roman"/>
          <w:sz w:val="24"/>
          <w:szCs w:val="24"/>
        </w:rPr>
        <w:t>Note</w:t>
      </w:r>
      <w:r>
        <w:rPr>
          <w:rFonts w:hint="default" w:ascii="Times New Roman" w:hAnsi="Times New Roman" w:eastAsia="宋体" w:cs="Times New Roman"/>
          <w:sz w:val="24"/>
          <w:szCs w:val="24"/>
          <w:lang w:eastAsia="zh-CN"/>
        </w:rPr>
        <w:t xml:space="preserve">: </w:t>
      </w:r>
      <w:r>
        <w:rPr>
          <w:rFonts w:ascii="Times New Roman" w:hAnsi="Times New Roman" w:cs="Times New Roman"/>
          <w:sz w:val="24"/>
          <w:szCs w:val="24"/>
        </w:rPr>
        <w:t>HOMA-IR values are presented as median (interquartile range), whereas categorical variables are expressed as number (percentage). Group comparisons for HOMA-IR were performed using the Wilcoxon rank-sum test, and categorical variables were compared using the χ² test or Fisher’s exact test, as appropriate. Insulin resistance was defined using Tanner stage-specific HOMA-IR thresholds (&gt;2.5 for Tanner stage I and &gt;3.0 for Tanner stages II–V). Adjusted P values were obtained from multivariable regression models adjusted for age, BMI z-score, and Tanner stage. HOMA-IR values were natural log-transformed before regression analyses. HOMA-IR, homeostasis model assessment of insulin resistance.</w:t>
      </w:r>
    </w:p>
    <w:p w14:paraId="0562FADC">
      <w:pPr>
        <w:rPr>
          <w:rFonts w:ascii="宋体" w:hAnsi="宋体" w:eastAsia="宋体" w:cs="宋体"/>
          <w:sz w:val="24"/>
          <w:szCs w:val="24"/>
        </w:rPr>
      </w:pPr>
    </w:p>
    <w:p w14:paraId="126121CB">
      <w:pPr>
        <w:jc w:val="left"/>
        <w:rPr>
          <w:rStyle w:val="6"/>
          <w:rFonts w:hint="eastAsia" w:ascii="Times New Roman" w:hAnsi="Times New Roman" w:cs="Times New Roman" w:eastAsiaTheme="minorEastAsia"/>
          <w:b/>
          <w:bCs/>
          <w:sz w:val="24"/>
          <w:szCs w:val="24"/>
          <w:lang w:val="en-US" w:eastAsia="zh-CN"/>
        </w:rPr>
      </w:pPr>
      <w:r>
        <w:rPr>
          <w:rStyle w:val="6"/>
          <w:rFonts w:hint="eastAsia" w:ascii="Times New Roman" w:hAnsi="Times New Roman" w:cs="Times New Roman"/>
          <w:b w:val="0"/>
          <w:bCs w:val="0"/>
          <w:sz w:val="24"/>
          <w:szCs w:val="24"/>
          <w:lang w:eastAsia="zh-CN"/>
        </w:rPr>
        <w:t xml:space="preserve">Supplementary Table </w:t>
      </w:r>
      <w:r>
        <w:rPr>
          <w:rStyle w:val="6"/>
          <w:rFonts w:hint="eastAsia" w:ascii="Times New Roman" w:hAnsi="Times New Roman" w:cs="Times New Roman"/>
          <w:b w:val="0"/>
          <w:bCs w:val="0"/>
          <w:sz w:val="24"/>
          <w:szCs w:val="24"/>
          <w:lang w:val="en-US" w:eastAsia="zh-CN"/>
        </w:rPr>
        <w:t>3</w:t>
      </w:r>
      <w:r>
        <w:rPr>
          <w:rStyle w:val="6"/>
          <w:rFonts w:hint="default" w:ascii="Times New Roman" w:hAnsi="Times New Roman" w:cs="Times New Roman"/>
          <w:b w:val="0"/>
          <w:bCs w:val="0"/>
          <w:sz w:val="24"/>
          <w:szCs w:val="24"/>
        </w:rPr>
        <w:t>. Partial Correlation Between Endocrine Biomarkers and Metabolic Parameters (Adjusted for Age</w:t>
      </w:r>
      <w:r>
        <w:rPr>
          <w:rStyle w:val="6"/>
          <w:rFonts w:hint="default" w:ascii="Times New Roman" w:hAnsi="Times New Roman" w:cs="Times New Roman"/>
          <w:b w:val="0"/>
          <w:bCs w:val="0"/>
          <w:sz w:val="24"/>
          <w:szCs w:val="24"/>
          <w:lang w:eastAsia="zh-CN"/>
        </w:rPr>
        <w:t>、</w:t>
      </w:r>
      <w:r>
        <w:rPr>
          <w:rStyle w:val="6"/>
          <w:rFonts w:hint="default" w:ascii="Times New Roman" w:hAnsi="Times New Roman" w:cs="Times New Roman"/>
          <w:b w:val="0"/>
          <w:bCs w:val="0"/>
          <w:sz w:val="24"/>
          <w:szCs w:val="24"/>
          <w:lang w:val="en-US" w:eastAsia="zh-CN"/>
        </w:rPr>
        <w:t>sex</w:t>
      </w:r>
      <w:r>
        <w:rPr>
          <w:rStyle w:val="6"/>
          <w:rFonts w:hint="default" w:ascii="Times New Roman" w:hAnsi="Times New Roman" w:cs="Times New Roman"/>
          <w:b w:val="0"/>
          <w:bCs w:val="0"/>
          <w:sz w:val="24"/>
          <w:szCs w:val="24"/>
        </w:rPr>
        <w:t xml:space="preserve"> and BMI-z Score)</w:t>
      </w:r>
      <w:r>
        <w:rPr>
          <w:rStyle w:val="6"/>
          <w:rFonts w:hint="eastAsia" w:ascii="Times New Roman" w:hAnsi="Times New Roman" w:cs="Times New Roman"/>
          <w:b w:val="0"/>
          <w:bCs w:val="0"/>
          <w:sz w:val="24"/>
          <w:szCs w:val="24"/>
          <w:lang w:val="en-US" w:eastAsia="zh-CN"/>
        </w:rPr>
        <w:t>.</w:t>
      </w:r>
    </w:p>
    <w:tbl>
      <w:tblPr>
        <w:tblStyle w:val="4"/>
        <w:tblW w:w="13261"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052"/>
        <w:gridCol w:w="2722"/>
        <w:gridCol w:w="4365"/>
        <w:gridCol w:w="3122"/>
      </w:tblGrid>
      <w:tr w14:paraId="00761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052" w:type="dxa"/>
            <w:tcBorders>
              <w:top w:val="single" w:color="auto" w:sz="4" w:space="0"/>
              <w:left w:val="nil"/>
              <w:bottom w:val="single" w:color="auto" w:sz="4" w:space="0"/>
              <w:right w:val="nil"/>
            </w:tcBorders>
            <w:shd w:val="clear" w:color="auto" w:fill="auto"/>
            <w:noWrap/>
            <w:vAlign w:val="center"/>
          </w:tcPr>
          <w:p w14:paraId="5AE65E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Endocrine biomarker</w:t>
            </w:r>
          </w:p>
        </w:tc>
        <w:tc>
          <w:tcPr>
            <w:tcW w:w="2722" w:type="dxa"/>
            <w:tcBorders>
              <w:top w:val="single" w:color="auto" w:sz="4" w:space="0"/>
              <w:left w:val="nil"/>
              <w:bottom w:val="single" w:color="auto" w:sz="4" w:space="0"/>
              <w:right w:val="nil"/>
            </w:tcBorders>
            <w:shd w:val="clear" w:color="auto" w:fill="auto"/>
            <w:noWrap/>
            <w:vAlign w:val="center"/>
          </w:tcPr>
          <w:p w14:paraId="53C36A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Metabolic parameter</w:t>
            </w:r>
          </w:p>
        </w:tc>
        <w:tc>
          <w:tcPr>
            <w:tcW w:w="4365" w:type="dxa"/>
            <w:tcBorders>
              <w:top w:val="single" w:color="auto" w:sz="4" w:space="0"/>
              <w:left w:val="nil"/>
              <w:bottom w:val="single" w:color="auto" w:sz="4" w:space="0"/>
              <w:right w:val="nil"/>
            </w:tcBorders>
            <w:shd w:val="clear" w:color="auto" w:fill="auto"/>
            <w:noWrap/>
            <w:vAlign w:val="center"/>
          </w:tcPr>
          <w:p w14:paraId="45A6E2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Partial Spearman rho</w:t>
            </w:r>
          </w:p>
        </w:tc>
        <w:tc>
          <w:tcPr>
            <w:tcW w:w="3122" w:type="dxa"/>
            <w:tcBorders>
              <w:top w:val="single" w:color="auto" w:sz="4" w:space="0"/>
              <w:left w:val="nil"/>
              <w:bottom w:val="single" w:color="auto" w:sz="4" w:space="0"/>
              <w:right w:val="nil"/>
            </w:tcBorders>
            <w:shd w:val="clear" w:color="auto" w:fill="auto"/>
            <w:noWrap/>
            <w:vAlign w:val="center"/>
          </w:tcPr>
          <w:p w14:paraId="4CA14F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 value</w:t>
            </w:r>
          </w:p>
        </w:tc>
      </w:tr>
      <w:tr w14:paraId="6745E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single" w:color="auto" w:sz="4" w:space="0"/>
              <w:left w:val="nil"/>
              <w:bottom w:val="nil"/>
              <w:right w:val="nil"/>
            </w:tcBorders>
            <w:shd w:val="clear" w:color="auto" w:fill="auto"/>
            <w:noWrap/>
            <w:vAlign w:val="center"/>
          </w:tcPr>
          <w:p w14:paraId="7DC7D0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TSH</w:t>
            </w:r>
          </w:p>
        </w:tc>
        <w:tc>
          <w:tcPr>
            <w:tcW w:w="2722" w:type="dxa"/>
            <w:tcBorders>
              <w:top w:val="single" w:color="auto" w:sz="4" w:space="0"/>
              <w:left w:val="nil"/>
              <w:bottom w:val="nil"/>
              <w:right w:val="nil"/>
            </w:tcBorders>
            <w:shd w:val="clear" w:color="auto" w:fill="auto"/>
            <w:noWrap/>
            <w:vAlign w:val="center"/>
          </w:tcPr>
          <w:p w14:paraId="512B6B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Fasting_insulin</w:t>
            </w:r>
          </w:p>
        </w:tc>
        <w:tc>
          <w:tcPr>
            <w:tcW w:w="4365" w:type="dxa"/>
            <w:tcBorders>
              <w:top w:val="single" w:color="auto" w:sz="4" w:space="0"/>
              <w:left w:val="nil"/>
              <w:bottom w:val="nil"/>
              <w:right w:val="nil"/>
            </w:tcBorders>
            <w:shd w:val="clear" w:color="auto" w:fill="auto"/>
            <w:noWrap/>
            <w:vAlign w:val="center"/>
          </w:tcPr>
          <w:p w14:paraId="2A422B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0.013</w:t>
            </w:r>
          </w:p>
        </w:tc>
        <w:tc>
          <w:tcPr>
            <w:tcW w:w="3122" w:type="dxa"/>
            <w:tcBorders>
              <w:top w:val="single" w:color="auto" w:sz="4" w:space="0"/>
              <w:left w:val="nil"/>
              <w:bottom w:val="nil"/>
              <w:right w:val="nil"/>
            </w:tcBorders>
            <w:shd w:val="clear" w:color="auto" w:fill="auto"/>
            <w:noWrap/>
            <w:vAlign w:val="center"/>
          </w:tcPr>
          <w:p w14:paraId="2E684D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0.795</w:t>
            </w:r>
          </w:p>
        </w:tc>
      </w:tr>
      <w:tr w14:paraId="7CFB6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078F2E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Free_T4</w:t>
            </w:r>
          </w:p>
        </w:tc>
        <w:tc>
          <w:tcPr>
            <w:tcW w:w="2722" w:type="dxa"/>
            <w:tcBorders>
              <w:top w:val="nil"/>
              <w:left w:val="nil"/>
              <w:bottom w:val="nil"/>
              <w:right w:val="nil"/>
            </w:tcBorders>
            <w:shd w:val="clear" w:color="auto" w:fill="auto"/>
            <w:noWrap/>
            <w:vAlign w:val="center"/>
          </w:tcPr>
          <w:p w14:paraId="37CFA0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Fasting_insulin</w:t>
            </w:r>
          </w:p>
        </w:tc>
        <w:tc>
          <w:tcPr>
            <w:tcW w:w="4365" w:type="dxa"/>
            <w:tcBorders>
              <w:top w:val="nil"/>
              <w:left w:val="nil"/>
              <w:bottom w:val="nil"/>
              <w:right w:val="nil"/>
            </w:tcBorders>
            <w:shd w:val="clear" w:color="auto" w:fill="auto"/>
            <w:noWrap/>
            <w:vAlign w:val="center"/>
          </w:tcPr>
          <w:p w14:paraId="353BBE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-0.064</w:t>
            </w:r>
          </w:p>
        </w:tc>
        <w:tc>
          <w:tcPr>
            <w:tcW w:w="3122" w:type="dxa"/>
            <w:tcBorders>
              <w:top w:val="nil"/>
              <w:left w:val="nil"/>
              <w:bottom w:val="nil"/>
              <w:right w:val="nil"/>
            </w:tcBorders>
            <w:shd w:val="clear" w:color="auto" w:fill="auto"/>
            <w:noWrap/>
            <w:vAlign w:val="center"/>
          </w:tcPr>
          <w:p w14:paraId="42F198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0.184</w:t>
            </w:r>
          </w:p>
        </w:tc>
      </w:tr>
      <w:tr w14:paraId="79B3A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76136B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IGF_1</w:t>
            </w:r>
          </w:p>
        </w:tc>
        <w:tc>
          <w:tcPr>
            <w:tcW w:w="2722" w:type="dxa"/>
            <w:tcBorders>
              <w:top w:val="nil"/>
              <w:left w:val="nil"/>
              <w:bottom w:val="nil"/>
              <w:right w:val="nil"/>
            </w:tcBorders>
            <w:shd w:val="clear" w:color="auto" w:fill="auto"/>
            <w:noWrap/>
            <w:vAlign w:val="center"/>
          </w:tcPr>
          <w:p w14:paraId="3CE08E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Fasting_insulin</w:t>
            </w:r>
          </w:p>
        </w:tc>
        <w:tc>
          <w:tcPr>
            <w:tcW w:w="4365" w:type="dxa"/>
            <w:tcBorders>
              <w:top w:val="nil"/>
              <w:left w:val="nil"/>
              <w:bottom w:val="nil"/>
              <w:right w:val="nil"/>
            </w:tcBorders>
            <w:shd w:val="clear" w:color="auto" w:fill="auto"/>
            <w:noWrap/>
            <w:vAlign w:val="center"/>
          </w:tcPr>
          <w:p w14:paraId="44FC98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0.029</w:t>
            </w:r>
          </w:p>
        </w:tc>
        <w:tc>
          <w:tcPr>
            <w:tcW w:w="3122" w:type="dxa"/>
            <w:tcBorders>
              <w:top w:val="nil"/>
              <w:left w:val="nil"/>
              <w:bottom w:val="nil"/>
              <w:right w:val="nil"/>
            </w:tcBorders>
            <w:shd w:val="clear" w:color="auto" w:fill="auto"/>
            <w:noWrap/>
            <w:vAlign w:val="center"/>
          </w:tcPr>
          <w:p w14:paraId="625F41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0.547</w:t>
            </w:r>
          </w:p>
        </w:tc>
      </w:tr>
      <w:tr w14:paraId="6D540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1B8559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Leptin</w:t>
            </w:r>
          </w:p>
        </w:tc>
        <w:tc>
          <w:tcPr>
            <w:tcW w:w="2722" w:type="dxa"/>
            <w:tcBorders>
              <w:top w:val="nil"/>
              <w:left w:val="nil"/>
              <w:bottom w:val="nil"/>
              <w:right w:val="nil"/>
            </w:tcBorders>
            <w:shd w:val="clear" w:color="auto" w:fill="auto"/>
            <w:noWrap/>
            <w:vAlign w:val="center"/>
          </w:tcPr>
          <w:p w14:paraId="4EA573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Fasting_insulin</w:t>
            </w:r>
          </w:p>
        </w:tc>
        <w:tc>
          <w:tcPr>
            <w:tcW w:w="4365" w:type="dxa"/>
            <w:tcBorders>
              <w:top w:val="nil"/>
              <w:left w:val="nil"/>
              <w:bottom w:val="nil"/>
              <w:right w:val="nil"/>
            </w:tcBorders>
            <w:shd w:val="clear" w:color="auto" w:fill="auto"/>
            <w:noWrap/>
            <w:vAlign w:val="center"/>
          </w:tcPr>
          <w:p w14:paraId="232B68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0.156</w:t>
            </w:r>
          </w:p>
        </w:tc>
        <w:tc>
          <w:tcPr>
            <w:tcW w:w="3122" w:type="dxa"/>
            <w:tcBorders>
              <w:top w:val="nil"/>
              <w:left w:val="nil"/>
              <w:bottom w:val="nil"/>
              <w:right w:val="nil"/>
            </w:tcBorders>
            <w:shd w:val="clear" w:color="auto" w:fill="auto"/>
            <w:noWrap/>
            <w:vAlign w:val="center"/>
          </w:tcPr>
          <w:p w14:paraId="49D027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&lt;0.01</w:t>
            </w:r>
          </w:p>
        </w:tc>
      </w:tr>
      <w:tr w14:paraId="7FA29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738305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Adiponectin</w:t>
            </w:r>
          </w:p>
        </w:tc>
        <w:tc>
          <w:tcPr>
            <w:tcW w:w="2722" w:type="dxa"/>
            <w:tcBorders>
              <w:top w:val="nil"/>
              <w:left w:val="nil"/>
              <w:bottom w:val="nil"/>
              <w:right w:val="nil"/>
            </w:tcBorders>
            <w:shd w:val="clear" w:color="auto" w:fill="auto"/>
            <w:noWrap/>
            <w:vAlign w:val="center"/>
          </w:tcPr>
          <w:p w14:paraId="09B7FC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Fasting_insulin</w:t>
            </w:r>
          </w:p>
        </w:tc>
        <w:tc>
          <w:tcPr>
            <w:tcW w:w="4365" w:type="dxa"/>
            <w:tcBorders>
              <w:top w:val="nil"/>
              <w:left w:val="nil"/>
              <w:bottom w:val="nil"/>
              <w:right w:val="nil"/>
            </w:tcBorders>
            <w:shd w:val="clear" w:color="auto" w:fill="auto"/>
            <w:noWrap/>
            <w:vAlign w:val="center"/>
          </w:tcPr>
          <w:p w14:paraId="2DFD39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w:t>
            </w:r>
          </w:p>
        </w:tc>
        <w:tc>
          <w:tcPr>
            <w:tcW w:w="3122" w:type="dxa"/>
            <w:tcBorders>
              <w:top w:val="nil"/>
              <w:left w:val="nil"/>
              <w:bottom w:val="nil"/>
              <w:right w:val="nil"/>
            </w:tcBorders>
            <w:shd w:val="clear" w:color="auto" w:fill="auto"/>
            <w:noWrap/>
            <w:vAlign w:val="center"/>
          </w:tcPr>
          <w:p w14:paraId="435752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5FBD2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3862A1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TSH</w:t>
            </w:r>
          </w:p>
        </w:tc>
        <w:tc>
          <w:tcPr>
            <w:tcW w:w="2722" w:type="dxa"/>
            <w:tcBorders>
              <w:top w:val="nil"/>
              <w:left w:val="nil"/>
              <w:bottom w:val="nil"/>
              <w:right w:val="nil"/>
            </w:tcBorders>
            <w:shd w:val="clear" w:color="auto" w:fill="auto"/>
            <w:noWrap/>
            <w:vAlign w:val="center"/>
          </w:tcPr>
          <w:p w14:paraId="48652B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HOMA_IR</w:t>
            </w:r>
          </w:p>
        </w:tc>
        <w:tc>
          <w:tcPr>
            <w:tcW w:w="4365" w:type="dxa"/>
            <w:tcBorders>
              <w:top w:val="nil"/>
              <w:left w:val="nil"/>
              <w:bottom w:val="nil"/>
              <w:right w:val="nil"/>
            </w:tcBorders>
            <w:shd w:val="clear" w:color="auto" w:fill="auto"/>
            <w:noWrap/>
            <w:vAlign w:val="center"/>
          </w:tcPr>
          <w:p w14:paraId="20ABD8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0.016</w:t>
            </w:r>
          </w:p>
        </w:tc>
        <w:tc>
          <w:tcPr>
            <w:tcW w:w="3122" w:type="dxa"/>
            <w:tcBorders>
              <w:top w:val="nil"/>
              <w:left w:val="nil"/>
              <w:bottom w:val="nil"/>
              <w:right w:val="nil"/>
            </w:tcBorders>
            <w:shd w:val="clear" w:color="auto" w:fill="auto"/>
            <w:noWrap/>
            <w:vAlign w:val="center"/>
          </w:tcPr>
          <w:p w14:paraId="202005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0.735</w:t>
            </w:r>
          </w:p>
        </w:tc>
      </w:tr>
      <w:tr w14:paraId="1899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136639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Free_T4</w:t>
            </w:r>
          </w:p>
        </w:tc>
        <w:tc>
          <w:tcPr>
            <w:tcW w:w="2722" w:type="dxa"/>
            <w:tcBorders>
              <w:top w:val="nil"/>
              <w:left w:val="nil"/>
              <w:bottom w:val="nil"/>
              <w:right w:val="nil"/>
            </w:tcBorders>
            <w:shd w:val="clear" w:color="auto" w:fill="auto"/>
            <w:noWrap/>
            <w:vAlign w:val="center"/>
          </w:tcPr>
          <w:p w14:paraId="2DE432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HOMA_IR</w:t>
            </w:r>
          </w:p>
        </w:tc>
        <w:tc>
          <w:tcPr>
            <w:tcW w:w="4365" w:type="dxa"/>
            <w:tcBorders>
              <w:top w:val="nil"/>
              <w:left w:val="nil"/>
              <w:bottom w:val="nil"/>
              <w:right w:val="nil"/>
            </w:tcBorders>
            <w:shd w:val="clear" w:color="auto" w:fill="auto"/>
            <w:noWrap/>
            <w:vAlign w:val="center"/>
          </w:tcPr>
          <w:p w14:paraId="2529E2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-0.049</w:t>
            </w:r>
          </w:p>
        </w:tc>
        <w:tc>
          <w:tcPr>
            <w:tcW w:w="3122" w:type="dxa"/>
            <w:tcBorders>
              <w:top w:val="nil"/>
              <w:left w:val="nil"/>
              <w:bottom w:val="nil"/>
              <w:right w:val="nil"/>
            </w:tcBorders>
            <w:shd w:val="clear" w:color="auto" w:fill="auto"/>
            <w:noWrap/>
            <w:vAlign w:val="center"/>
          </w:tcPr>
          <w:p w14:paraId="3E4E89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0.315</w:t>
            </w:r>
          </w:p>
        </w:tc>
      </w:tr>
      <w:tr w14:paraId="02C81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1905B4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IGF_1</w:t>
            </w:r>
          </w:p>
        </w:tc>
        <w:tc>
          <w:tcPr>
            <w:tcW w:w="2722" w:type="dxa"/>
            <w:tcBorders>
              <w:top w:val="nil"/>
              <w:left w:val="nil"/>
              <w:bottom w:val="nil"/>
              <w:right w:val="nil"/>
            </w:tcBorders>
            <w:shd w:val="clear" w:color="auto" w:fill="auto"/>
            <w:noWrap/>
            <w:vAlign w:val="center"/>
          </w:tcPr>
          <w:p w14:paraId="2F95AC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HOMA_IR</w:t>
            </w:r>
          </w:p>
        </w:tc>
        <w:tc>
          <w:tcPr>
            <w:tcW w:w="4365" w:type="dxa"/>
            <w:tcBorders>
              <w:top w:val="nil"/>
              <w:left w:val="nil"/>
              <w:bottom w:val="nil"/>
              <w:right w:val="nil"/>
            </w:tcBorders>
            <w:shd w:val="clear" w:color="auto" w:fill="auto"/>
            <w:noWrap/>
            <w:vAlign w:val="center"/>
          </w:tcPr>
          <w:p w14:paraId="0CB8A3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0.019</w:t>
            </w:r>
          </w:p>
        </w:tc>
        <w:tc>
          <w:tcPr>
            <w:tcW w:w="3122" w:type="dxa"/>
            <w:tcBorders>
              <w:top w:val="nil"/>
              <w:left w:val="nil"/>
              <w:bottom w:val="nil"/>
              <w:right w:val="nil"/>
            </w:tcBorders>
            <w:shd w:val="clear" w:color="auto" w:fill="auto"/>
            <w:noWrap/>
            <w:vAlign w:val="center"/>
          </w:tcPr>
          <w:p w14:paraId="327098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w:t>
            </w:r>
          </w:p>
        </w:tc>
      </w:tr>
      <w:tr w14:paraId="358CA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608088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Leptin</w:t>
            </w:r>
          </w:p>
        </w:tc>
        <w:tc>
          <w:tcPr>
            <w:tcW w:w="2722" w:type="dxa"/>
            <w:tcBorders>
              <w:top w:val="nil"/>
              <w:left w:val="nil"/>
              <w:bottom w:val="nil"/>
              <w:right w:val="nil"/>
            </w:tcBorders>
            <w:shd w:val="clear" w:color="auto" w:fill="auto"/>
            <w:noWrap/>
            <w:vAlign w:val="center"/>
          </w:tcPr>
          <w:p w14:paraId="1C13BB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HOMA_IR</w:t>
            </w:r>
          </w:p>
        </w:tc>
        <w:tc>
          <w:tcPr>
            <w:tcW w:w="4365" w:type="dxa"/>
            <w:tcBorders>
              <w:top w:val="nil"/>
              <w:left w:val="nil"/>
              <w:bottom w:val="nil"/>
              <w:right w:val="nil"/>
            </w:tcBorders>
            <w:shd w:val="clear" w:color="auto" w:fill="auto"/>
            <w:noWrap/>
            <w:vAlign w:val="center"/>
          </w:tcPr>
          <w:p w14:paraId="259220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0.181</w:t>
            </w:r>
          </w:p>
        </w:tc>
        <w:tc>
          <w:tcPr>
            <w:tcW w:w="3122" w:type="dxa"/>
            <w:tcBorders>
              <w:top w:val="nil"/>
              <w:left w:val="nil"/>
              <w:bottom w:val="nil"/>
              <w:right w:val="nil"/>
            </w:tcBorders>
            <w:shd w:val="clear" w:color="auto" w:fill="auto"/>
            <w:noWrap/>
            <w:vAlign w:val="center"/>
          </w:tcPr>
          <w:p w14:paraId="46CF83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9B1F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1A772E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Adiponectin</w:t>
            </w:r>
          </w:p>
        </w:tc>
        <w:tc>
          <w:tcPr>
            <w:tcW w:w="2722" w:type="dxa"/>
            <w:tcBorders>
              <w:top w:val="nil"/>
              <w:left w:val="nil"/>
              <w:bottom w:val="nil"/>
              <w:right w:val="nil"/>
            </w:tcBorders>
            <w:shd w:val="clear" w:color="auto" w:fill="auto"/>
            <w:noWrap/>
            <w:vAlign w:val="center"/>
          </w:tcPr>
          <w:p w14:paraId="122D90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HOMA_IR</w:t>
            </w:r>
          </w:p>
        </w:tc>
        <w:tc>
          <w:tcPr>
            <w:tcW w:w="4365" w:type="dxa"/>
            <w:tcBorders>
              <w:top w:val="nil"/>
              <w:left w:val="nil"/>
              <w:bottom w:val="nil"/>
              <w:right w:val="nil"/>
            </w:tcBorders>
            <w:shd w:val="clear" w:color="auto" w:fill="auto"/>
            <w:noWrap/>
            <w:vAlign w:val="center"/>
          </w:tcPr>
          <w:p w14:paraId="2220B4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-0.188</w:t>
            </w:r>
          </w:p>
        </w:tc>
        <w:tc>
          <w:tcPr>
            <w:tcW w:w="3122" w:type="dxa"/>
            <w:tcBorders>
              <w:top w:val="nil"/>
              <w:left w:val="nil"/>
              <w:bottom w:val="nil"/>
              <w:right w:val="nil"/>
            </w:tcBorders>
            <w:shd w:val="clear" w:color="auto" w:fill="auto"/>
            <w:noWrap/>
            <w:vAlign w:val="center"/>
          </w:tcPr>
          <w:p w14:paraId="2F7092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F343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4E4268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TSH</w:t>
            </w:r>
          </w:p>
        </w:tc>
        <w:tc>
          <w:tcPr>
            <w:tcW w:w="2722" w:type="dxa"/>
            <w:tcBorders>
              <w:top w:val="nil"/>
              <w:left w:val="nil"/>
              <w:bottom w:val="nil"/>
              <w:right w:val="nil"/>
            </w:tcBorders>
            <w:shd w:val="clear" w:color="auto" w:fill="auto"/>
            <w:noWrap/>
            <w:vAlign w:val="center"/>
          </w:tcPr>
          <w:p w14:paraId="6768F9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HDL_C</w:t>
            </w:r>
          </w:p>
        </w:tc>
        <w:tc>
          <w:tcPr>
            <w:tcW w:w="4365" w:type="dxa"/>
            <w:tcBorders>
              <w:top w:val="nil"/>
              <w:left w:val="nil"/>
              <w:bottom w:val="nil"/>
              <w:right w:val="nil"/>
            </w:tcBorders>
            <w:shd w:val="clear" w:color="auto" w:fill="auto"/>
            <w:noWrap/>
            <w:vAlign w:val="center"/>
          </w:tcPr>
          <w:p w14:paraId="797BBA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0.029</w:t>
            </w:r>
          </w:p>
        </w:tc>
        <w:tc>
          <w:tcPr>
            <w:tcW w:w="3122" w:type="dxa"/>
            <w:tcBorders>
              <w:top w:val="nil"/>
              <w:left w:val="nil"/>
              <w:bottom w:val="nil"/>
              <w:right w:val="nil"/>
            </w:tcBorders>
            <w:shd w:val="clear" w:color="auto" w:fill="auto"/>
            <w:noWrap/>
            <w:vAlign w:val="center"/>
          </w:tcPr>
          <w:p w14:paraId="4CE552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0.547</w:t>
            </w:r>
          </w:p>
        </w:tc>
      </w:tr>
      <w:tr w14:paraId="50B55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474E03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Free_T4</w:t>
            </w:r>
          </w:p>
        </w:tc>
        <w:tc>
          <w:tcPr>
            <w:tcW w:w="2722" w:type="dxa"/>
            <w:tcBorders>
              <w:top w:val="nil"/>
              <w:left w:val="nil"/>
              <w:bottom w:val="nil"/>
              <w:right w:val="nil"/>
            </w:tcBorders>
            <w:shd w:val="clear" w:color="auto" w:fill="auto"/>
            <w:noWrap/>
            <w:vAlign w:val="center"/>
          </w:tcPr>
          <w:p w14:paraId="24DA2F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HDL_C</w:t>
            </w:r>
          </w:p>
        </w:tc>
        <w:tc>
          <w:tcPr>
            <w:tcW w:w="4365" w:type="dxa"/>
            <w:tcBorders>
              <w:top w:val="nil"/>
              <w:left w:val="nil"/>
              <w:bottom w:val="nil"/>
              <w:right w:val="nil"/>
            </w:tcBorders>
            <w:shd w:val="clear" w:color="auto" w:fill="auto"/>
            <w:noWrap/>
            <w:vAlign w:val="center"/>
          </w:tcPr>
          <w:p w14:paraId="2C13B5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w:t>
            </w:r>
          </w:p>
        </w:tc>
        <w:tc>
          <w:tcPr>
            <w:tcW w:w="3122" w:type="dxa"/>
            <w:tcBorders>
              <w:top w:val="nil"/>
              <w:left w:val="nil"/>
              <w:bottom w:val="nil"/>
              <w:right w:val="nil"/>
            </w:tcBorders>
            <w:shd w:val="clear" w:color="auto" w:fill="auto"/>
            <w:noWrap/>
            <w:vAlign w:val="center"/>
          </w:tcPr>
          <w:p w14:paraId="0E8B9F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0.673</w:t>
            </w:r>
          </w:p>
        </w:tc>
      </w:tr>
      <w:tr w14:paraId="0D31A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39944A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IGF_1</w:t>
            </w:r>
          </w:p>
        </w:tc>
        <w:tc>
          <w:tcPr>
            <w:tcW w:w="2722" w:type="dxa"/>
            <w:tcBorders>
              <w:top w:val="nil"/>
              <w:left w:val="nil"/>
              <w:bottom w:val="nil"/>
              <w:right w:val="nil"/>
            </w:tcBorders>
            <w:shd w:val="clear" w:color="auto" w:fill="auto"/>
            <w:noWrap/>
            <w:vAlign w:val="center"/>
          </w:tcPr>
          <w:p w14:paraId="0B832A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HDL_C</w:t>
            </w:r>
          </w:p>
        </w:tc>
        <w:tc>
          <w:tcPr>
            <w:tcW w:w="4365" w:type="dxa"/>
            <w:tcBorders>
              <w:top w:val="nil"/>
              <w:left w:val="nil"/>
              <w:bottom w:val="nil"/>
              <w:right w:val="nil"/>
            </w:tcBorders>
            <w:shd w:val="clear" w:color="auto" w:fill="auto"/>
            <w:noWrap/>
            <w:vAlign w:val="center"/>
          </w:tcPr>
          <w:p w14:paraId="7F2063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w:t>
            </w:r>
          </w:p>
        </w:tc>
        <w:tc>
          <w:tcPr>
            <w:tcW w:w="3122" w:type="dxa"/>
            <w:tcBorders>
              <w:top w:val="nil"/>
              <w:left w:val="nil"/>
              <w:bottom w:val="nil"/>
              <w:right w:val="nil"/>
            </w:tcBorders>
            <w:shd w:val="clear" w:color="auto" w:fill="auto"/>
            <w:noWrap/>
            <w:vAlign w:val="center"/>
          </w:tcPr>
          <w:p w14:paraId="06B987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0.543</w:t>
            </w:r>
          </w:p>
        </w:tc>
      </w:tr>
      <w:tr w14:paraId="0143A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16F0CD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Leptin</w:t>
            </w:r>
          </w:p>
        </w:tc>
        <w:tc>
          <w:tcPr>
            <w:tcW w:w="2722" w:type="dxa"/>
            <w:tcBorders>
              <w:top w:val="nil"/>
              <w:left w:val="nil"/>
              <w:bottom w:val="nil"/>
              <w:right w:val="nil"/>
            </w:tcBorders>
            <w:shd w:val="clear" w:color="auto" w:fill="auto"/>
            <w:noWrap/>
            <w:vAlign w:val="center"/>
          </w:tcPr>
          <w:p w14:paraId="693E90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HDL_C</w:t>
            </w:r>
          </w:p>
        </w:tc>
        <w:tc>
          <w:tcPr>
            <w:tcW w:w="4365" w:type="dxa"/>
            <w:tcBorders>
              <w:top w:val="nil"/>
              <w:left w:val="nil"/>
              <w:bottom w:val="nil"/>
              <w:right w:val="nil"/>
            </w:tcBorders>
            <w:shd w:val="clear" w:color="auto" w:fill="auto"/>
            <w:noWrap/>
            <w:vAlign w:val="center"/>
          </w:tcPr>
          <w:p w14:paraId="0E1206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-0.086</w:t>
            </w:r>
          </w:p>
        </w:tc>
        <w:tc>
          <w:tcPr>
            <w:tcW w:w="3122" w:type="dxa"/>
            <w:tcBorders>
              <w:top w:val="nil"/>
              <w:left w:val="nil"/>
              <w:bottom w:val="nil"/>
              <w:right w:val="nil"/>
            </w:tcBorders>
            <w:shd w:val="clear" w:color="auto" w:fill="auto"/>
            <w:noWrap/>
            <w:vAlign w:val="center"/>
          </w:tcPr>
          <w:p w14:paraId="474B14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0.075</w:t>
            </w:r>
          </w:p>
        </w:tc>
      </w:tr>
      <w:tr w14:paraId="0B4D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2DFA7F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Adiponectin</w:t>
            </w:r>
          </w:p>
        </w:tc>
        <w:tc>
          <w:tcPr>
            <w:tcW w:w="2722" w:type="dxa"/>
            <w:tcBorders>
              <w:top w:val="nil"/>
              <w:left w:val="nil"/>
              <w:bottom w:val="nil"/>
              <w:right w:val="nil"/>
            </w:tcBorders>
            <w:shd w:val="clear" w:color="auto" w:fill="auto"/>
            <w:noWrap/>
            <w:vAlign w:val="center"/>
          </w:tcPr>
          <w:p w14:paraId="0F4C1C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HDL_C</w:t>
            </w:r>
          </w:p>
        </w:tc>
        <w:tc>
          <w:tcPr>
            <w:tcW w:w="4365" w:type="dxa"/>
            <w:tcBorders>
              <w:top w:val="nil"/>
              <w:left w:val="nil"/>
              <w:bottom w:val="nil"/>
              <w:right w:val="nil"/>
            </w:tcBorders>
            <w:shd w:val="clear" w:color="auto" w:fill="auto"/>
            <w:noWrap/>
            <w:vAlign w:val="center"/>
          </w:tcPr>
          <w:p w14:paraId="426DFB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0.024</w:t>
            </w:r>
          </w:p>
        </w:tc>
        <w:tc>
          <w:tcPr>
            <w:tcW w:w="3122" w:type="dxa"/>
            <w:tcBorders>
              <w:top w:val="nil"/>
              <w:left w:val="nil"/>
              <w:bottom w:val="nil"/>
              <w:right w:val="nil"/>
            </w:tcBorders>
            <w:shd w:val="clear" w:color="auto" w:fill="auto"/>
            <w:noWrap/>
            <w:vAlign w:val="center"/>
          </w:tcPr>
          <w:p w14:paraId="390860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0.624</w:t>
            </w:r>
          </w:p>
        </w:tc>
      </w:tr>
      <w:tr w14:paraId="2A0CF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5A8CF3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TSH</w:t>
            </w:r>
          </w:p>
        </w:tc>
        <w:tc>
          <w:tcPr>
            <w:tcW w:w="2722" w:type="dxa"/>
            <w:tcBorders>
              <w:top w:val="nil"/>
              <w:left w:val="nil"/>
              <w:bottom w:val="nil"/>
              <w:right w:val="nil"/>
            </w:tcBorders>
            <w:shd w:val="clear" w:color="auto" w:fill="auto"/>
            <w:noWrap/>
            <w:vAlign w:val="center"/>
          </w:tcPr>
          <w:p w14:paraId="639BAC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Triglycerides</w:t>
            </w:r>
          </w:p>
        </w:tc>
        <w:tc>
          <w:tcPr>
            <w:tcW w:w="4365" w:type="dxa"/>
            <w:tcBorders>
              <w:top w:val="nil"/>
              <w:left w:val="nil"/>
              <w:bottom w:val="nil"/>
              <w:right w:val="nil"/>
            </w:tcBorders>
            <w:shd w:val="clear" w:color="auto" w:fill="auto"/>
            <w:noWrap/>
            <w:vAlign w:val="center"/>
          </w:tcPr>
          <w:p w14:paraId="345FB4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w:t>
            </w:r>
          </w:p>
        </w:tc>
        <w:tc>
          <w:tcPr>
            <w:tcW w:w="3122" w:type="dxa"/>
            <w:tcBorders>
              <w:top w:val="nil"/>
              <w:left w:val="nil"/>
              <w:bottom w:val="nil"/>
              <w:right w:val="nil"/>
            </w:tcBorders>
            <w:shd w:val="clear" w:color="auto" w:fill="auto"/>
            <w:noWrap/>
            <w:vAlign w:val="center"/>
          </w:tcPr>
          <w:p w14:paraId="6B2B47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w:t>
            </w:r>
          </w:p>
        </w:tc>
      </w:tr>
      <w:tr w14:paraId="5B68B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62C811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Free_T4</w:t>
            </w:r>
          </w:p>
        </w:tc>
        <w:tc>
          <w:tcPr>
            <w:tcW w:w="2722" w:type="dxa"/>
            <w:tcBorders>
              <w:top w:val="nil"/>
              <w:left w:val="nil"/>
              <w:bottom w:val="nil"/>
              <w:right w:val="nil"/>
            </w:tcBorders>
            <w:shd w:val="clear" w:color="auto" w:fill="auto"/>
            <w:noWrap/>
            <w:vAlign w:val="center"/>
          </w:tcPr>
          <w:p w14:paraId="5EFD29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Triglycerides</w:t>
            </w:r>
          </w:p>
        </w:tc>
        <w:tc>
          <w:tcPr>
            <w:tcW w:w="4365" w:type="dxa"/>
            <w:tcBorders>
              <w:top w:val="nil"/>
              <w:left w:val="nil"/>
              <w:bottom w:val="nil"/>
              <w:right w:val="nil"/>
            </w:tcBorders>
            <w:shd w:val="clear" w:color="auto" w:fill="auto"/>
            <w:noWrap/>
            <w:vAlign w:val="center"/>
          </w:tcPr>
          <w:p w14:paraId="4BF41A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-0.045</w:t>
            </w:r>
          </w:p>
        </w:tc>
        <w:tc>
          <w:tcPr>
            <w:tcW w:w="3122" w:type="dxa"/>
            <w:tcBorders>
              <w:top w:val="nil"/>
              <w:left w:val="nil"/>
              <w:bottom w:val="nil"/>
              <w:right w:val="nil"/>
            </w:tcBorders>
            <w:shd w:val="clear" w:color="auto" w:fill="auto"/>
            <w:noWrap/>
            <w:vAlign w:val="center"/>
          </w:tcPr>
          <w:p w14:paraId="0867AA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0.352</w:t>
            </w:r>
          </w:p>
        </w:tc>
      </w:tr>
      <w:tr w14:paraId="2CDBE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57C055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IGF_1</w:t>
            </w:r>
          </w:p>
        </w:tc>
        <w:tc>
          <w:tcPr>
            <w:tcW w:w="2722" w:type="dxa"/>
            <w:tcBorders>
              <w:top w:val="nil"/>
              <w:left w:val="nil"/>
              <w:bottom w:val="nil"/>
              <w:right w:val="nil"/>
            </w:tcBorders>
            <w:shd w:val="clear" w:color="auto" w:fill="auto"/>
            <w:noWrap/>
            <w:vAlign w:val="center"/>
          </w:tcPr>
          <w:p w14:paraId="43127B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Triglycerides</w:t>
            </w:r>
          </w:p>
        </w:tc>
        <w:tc>
          <w:tcPr>
            <w:tcW w:w="4365" w:type="dxa"/>
            <w:tcBorders>
              <w:top w:val="nil"/>
              <w:left w:val="nil"/>
              <w:bottom w:val="nil"/>
              <w:right w:val="nil"/>
            </w:tcBorders>
            <w:shd w:val="clear" w:color="auto" w:fill="auto"/>
            <w:noWrap/>
            <w:vAlign w:val="center"/>
          </w:tcPr>
          <w:p w14:paraId="6D6F3B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0.017</w:t>
            </w:r>
          </w:p>
        </w:tc>
        <w:tc>
          <w:tcPr>
            <w:tcW w:w="3122" w:type="dxa"/>
            <w:tcBorders>
              <w:top w:val="nil"/>
              <w:left w:val="nil"/>
              <w:bottom w:val="nil"/>
              <w:right w:val="nil"/>
            </w:tcBorders>
            <w:shd w:val="clear" w:color="auto" w:fill="auto"/>
            <w:noWrap/>
            <w:vAlign w:val="center"/>
          </w:tcPr>
          <w:p w14:paraId="2A5BF1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0.733</w:t>
            </w:r>
          </w:p>
        </w:tc>
      </w:tr>
      <w:tr w14:paraId="37763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658E3E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Leptin</w:t>
            </w:r>
          </w:p>
        </w:tc>
        <w:tc>
          <w:tcPr>
            <w:tcW w:w="2722" w:type="dxa"/>
            <w:tcBorders>
              <w:top w:val="nil"/>
              <w:left w:val="nil"/>
              <w:bottom w:val="nil"/>
              <w:right w:val="nil"/>
            </w:tcBorders>
            <w:shd w:val="clear" w:color="auto" w:fill="auto"/>
            <w:noWrap/>
            <w:vAlign w:val="center"/>
          </w:tcPr>
          <w:p w14:paraId="0FA377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Triglycerides</w:t>
            </w:r>
          </w:p>
        </w:tc>
        <w:tc>
          <w:tcPr>
            <w:tcW w:w="4365" w:type="dxa"/>
            <w:tcBorders>
              <w:top w:val="nil"/>
              <w:left w:val="nil"/>
              <w:bottom w:val="nil"/>
              <w:right w:val="nil"/>
            </w:tcBorders>
            <w:shd w:val="clear" w:color="auto" w:fill="auto"/>
            <w:noWrap/>
            <w:vAlign w:val="center"/>
          </w:tcPr>
          <w:p w14:paraId="7A8798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0.224</w:t>
            </w:r>
          </w:p>
        </w:tc>
        <w:tc>
          <w:tcPr>
            <w:tcW w:w="3122" w:type="dxa"/>
            <w:tcBorders>
              <w:top w:val="nil"/>
              <w:left w:val="nil"/>
              <w:bottom w:val="nil"/>
              <w:right w:val="nil"/>
            </w:tcBorders>
            <w:shd w:val="clear" w:color="auto" w:fill="auto"/>
            <w:noWrap/>
            <w:vAlign w:val="center"/>
          </w:tcPr>
          <w:p w14:paraId="3DD1D6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6BC3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02484F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Adiponectin</w:t>
            </w:r>
          </w:p>
        </w:tc>
        <w:tc>
          <w:tcPr>
            <w:tcW w:w="2722" w:type="dxa"/>
            <w:tcBorders>
              <w:top w:val="nil"/>
              <w:left w:val="nil"/>
              <w:bottom w:val="nil"/>
              <w:right w:val="nil"/>
            </w:tcBorders>
            <w:shd w:val="clear" w:color="auto" w:fill="auto"/>
            <w:noWrap/>
            <w:vAlign w:val="center"/>
          </w:tcPr>
          <w:p w14:paraId="346C02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Triglycerides</w:t>
            </w:r>
          </w:p>
        </w:tc>
        <w:tc>
          <w:tcPr>
            <w:tcW w:w="4365" w:type="dxa"/>
            <w:tcBorders>
              <w:top w:val="nil"/>
              <w:left w:val="nil"/>
              <w:bottom w:val="nil"/>
              <w:right w:val="nil"/>
            </w:tcBorders>
            <w:shd w:val="clear" w:color="auto" w:fill="auto"/>
            <w:noWrap/>
            <w:vAlign w:val="center"/>
          </w:tcPr>
          <w:p w14:paraId="6C7EE3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-0.138</w:t>
            </w:r>
          </w:p>
        </w:tc>
        <w:tc>
          <w:tcPr>
            <w:tcW w:w="3122" w:type="dxa"/>
            <w:tcBorders>
              <w:top w:val="nil"/>
              <w:left w:val="nil"/>
              <w:bottom w:val="nil"/>
              <w:right w:val="nil"/>
            </w:tcBorders>
            <w:shd w:val="clear" w:color="auto" w:fill="auto"/>
            <w:noWrap/>
            <w:vAlign w:val="center"/>
          </w:tcPr>
          <w:p w14:paraId="138693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&lt;0.01</w:t>
            </w:r>
          </w:p>
        </w:tc>
      </w:tr>
      <w:tr w14:paraId="0BFE9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04853B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TSH</w:t>
            </w:r>
          </w:p>
        </w:tc>
        <w:tc>
          <w:tcPr>
            <w:tcW w:w="2722" w:type="dxa"/>
            <w:tcBorders>
              <w:top w:val="nil"/>
              <w:left w:val="nil"/>
              <w:bottom w:val="nil"/>
              <w:right w:val="nil"/>
            </w:tcBorders>
            <w:shd w:val="clear" w:color="auto" w:fill="auto"/>
            <w:noWrap/>
            <w:vAlign w:val="center"/>
          </w:tcPr>
          <w:p w14:paraId="037692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ALT</w:t>
            </w:r>
          </w:p>
        </w:tc>
        <w:tc>
          <w:tcPr>
            <w:tcW w:w="4365" w:type="dxa"/>
            <w:tcBorders>
              <w:top w:val="nil"/>
              <w:left w:val="nil"/>
              <w:bottom w:val="nil"/>
              <w:right w:val="nil"/>
            </w:tcBorders>
            <w:shd w:val="clear" w:color="auto" w:fill="auto"/>
            <w:noWrap/>
            <w:vAlign w:val="center"/>
          </w:tcPr>
          <w:p w14:paraId="4420EB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-0.028</w:t>
            </w:r>
          </w:p>
        </w:tc>
        <w:tc>
          <w:tcPr>
            <w:tcW w:w="3122" w:type="dxa"/>
            <w:tcBorders>
              <w:top w:val="nil"/>
              <w:left w:val="nil"/>
              <w:bottom w:val="nil"/>
              <w:right w:val="nil"/>
            </w:tcBorders>
            <w:shd w:val="clear" w:color="auto" w:fill="auto"/>
            <w:noWrap/>
            <w:vAlign w:val="center"/>
          </w:tcPr>
          <w:p w14:paraId="1D60DD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0.567</w:t>
            </w:r>
          </w:p>
        </w:tc>
      </w:tr>
      <w:tr w14:paraId="21690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048927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Free_T4</w:t>
            </w:r>
          </w:p>
        </w:tc>
        <w:tc>
          <w:tcPr>
            <w:tcW w:w="2722" w:type="dxa"/>
            <w:tcBorders>
              <w:top w:val="nil"/>
              <w:left w:val="nil"/>
              <w:bottom w:val="nil"/>
              <w:right w:val="nil"/>
            </w:tcBorders>
            <w:shd w:val="clear" w:color="auto" w:fill="auto"/>
            <w:noWrap/>
            <w:vAlign w:val="center"/>
          </w:tcPr>
          <w:p w14:paraId="5D60E8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ALT</w:t>
            </w:r>
          </w:p>
        </w:tc>
        <w:tc>
          <w:tcPr>
            <w:tcW w:w="4365" w:type="dxa"/>
            <w:tcBorders>
              <w:top w:val="nil"/>
              <w:left w:val="nil"/>
              <w:bottom w:val="nil"/>
              <w:right w:val="nil"/>
            </w:tcBorders>
            <w:shd w:val="clear" w:color="auto" w:fill="auto"/>
            <w:noWrap/>
            <w:vAlign w:val="center"/>
          </w:tcPr>
          <w:p w14:paraId="2297BA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w:t>
            </w:r>
          </w:p>
        </w:tc>
        <w:tc>
          <w:tcPr>
            <w:tcW w:w="3122" w:type="dxa"/>
            <w:tcBorders>
              <w:top w:val="nil"/>
              <w:left w:val="nil"/>
              <w:bottom w:val="nil"/>
              <w:right w:val="nil"/>
            </w:tcBorders>
            <w:shd w:val="clear" w:color="auto" w:fill="auto"/>
            <w:noWrap/>
            <w:vAlign w:val="center"/>
          </w:tcPr>
          <w:p w14:paraId="2F1C9A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0.885</w:t>
            </w:r>
          </w:p>
        </w:tc>
      </w:tr>
      <w:tr w14:paraId="04F14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14FEAB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IGF_1</w:t>
            </w:r>
          </w:p>
        </w:tc>
        <w:tc>
          <w:tcPr>
            <w:tcW w:w="2722" w:type="dxa"/>
            <w:tcBorders>
              <w:top w:val="nil"/>
              <w:left w:val="nil"/>
              <w:bottom w:val="nil"/>
              <w:right w:val="nil"/>
            </w:tcBorders>
            <w:shd w:val="clear" w:color="auto" w:fill="auto"/>
            <w:noWrap/>
            <w:vAlign w:val="center"/>
          </w:tcPr>
          <w:p w14:paraId="5DBF7D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ALT</w:t>
            </w:r>
          </w:p>
        </w:tc>
        <w:tc>
          <w:tcPr>
            <w:tcW w:w="4365" w:type="dxa"/>
            <w:tcBorders>
              <w:top w:val="nil"/>
              <w:left w:val="nil"/>
              <w:bottom w:val="nil"/>
              <w:right w:val="nil"/>
            </w:tcBorders>
            <w:shd w:val="clear" w:color="auto" w:fill="auto"/>
            <w:noWrap/>
            <w:vAlign w:val="center"/>
          </w:tcPr>
          <w:p w14:paraId="1874C8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0.032</w:t>
            </w:r>
          </w:p>
        </w:tc>
        <w:tc>
          <w:tcPr>
            <w:tcW w:w="3122" w:type="dxa"/>
            <w:tcBorders>
              <w:top w:val="nil"/>
              <w:left w:val="nil"/>
              <w:bottom w:val="nil"/>
              <w:right w:val="nil"/>
            </w:tcBorders>
            <w:shd w:val="clear" w:color="auto" w:fill="auto"/>
            <w:noWrap/>
            <w:vAlign w:val="center"/>
          </w:tcPr>
          <w:p w14:paraId="1075F9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0.506</w:t>
            </w:r>
          </w:p>
        </w:tc>
      </w:tr>
      <w:tr w14:paraId="564F5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nil"/>
              <w:right w:val="nil"/>
            </w:tcBorders>
            <w:shd w:val="clear" w:color="auto" w:fill="auto"/>
            <w:noWrap/>
            <w:vAlign w:val="center"/>
          </w:tcPr>
          <w:p w14:paraId="54A221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Leptin</w:t>
            </w:r>
          </w:p>
        </w:tc>
        <w:tc>
          <w:tcPr>
            <w:tcW w:w="2722" w:type="dxa"/>
            <w:tcBorders>
              <w:top w:val="nil"/>
              <w:left w:val="nil"/>
              <w:bottom w:val="nil"/>
              <w:right w:val="nil"/>
            </w:tcBorders>
            <w:shd w:val="clear" w:color="auto" w:fill="auto"/>
            <w:noWrap/>
            <w:vAlign w:val="center"/>
          </w:tcPr>
          <w:p w14:paraId="0C7A17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ALT</w:t>
            </w:r>
          </w:p>
        </w:tc>
        <w:tc>
          <w:tcPr>
            <w:tcW w:w="4365" w:type="dxa"/>
            <w:tcBorders>
              <w:top w:val="nil"/>
              <w:left w:val="nil"/>
              <w:bottom w:val="nil"/>
              <w:right w:val="nil"/>
            </w:tcBorders>
            <w:shd w:val="clear" w:color="auto" w:fill="auto"/>
            <w:noWrap/>
            <w:vAlign w:val="center"/>
          </w:tcPr>
          <w:p w14:paraId="0BE20A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0.083</w:t>
            </w:r>
          </w:p>
        </w:tc>
        <w:tc>
          <w:tcPr>
            <w:tcW w:w="3122" w:type="dxa"/>
            <w:tcBorders>
              <w:top w:val="nil"/>
              <w:left w:val="nil"/>
              <w:bottom w:val="nil"/>
              <w:right w:val="nil"/>
            </w:tcBorders>
            <w:shd w:val="clear" w:color="auto" w:fill="auto"/>
            <w:noWrap/>
            <w:vAlign w:val="center"/>
          </w:tcPr>
          <w:p w14:paraId="4DBEF2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0.088</w:t>
            </w:r>
          </w:p>
        </w:tc>
      </w:tr>
      <w:tr w14:paraId="32A02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2" w:type="dxa"/>
            <w:tcBorders>
              <w:top w:val="nil"/>
              <w:left w:val="nil"/>
              <w:bottom w:val="single" w:color="auto" w:sz="4" w:space="0"/>
              <w:right w:val="nil"/>
            </w:tcBorders>
            <w:shd w:val="clear" w:color="auto" w:fill="auto"/>
            <w:noWrap/>
            <w:vAlign w:val="center"/>
          </w:tcPr>
          <w:p w14:paraId="7DC555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Adiponectin</w:t>
            </w:r>
          </w:p>
        </w:tc>
        <w:tc>
          <w:tcPr>
            <w:tcW w:w="2722" w:type="dxa"/>
            <w:tcBorders>
              <w:top w:val="nil"/>
              <w:left w:val="nil"/>
              <w:bottom w:val="single" w:color="auto" w:sz="4" w:space="0"/>
              <w:right w:val="nil"/>
            </w:tcBorders>
            <w:shd w:val="clear" w:color="auto" w:fill="auto"/>
            <w:noWrap/>
            <w:vAlign w:val="center"/>
          </w:tcPr>
          <w:p w14:paraId="54A101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ALT</w:t>
            </w:r>
          </w:p>
        </w:tc>
        <w:tc>
          <w:tcPr>
            <w:tcW w:w="4365" w:type="dxa"/>
            <w:tcBorders>
              <w:top w:val="nil"/>
              <w:left w:val="nil"/>
              <w:bottom w:val="single" w:color="auto" w:sz="4" w:space="0"/>
              <w:right w:val="nil"/>
            </w:tcBorders>
            <w:shd w:val="clear" w:color="auto" w:fill="auto"/>
            <w:noWrap/>
            <w:vAlign w:val="center"/>
          </w:tcPr>
          <w:p w14:paraId="52F4E9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-0.104</w:t>
            </w:r>
          </w:p>
        </w:tc>
        <w:tc>
          <w:tcPr>
            <w:tcW w:w="3122" w:type="dxa"/>
            <w:tcBorders>
              <w:top w:val="nil"/>
              <w:left w:val="nil"/>
              <w:bottom w:val="single" w:color="auto" w:sz="4" w:space="0"/>
              <w:right w:val="nil"/>
            </w:tcBorders>
            <w:shd w:val="clear" w:color="auto" w:fill="auto"/>
            <w:noWrap/>
            <w:vAlign w:val="center"/>
          </w:tcPr>
          <w:p w14:paraId="369BE6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0.033</w:t>
            </w:r>
          </w:p>
        </w:tc>
      </w:tr>
    </w:tbl>
    <w:p w14:paraId="59501AC9">
      <w:pPr>
        <w:rPr>
          <w:rStyle w:val="6"/>
          <w:rFonts w:hint="default" w:eastAsiaTheme="minorEastAsia"/>
          <w:b/>
          <w:bCs/>
          <w:sz w:val="24"/>
          <w:szCs w:val="24"/>
          <w:lang w:val="en-US" w:eastAsia="zh-CN"/>
        </w:rPr>
      </w:pPr>
      <w:r>
        <w:rPr>
          <w:rFonts w:hint="eastAsia" w:ascii="Times New Roman" w:hAnsi="Times New Roman" w:cs="Times New Roman"/>
          <w:sz w:val="24"/>
          <w:szCs w:val="24"/>
          <w:lang w:val="en-US" w:eastAsia="zh-CN"/>
        </w:rPr>
        <w:t>Note:Data are presented as partial Spearman correlation coefficients (rho). The null hypothesis tested was that the correlation coefficient equals zero (no association). Each endocrine biomarker was compared with each metabolic parameter individually. All correlations were adjusted for age, sex, and BMI z‑score. No correction for multiple comparisons was applied; P values &lt;0.05 were considered statistically significant.</w:t>
      </w:r>
    </w:p>
    <w:p w14:paraId="1E8194C3">
      <w:pPr>
        <w:rPr>
          <w:rStyle w:val="6"/>
          <w:b/>
          <w:bCs/>
          <w:sz w:val="24"/>
          <w:szCs w:val="24"/>
        </w:rPr>
      </w:pPr>
    </w:p>
    <w:p w14:paraId="652A4EBD">
      <w:pPr>
        <w:rPr>
          <w:rStyle w:val="6"/>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val="0"/>
          <w:bCs w:val="0"/>
          <w:sz w:val="24"/>
          <w:szCs w:val="24"/>
          <w:lang w:eastAsia="zh-CN"/>
        </w:rPr>
        <w:t xml:space="preserve">Supplementary Table </w:t>
      </w:r>
      <w:r>
        <w:rPr>
          <w:rFonts w:hint="eastAsia" w:ascii="Times New Roman" w:hAnsi="Times New Roman" w:eastAsia="宋体" w:cs="Times New Roman"/>
          <w:b w:val="0"/>
          <w:bCs w:val="0"/>
          <w:sz w:val="24"/>
          <w:szCs w:val="24"/>
          <w:lang w:val="en-US" w:eastAsia="zh-CN"/>
        </w:rPr>
        <w:t>4</w:t>
      </w:r>
      <w:r>
        <w:rPr>
          <w:rFonts w:hint="default" w:ascii="Times New Roman" w:hAnsi="Times New Roman" w:eastAsia="宋体" w:cs="Times New Roman"/>
          <w:b w:val="0"/>
          <w:bCs w:val="0"/>
          <w:sz w:val="24"/>
          <w:szCs w:val="24"/>
        </w:rPr>
        <w:t>. Sensitivity Multivariable Logistic Regression Analysis Using Categorical Predictors of Metabolic Syndrome</w:t>
      </w:r>
      <w:r>
        <w:rPr>
          <w:rFonts w:hint="eastAsia" w:ascii="Times New Roman" w:hAnsi="Times New Roman" w:eastAsia="宋体" w:cs="Times New Roman"/>
          <w:b w:val="0"/>
          <w:bCs w:val="0"/>
          <w:sz w:val="24"/>
          <w:szCs w:val="24"/>
          <w:lang w:val="en-US" w:eastAsia="zh-CN"/>
        </w:rPr>
        <w:t>.</w:t>
      </w:r>
    </w:p>
    <w:tbl>
      <w:tblPr>
        <w:tblStyle w:val="4"/>
        <w:tblW w:w="95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275"/>
        <w:gridCol w:w="2175"/>
        <w:gridCol w:w="1920"/>
        <w:gridCol w:w="2220"/>
      </w:tblGrid>
      <w:tr w14:paraId="70F40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195" w:type="dxa"/>
            <w:tcBorders>
              <w:top w:val="single" w:color="auto" w:sz="4" w:space="0"/>
              <w:left w:val="nil"/>
              <w:bottom w:val="single" w:color="auto" w:sz="4" w:space="0"/>
              <w:right w:val="nil"/>
            </w:tcBorders>
            <w:shd w:val="clear" w:color="auto" w:fill="auto"/>
            <w:noWrap/>
            <w:vAlign w:val="center"/>
          </w:tcPr>
          <w:p w14:paraId="4F9D05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Predictor</w:t>
            </w:r>
          </w:p>
        </w:tc>
        <w:tc>
          <w:tcPr>
            <w:tcW w:w="2175" w:type="dxa"/>
            <w:tcBorders>
              <w:top w:val="single" w:color="auto" w:sz="4" w:space="0"/>
              <w:left w:val="nil"/>
              <w:bottom w:val="single" w:color="auto" w:sz="4" w:space="0"/>
              <w:right w:val="nil"/>
            </w:tcBorders>
            <w:shd w:val="clear" w:color="auto" w:fill="auto"/>
            <w:noWrap/>
            <w:vAlign w:val="center"/>
          </w:tcPr>
          <w:p w14:paraId="6E3E55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Adjusted_OR</w:t>
            </w:r>
          </w:p>
        </w:tc>
        <w:tc>
          <w:tcPr>
            <w:tcW w:w="1920" w:type="dxa"/>
            <w:tcBorders>
              <w:top w:val="single" w:color="auto" w:sz="4" w:space="0"/>
              <w:left w:val="nil"/>
              <w:bottom w:val="single" w:color="auto" w:sz="4" w:space="0"/>
              <w:right w:val="nil"/>
            </w:tcBorders>
            <w:shd w:val="clear" w:color="auto" w:fill="auto"/>
            <w:noWrap/>
            <w:vAlign w:val="center"/>
          </w:tcPr>
          <w:p w14:paraId="3BE999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ascii="Times New Roman" w:hAnsi="Times New Roman" w:cs="Times New Roman"/>
                <w:color w:val="000000"/>
                <w:sz w:val="24"/>
                <w:szCs w:val="24"/>
              </w:rPr>
              <w:t>95% CI</w:t>
            </w:r>
          </w:p>
        </w:tc>
        <w:tc>
          <w:tcPr>
            <w:tcW w:w="2220" w:type="dxa"/>
            <w:tcBorders>
              <w:top w:val="single" w:color="auto" w:sz="4" w:space="0"/>
              <w:left w:val="nil"/>
              <w:bottom w:val="single" w:color="auto" w:sz="4" w:space="0"/>
              <w:right w:val="nil"/>
            </w:tcBorders>
            <w:shd w:val="clear" w:color="auto" w:fill="auto"/>
            <w:noWrap/>
            <w:vAlign w:val="center"/>
          </w:tcPr>
          <w:p w14:paraId="27709F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p_value</w:t>
            </w:r>
          </w:p>
        </w:tc>
      </w:tr>
      <w:tr w14:paraId="690E2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auto" w:sz="4" w:space="0"/>
              <w:left w:val="nil"/>
              <w:bottom w:val="nil"/>
              <w:right w:val="nil"/>
            </w:tcBorders>
            <w:shd w:val="clear" w:color="auto" w:fill="auto"/>
            <w:noWrap/>
            <w:vAlign w:val="center"/>
          </w:tcPr>
          <w:p w14:paraId="20D107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Male sex</w:t>
            </w:r>
          </w:p>
        </w:tc>
        <w:tc>
          <w:tcPr>
            <w:tcW w:w="0" w:type="auto"/>
            <w:tcBorders>
              <w:top w:val="single" w:color="auto" w:sz="4" w:space="0"/>
              <w:left w:val="nil"/>
              <w:bottom w:val="nil"/>
              <w:right w:val="nil"/>
            </w:tcBorders>
            <w:shd w:val="clear" w:color="auto" w:fill="auto"/>
            <w:noWrap/>
            <w:vAlign w:val="center"/>
          </w:tcPr>
          <w:p w14:paraId="67F921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w:t>
            </w:r>
          </w:p>
        </w:tc>
        <w:tc>
          <w:tcPr>
            <w:tcW w:w="0" w:type="auto"/>
            <w:tcBorders>
              <w:top w:val="single" w:color="auto" w:sz="4" w:space="0"/>
              <w:left w:val="nil"/>
              <w:bottom w:val="nil"/>
              <w:right w:val="nil"/>
            </w:tcBorders>
            <w:shd w:val="clear" w:color="auto" w:fill="auto"/>
            <w:noWrap/>
            <w:vAlign w:val="center"/>
          </w:tcPr>
          <w:p w14:paraId="509DE3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0.8–1.9</w:t>
            </w:r>
          </w:p>
        </w:tc>
        <w:tc>
          <w:tcPr>
            <w:tcW w:w="0" w:type="auto"/>
            <w:tcBorders>
              <w:top w:val="single" w:color="auto" w:sz="4" w:space="0"/>
              <w:left w:val="nil"/>
              <w:bottom w:val="nil"/>
              <w:right w:val="nil"/>
            </w:tcBorders>
            <w:shd w:val="clear" w:color="auto" w:fill="auto"/>
            <w:noWrap/>
            <w:vAlign w:val="center"/>
          </w:tcPr>
          <w:p w14:paraId="6B3953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0.348</w:t>
            </w:r>
          </w:p>
        </w:tc>
      </w:tr>
      <w:tr w14:paraId="40C17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31F6D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Age ≥12 years</w:t>
            </w:r>
          </w:p>
        </w:tc>
        <w:tc>
          <w:tcPr>
            <w:tcW w:w="0" w:type="auto"/>
            <w:tcBorders>
              <w:top w:val="nil"/>
              <w:left w:val="nil"/>
              <w:bottom w:val="nil"/>
              <w:right w:val="nil"/>
            </w:tcBorders>
            <w:shd w:val="clear" w:color="auto" w:fill="auto"/>
            <w:noWrap/>
            <w:vAlign w:val="center"/>
          </w:tcPr>
          <w:p w14:paraId="4746F3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w:t>
            </w:r>
          </w:p>
        </w:tc>
        <w:tc>
          <w:tcPr>
            <w:tcW w:w="0" w:type="auto"/>
            <w:tcBorders>
              <w:top w:val="nil"/>
              <w:left w:val="nil"/>
              <w:bottom w:val="nil"/>
              <w:right w:val="nil"/>
            </w:tcBorders>
            <w:shd w:val="clear" w:color="auto" w:fill="auto"/>
            <w:noWrap/>
            <w:vAlign w:val="center"/>
          </w:tcPr>
          <w:p w14:paraId="21A645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0.95–2.64</w:t>
            </w:r>
          </w:p>
        </w:tc>
        <w:tc>
          <w:tcPr>
            <w:tcW w:w="0" w:type="auto"/>
            <w:tcBorders>
              <w:top w:val="nil"/>
              <w:left w:val="nil"/>
              <w:bottom w:val="nil"/>
              <w:right w:val="nil"/>
            </w:tcBorders>
            <w:shd w:val="clear" w:color="auto" w:fill="auto"/>
            <w:noWrap/>
            <w:vAlign w:val="center"/>
          </w:tcPr>
          <w:p w14:paraId="2F12C1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0.079</w:t>
            </w:r>
          </w:p>
        </w:tc>
      </w:tr>
      <w:tr w14:paraId="4043B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FDDE7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BMI-z ≥2.5</w:t>
            </w:r>
          </w:p>
        </w:tc>
        <w:tc>
          <w:tcPr>
            <w:tcW w:w="0" w:type="auto"/>
            <w:tcBorders>
              <w:top w:val="nil"/>
              <w:left w:val="nil"/>
              <w:bottom w:val="nil"/>
              <w:right w:val="nil"/>
            </w:tcBorders>
            <w:shd w:val="clear" w:color="auto" w:fill="auto"/>
            <w:noWrap/>
            <w:vAlign w:val="center"/>
          </w:tcPr>
          <w:p w14:paraId="2E35B7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w:t>
            </w:r>
          </w:p>
        </w:tc>
        <w:tc>
          <w:tcPr>
            <w:tcW w:w="0" w:type="auto"/>
            <w:tcBorders>
              <w:top w:val="nil"/>
              <w:left w:val="nil"/>
              <w:bottom w:val="nil"/>
              <w:right w:val="nil"/>
            </w:tcBorders>
            <w:shd w:val="clear" w:color="auto" w:fill="auto"/>
            <w:noWrap/>
            <w:vAlign w:val="center"/>
          </w:tcPr>
          <w:p w14:paraId="77A624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0.56–1.43</w:t>
            </w:r>
          </w:p>
        </w:tc>
        <w:tc>
          <w:tcPr>
            <w:tcW w:w="0" w:type="auto"/>
            <w:tcBorders>
              <w:top w:val="nil"/>
              <w:left w:val="nil"/>
              <w:bottom w:val="nil"/>
              <w:right w:val="nil"/>
            </w:tcBorders>
            <w:shd w:val="clear" w:color="auto" w:fill="auto"/>
            <w:noWrap/>
            <w:vAlign w:val="center"/>
          </w:tcPr>
          <w:p w14:paraId="491A92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w:t>
            </w:r>
          </w:p>
        </w:tc>
      </w:tr>
      <w:tr w14:paraId="7E5CF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DA06F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Tanner II–V vs Tanner I</w:t>
            </w:r>
          </w:p>
        </w:tc>
        <w:tc>
          <w:tcPr>
            <w:tcW w:w="0" w:type="auto"/>
            <w:tcBorders>
              <w:top w:val="nil"/>
              <w:left w:val="nil"/>
              <w:bottom w:val="nil"/>
              <w:right w:val="nil"/>
            </w:tcBorders>
            <w:shd w:val="clear" w:color="auto" w:fill="auto"/>
            <w:noWrap/>
            <w:vAlign w:val="center"/>
          </w:tcPr>
          <w:p w14:paraId="50F595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w:t>
            </w:r>
          </w:p>
        </w:tc>
        <w:tc>
          <w:tcPr>
            <w:tcW w:w="0" w:type="auto"/>
            <w:tcBorders>
              <w:top w:val="nil"/>
              <w:left w:val="nil"/>
              <w:bottom w:val="nil"/>
              <w:right w:val="nil"/>
            </w:tcBorders>
            <w:shd w:val="clear" w:color="auto" w:fill="auto"/>
            <w:noWrap/>
            <w:vAlign w:val="center"/>
          </w:tcPr>
          <w:p w14:paraId="3519ED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0.37–1.17</w:t>
            </w:r>
          </w:p>
        </w:tc>
        <w:tc>
          <w:tcPr>
            <w:tcW w:w="0" w:type="auto"/>
            <w:tcBorders>
              <w:top w:val="nil"/>
              <w:left w:val="nil"/>
              <w:bottom w:val="nil"/>
              <w:right w:val="nil"/>
            </w:tcBorders>
            <w:shd w:val="clear" w:color="auto" w:fill="auto"/>
            <w:noWrap/>
            <w:vAlign w:val="center"/>
          </w:tcPr>
          <w:p w14:paraId="5AB7C0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w:t>
            </w:r>
          </w:p>
        </w:tc>
      </w:tr>
      <w:tr w14:paraId="7ED2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6C52D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Elevated HOMA-IR based on Tanner-specific cutoff</w:t>
            </w:r>
          </w:p>
        </w:tc>
        <w:tc>
          <w:tcPr>
            <w:tcW w:w="0" w:type="auto"/>
            <w:tcBorders>
              <w:top w:val="nil"/>
              <w:left w:val="nil"/>
              <w:bottom w:val="nil"/>
              <w:right w:val="nil"/>
            </w:tcBorders>
            <w:shd w:val="clear" w:color="auto" w:fill="auto"/>
            <w:noWrap/>
            <w:vAlign w:val="center"/>
          </w:tcPr>
          <w:p w14:paraId="099F44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w:t>
            </w:r>
          </w:p>
        </w:tc>
        <w:tc>
          <w:tcPr>
            <w:tcW w:w="0" w:type="auto"/>
            <w:tcBorders>
              <w:top w:val="nil"/>
              <w:left w:val="nil"/>
              <w:bottom w:val="nil"/>
              <w:right w:val="nil"/>
            </w:tcBorders>
            <w:shd w:val="clear" w:color="auto" w:fill="auto"/>
            <w:noWrap/>
            <w:vAlign w:val="center"/>
          </w:tcPr>
          <w:p w14:paraId="03BDBC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1.75–5.14</w:t>
            </w:r>
          </w:p>
        </w:tc>
        <w:tc>
          <w:tcPr>
            <w:tcW w:w="0" w:type="auto"/>
            <w:tcBorders>
              <w:top w:val="nil"/>
              <w:left w:val="nil"/>
              <w:bottom w:val="nil"/>
              <w:right w:val="nil"/>
            </w:tcBorders>
            <w:shd w:val="clear" w:color="auto" w:fill="auto"/>
            <w:noWrap/>
            <w:vAlign w:val="center"/>
          </w:tcPr>
          <w:p w14:paraId="78B83C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00D59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B50A6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leptin</w:t>
            </w:r>
          </w:p>
        </w:tc>
        <w:tc>
          <w:tcPr>
            <w:tcW w:w="0" w:type="auto"/>
            <w:tcBorders>
              <w:top w:val="nil"/>
              <w:left w:val="nil"/>
              <w:bottom w:val="nil"/>
              <w:right w:val="nil"/>
            </w:tcBorders>
            <w:shd w:val="clear" w:color="auto" w:fill="auto"/>
            <w:noWrap/>
            <w:vAlign w:val="center"/>
          </w:tcPr>
          <w:p w14:paraId="377062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w:t>
            </w:r>
          </w:p>
        </w:tc>
        <w:tc>
          <w:tcPr>
            <w:tcW w:w="0" w:type="auto"/>
            <w:tcBorders>
              <w:top w:val="nil"/>
              <w:left w:val="nil"/>
              <w:bottom w:val="nil"/>
              <w:right w:val="nil"/>
            </w:tcBorders>
            <w:shd w:val="clear" w:color="auto" w:fill="auto"/>
            <w:noWrap/>
            <w:vAlign w:val="center"/>
          </w:tcPr>
          <w:p w14:paraId="5ADEBB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1.1–3.08</w:t>
            </w:r>
          </w:p>
        </w:tc>
        <w:tc>
          <w:tcPr>
            <w:tcW w:w="0" w:type="auto"/>
            <w:tcBorders>
              <w:top w:val="nil"/>
              <w:left w:val="nil"/>
              <w:bottom w:val="nil"/>
              <w:right w:val="nil"/>
            </w:tcBorders>
            <w:shd w:val="clear" w:color="auto" w:fill="auto"/>
            <w:noWrap/>
            <w:vAlign w:val="center"/>
          </w:tcPr>
          <w:p w14:paraId="3C18BA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w:t>
            </w:r>
          </w:p>
        </w:tc>
      </w:tr>
      <w:tr w14:paraId="31CA8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0EDC3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adiponectin</w:t>
            </w:r>
          </w:p>
        </w:tc>
        <w:tc>
          <w:tcPr>
            <w:tcW w:w="0" w:type="auto"/>
            <w:tcBorders>
              <w:top w:val="nil"/>
              <w:left w:val="nil"/>
              <w:bottom w:val="nil"/>
              <w:right w:val="nil"/>
            </w:tcBorders>
            <w:shd w:val="clear" w:color="auto" w:fill="auto"/>
            <w:noWrap/>
            <w:vAlign w:val="center"/>
          </w:tcPr>
          <w:p w14:paraId="65BC8A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w:t>
            </w:r>
          </w:p>
        </w:tc>
        <w:tc>
          <w:tcPr>
            <w:tcW w:w="0" w:type="auto"/>
            <w:tcBorders>
              <w:top w:val="nil"/>
              <w:left w:val="nil"/>
              <w:bottom w:val="nil"/>
              <w:right w:val="nil"/>
            </w:tcBorders>
            <w:shd w:val="clear" w:color="auto" w:fill="auto"/>
            <w:noWrap/>
            <w:vAlign w:val="center"/>
          </w:tcPr>
          <w:p w14:paraId="512E2B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1.42–3.85</w:t>
            </w:r>
          </w:p>
        </w:tc>
        <w:tc>
          <w:tcPr>
            <w:tcW w:w="0" w:type="auto"/>
            <w:tcBorders>
              <w:top w:val="nil"/>
              <w:left w:val="nil"/>
              <w:bottom w:val="nil"/>
              <w:right w:val="nil"/>
            </w:tcBorders>
            <w:shd w:val="clear" w:color="auto" w:fill="auto"/>
            <w:noWrap/>
            <w:vAlign w:val="center"/>
          </w:tcPr>
          <w:p w14:paraId="460F12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&lt;0.001</w:t>
            </w:r>
          </w:p>
        </w:tc>
      </w:tr>
      <w:tr w14:paraId="4B2A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E2EC2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iCs/>
                <w:color w:val="000000"/>
                <w:kern w:val="0"/>
                <w:sz w:val="24"/>
                <w:szCs w:val="24"/>
                <w:u w:val="none"/>
                <w:lang w:val="en-US" w:eastAsia="zh-CN" w:bidi="ar"/>
              </w:rPr>
              <w:t>FTO</w:t>
            </w:r>
            <w:r>
              <w:rPr>
                <w:rFonts w:hint="default" w:ascii="Times New Roman" w:hAnsi="Times New Roman" w:eastAsia="宋体" w:cs="Times New Roman"/>
                <w:i w:val="0"/>
                <w:iCs w:val="0"/>
                <w:color w:val="000000"/>
                <w:kern w:val="0"/>
                <w:sz w:val="24"/>
                <w:szCs w:val="24"/>
                <w:u w:val="none"/>
                <w:lang w:val="en-US" w:eastAsia="zh-CN" w:bidi="ar"/>
              </w:rPr>
              <w:t xml:space="preserve"> risk allele present</w:t>
            </w:r>
          </w:p>
        </w:tc>
        <w:tc>
          <w:tcPr>
            <w:tcW w:w="0" w:type="auto"/>
            <w:tcBorders>
              <w:top w:val="nil"/>
              <w:left w:val="nil"/>
              <w:bottom w:val="nil"/>
              <w:right w:val="nil"/>
            </w:tcBorders>
            <w:shd w:val="clear" w:color="auto" w:fill="auto"/>
            <w:noWrap/>
            <w:vAlign w:val="center"/>
          </w:tcPr>
          <w:p w14:paraId="11F966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w:t>
            </w:r>
          </w:p>
        </w:tc>
        <w:tc>
          <w:tcPr>
            <w:tcW w:w="0" w:type="auto"/>
            <w:tcBorders>
              <w:top w:val="nil"/>
              <w:left w:val="nil"/>
              <w:bottom w:val="nil"/>
              <w:right w:val="nil"/>
            </w:tcBorders>
            <w:shd w:val="clear" w:color="auto" w:fill="auto"/>
            <w:noWrap/>
            <w:vAlign w:val="center"/>
          </w:tcPr>
          <w:p w14:paraId="769504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1.28–3.17</w:t>
            </w:r>
          </w:p>
        </w:tc>
        <w:tc>
          <w:tcPr>
            <w:tcW w:w="0" w:type="auto"/>
            <w:tcBorders>
              <w:top w:val="nil"/>
              <w:left w:val="nil"/>
              <w:bottom w:val="nil"/>
              <w:right w:val="nil"/>
            </w:tcBorders>
            <w:shd w:val="clear" w:color="auto" w:fill="auto"/>
            <w:noWrap/>
            <w:vAlign w:val="center"/>
          </w:tcPr>
          <w:p w14:paraId="67CAEA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0.003</w:t>
            </w:r>
          </w:p>
        </w:tc>
      </w:tr>
      <w:tr w14:paraId="358A2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603A5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iCs/>
                <w:color w:val="000000"/>
                <w:kern w:val="0"/>
                <w:sz w:val="24"/>
                <w:szCs w:val="24"/>
                <w:u w:val="none"/>
                <w:lang w:val="en-US" w:eastAsia="zh-CN" w:bidi="ar"/>
              </w:rPr>
              <w:t xml:space="preserve">MC4R </w:t>
            </w:r>
            <w:r>
              <w:rPr>
                <w:rFonts w:hint="default" w:ascii="Times New Roman" w:hAnsi="Times New Roman" w:eastAsia="宋体" w:cs="Times New Roman"/>
                <w:i w:val="0"/>
                <w:iCs w:val="0"/>
                <w:color w:val="000000"/>
                <w:kern w:val="0"/>
                <w:sz w:val="24"/>
                <w:szCs w:val="24"/>
                <w:u w:val="none"/>
                <w:lang w:val="en-US" w:eastAsia="zh-CN" w:bidi="ar"/>
              </w:rPr>
              <w:t>risk allele present</w:t>
            </w:r>
          </w:p>
        </w:tc>
        <w:tc>
          <w:tcPr>
            <w:tcW w:w="0" w:type="auto"/>
            <w:tcBorders>
              <w:top w:val="nil"/>
              <w:left w:val="nil"/>
              <w:bottom w:val="nil"/>
              <w:right w:val="nil"/>
            </w:tcBorders>
            <w:shd w:val="clear" w:color="auto" w:fill="auto"/>
            <w:noWrap/>
            <w:vAlign w:val="center"/>
          </w:tcPr>
          <w:p w14:paraId="269A09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w:t>
            </w:r>
          </w:p>
        </w:tc>
        <w:tc>
          <w:tcPr>
            <w:tcW w:w="0" w:type="auto"/>
            <w:tcBorders>
              <w:top w:val="nil"/>
              <w:left w:val="nil"/>
              <w:bottom w:val="nil"/>
              <w:right w:val="nil"/>
            </w:tcBorders>
            <w:shd w:val="clear" w:color="auto" w:fill="auto"/>
            <w:noWrap/>
            <w:vAlign w:val="center"/>
          </w:tcPr>
          <w:p w14:paraId="184D17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1.22–2.9</w:t>
            </w:r>
          </w:p>
        </w:tc>
        <w:tc>
          <w:tcPr>
            <w:tcW w:w="0" w:type="auto"/>
            <w:tcBorders>
              <w:top w:val="nil"/>
              <w:left w:val="nil"/>
              <w:bottom w:val="nil"/>
              <w:right w:val="nil"/>
            </w:tcBorders>
            <w:shd w:val="clear" w:color="auto" w:fill="auto"/>
            <w:noWrap/>
            <w:vAlign w:val="center"/>
          </w:tcPr>
          <w:p w14:paraId="070AE1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0.004</w:t>
            </w:r>
          </w:p>
        </w:tc>
      </w:tr>
      <w:tr w14:paraId="0EBC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single" w:color="auto" w:sz="4" w:space="0"/>
              <w:right w:val="nil"/>
            </w:tcBorders>
            <w:shd w:val="clear" w:color="auto" w:fill="auto"/>
            <w:noWrap/>
            <w:vAlign w:val="center"/>
          </w:tcPr>
          <w:p w14:paraId="741344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iCs/>
                <w:color w:val="000000"/>
                <w:kern w:val="0"/>
                <w:sz w:val="24"/>
                <w:szCs w:val="24"/>
                <w:u w:val="none"/>
                <w:lang w:val="en-US" w:eastAsia="zh-CN" w:bidi="ar"/>
              </w:rPr>
              <w:t xml:space="preserve">LEPR </w:t>
            </w:r>
            <w:r>
              <w:rPr>
                <w:rFonts w:hint="default" w:ascii="Times New Roman" w:hAnsi="Times New Roman" w:eastAsia="宋体" w:cs="Times New Roman"/>
                <w:i w:val="0"/>
                <w:iCs w:val="0"/>
                <w:color w:val="000000"/>
                <w:kern w:val="0"/>
                <w:sz w:val="24"/>
                <w:szCs w:val="24"/>
                <w:u w:val="none"/>
                <w:lang w:val="en-US" w:eastAsia="zh-CN" w:bidi="ar"/>
              </w:rPr>
              <w:t>risk allele present</w:t>
            </w:r>
          </w:p>
        </w:tc>
        <w:tc>
          <w:tcPr>
            <w:tcW w:w="0" w:type="auto"/>
            <w:tcBorders>
              <w:top w:val="nil"/>
              <w:left w:val="nil"/>
              <w:bottom w:val="single" w:color="auto" w:sz="4" w:space="0"/>
              <w:right w:val="nil"/>
            </w:tcBorders>
            <w:shd w:val="clear" w:color="auto" w:fill="auto"/>
            <w:noWrap/>
            <w:vAlign w:val="center"/>
          </w:tcPr>
          <w:p w14:paraId="264708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0" w:type="auto"/>
            <w:tcBorders>
              <w:top w:val="nil"/>
              <w:left w:val="nil"/>
              <w:bottom w:val="single" w:color="auto" w:sz="4" w:space="0"/>
              <w:right w:val="nil"/>
            </w:tcBorders>
            <w:shd w:val="clear" w:color="auto" w:fill="auto"/>
            <w:noWrap/>
            <w:vAlign w:val="center"/>
          </w:tcPr>
          <w:p w14:paraId="413C6E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0.77–2.96</w:t>
            </w:r>
          </w:p>
        </w:tc>
        <w:tc>
          <w:tcPr>
            <w:tcW w:w="0" w:type="auto"/>
            <w:tcBorders>
              <w:top w:val="nil"/>
              <w:left w:val="nil"/>
              <w:bottom w:val="single" w:color="auto" w:sz="4" w:space="0"/>
              <w:right w:val="nil"/>
            </w:tcBorders>
            <w:shd w:val="clear" w:color="auto" w:fill="auto"/>
            <w:noWrap/>
            <w:vAlign w:val="center"/>
          </w:tcPr>
          <w:p w14:paraId="761800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0.237</w:t>
            </w:r>
          </w:p>
        </w:tc>
      </w:tr>
    </w:tbl>
    <w:p w14:paraId="5148DED1">
      <w:pPr>
        <w:rPr>
          <w:rStyle w:val="6"/>
          <w:b/>
          <w:bCs/>
          <w:sz w:val="24"/>
          <w:szCs w:val="24"/>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21D3E"/>
    <w:rsid w:val="0446301E"/>
    <w:rsid w:val="050454D4"/>
    <w:rsid w:val="067173E7"/>
    <w:rsid w:val="06806132"/>
    <w:rsid w:val="06F04422"/>
    <w:rsid w:val="095011A8"/>
    <w:rsid w:val="0FD40C37"/>
    <w:rsid w:val="11AE1162"/>
    <w:rsid w:val="12371157"/>
    <w:rsid w:val="147026FF"/>
    <w:rsid w:val="15A153DE"/>
    <w:rsid w:val="15C34AB0"/>
    <w:rsid w:val="15CD37E1"/>
    <w:rsid w:val="16663DB9"/>
    <w:rsid w:val="16A91EF8"/>
    <w:rsid w:val="196D36B1"/>
    <w:rsid w:val="1AE41750"/>
    <w:rsid w:val="1B6050F1"/>
    <w:rsid w:val="1D7E7C3A"/>
    <w:rsid w:val="1E2F7187"/>
    <w:rsid w:val="1F3F5AEF"/>
    <w:rsid w:val="1FCB0B1C"/>
    <w:rsid w:val="20783067"/>
    <w:rsid w:val="22F83FEB"/>
    <w:rsid w:val="244E37C0"/>
    <w:rsid w:val="24CC5C1F"/>
    <w:rsid w:val="27BD1CA7"/>
    <w:rsid w:val="3814321D"/>
    <w:rsid w:val="39940238"/>
    <w:rsid w:val="39B50A30"/>
    <w:rsid w:val="3A8E6E3C"/>
    <w:rsid w:val="3BFF1E65"/>
    <w:rsid w:val="4543283D"/>
    <w:rsid w:val="4B2E23F0"/>
    <w:rsid w:val="4E5C1022"/>
    <w:rsid w:val="4F2850F6"/>
    <w:rsid w:val="4F3177CB"/>
    <w:rsid w:val="556709D9"/>
    <w:rsid w:val="55947D60"/>
    <w:rsid w:val="565C2507"/>
    <w:rsid w:val="5730129E"/>
    <w:rsid w:val="579305D9"/>
    <w:rsid w:val="5DE05449"/>
    <w:rsid w:val="600C5734"/>
    <w:rsid w:val="603242D9"/>
    <w:rsid w:val="630C7063"/>
    <w:rsid w:val="632E4923"/>
    <w:rsid w:val="684150B9"/>
    <w:rsid w:val="68BA2F00"/>
    <w:rsid w:val="68E87C2B"/>
    <w:rsid w:val="768C7E47"/>
    <w:rsid w:val="77935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character" w:styleId="6">
    <w:name w:val="Strong"/>
    <w:basedOn w:val="5"/>
    <w:qFormat/>
    <w:uiPriority w:val="22"/>
    <w:rPr>
      <w:b/>
      <w:bCs/>
    </w:rPr>
  </w:style>
  <w:style w:type="character" w:styleId="7">
    <w:name w:val="Emphasis"/>
    <w:basedOn w:val="5"/>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561</Words>
  <Characters>3546</Characters>
  <Lines>0</Lines>
  <Paragraphs>0</Paragraphs>
  <TotalTime>3</TotalTime>
  <ScaleCrop>false</ScaleCrop>
  <LinksUpToDate>false</LinksUpToDate>
  <CharactersWithSpaces>3867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2026-05-05T13:40:00Z</dcterms:created>
  <dc:creator>98219</dc:creator>
  <cp:lastModifiedBy>Author</cp:lastModifiedBy>
  <dcterms:modified xsi:type="dcterms:W3CDTF">2026-05-18T02:42:58Z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eyJoZGlkIjoiNWNkYzdkZmNkNmIxZWQ2YTAzMDg3MjMxMjZmYmI1MTkiLCJ1c2VySWQiOiIxNzc1MjY1OTc5In0=</vt:lpwstr>
  </property>
  <property fmtid="{D5CDD505-2E9C-101B-9397-08002B2CF9AE}" pid="4" name="ICV">
    <vt:lpwstr>A7A37F4D663E485D8DC2389A0BDCE6E3_12</vt:lpwstr>
  </property>
</Properties>
</file>