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b/>
          <w:sz w:val="22"/>
        </w:rPr>
        <w:t>Supplementary Table</w:t>
      </w:r>
      <w:r>
        <w:rPr>
          <w:rFonts w:ascii="Arial Unicode MS" w:cs="Arial Unicode MS"/>
          <w:b/>
          <w:sz w:val="22"/>
        </w:rPr>
        <w:t> </w:t>
      </w:r>
      <w:r>
        <w:rPr>
          <w:rFonts w:ascii="Arial Unicode MS" w:cs="Arial Unicode MS"/>
          <w:b/>
          <w:sz w:val="22"/>
        </w:rPr>
        <w:t>1</w:t>
      </w:r>
      <w:r>
        <w:rPr>
          <w:rFonts w:ascii="Arial Unicode MS" w:cs="Arial Unicode MS"/>
          <w:sz w:val="22"/>
        </w:rPr>
        <w:t xml:space="preserve"> Comparison of baseline and follow-up glycemic parameters between Group A (initial treatment) and Group B (subsequent treatment)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44"/>
        <w:gridCol w:w="1519"/>
        <w:gridCol w:w="1791"/>
        <w:gridCol w:w="1851"/>
        <w:gridCol w:w="1721"/>
      </w:tblGrid>
      <w:tr w:rsidR="008A4913" w:rsidTr="001B427F"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Total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412)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Group A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Initial treatment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31)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Groub</w:t>
            </w:r>
            <w:proofErr w:type="spellEnd"/>
            <w:r>
              <w:rPr>
                <w:rFonts w:ascii="Arial Unicode MS" w:cs="Arial Unicode MS"/>
                <w:sz w:val="22"/>
              </w:rPr>
              <w:t xml:space="preserve"> B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Subsequent treatment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 xml:space="preserve">381) 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</w:tr>
      <w:tr w:rsidR="008A4913" w:rsidTr="001B427F">
        <w:tc>
          <w:tcPr>
            <w:tcW w:w="2144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Baseline glucose, mg/dl         </w:t>
            </w:r>
          </w:p>
        </w:tc>
        <w:tc>
          <w:tcPr>
            <w:tcW w:w="1519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182.9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76.2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285.1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125.1</w:t>
            </w: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174.6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64.4</w:t>
            </w:r>
          </w:p>
        </w:tc>
        <w:tc>
          <w:tcPr>
            <w:tcW w:w="1721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Baseline HbA1c, %         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8.9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1.4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11.3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1.7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8.7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1.1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Glusoe_3months           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145.8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49.6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129.1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45.3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147.3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49.8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0.058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HbA1c_3months, %           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7.7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1.2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6.8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0.9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7.8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1.1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Glusoe_6months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160.0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71.4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149.7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50.6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160.8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72.9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0.551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HbA1c_6months, %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7.8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1.2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7.0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1.5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7.9 </w:t>
            </w:r>
            <w:r>
              <w:rPr>
                <w:rFonts w:ascii="Arial Unicode MS" w:cs="Arial Unicode MS"/>
                <w:sz w:val="22"/>
              </w:rPr>
              <w:t>±</w:t>
            </w:r>
            <w:r>
              <w:rPr>
                <w:rFonts w:ascii="Arial Unicode MS" w:cs="Arial Unicode MS"/>
                <w:sz w:val="22"/>
              </w:rPr>
              <w:t xml:space="preserve">  1.2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Glusoe_12months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163.5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64.6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149.6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40.2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165.2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67.2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0.616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HbA1c_12months, %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7.9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 ± 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1.2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7.2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1.8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8.0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1.1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0.115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change 3months, %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-12.0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15.5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-38.1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11.9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-9.9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13.7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change 6months, %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-10.6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16.4</w:t>
            </w:r>
          </w:p>
        </w:tc>
        <w:tc>
          <w:tcPr>
            <w:tcW w:w="1791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-36.7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17.9</w:t>
            </w:r>
          </w:p>
        </w:tc>
        <w:tc>
          <w:tcPr>
            <w:tcW w:w="1851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-8.5</w:t>
            </w:r>
            <w:r>
              <w:rPr>
                <w:rFonts w:ascii="Arial Unicode MS" w:cs="Arial Unicode MS"/>
                <w:sz w:val="22"/>
              </w:rPr>
              <w:t> ± </w:t>
            </w:r>
            <w:r>
              <w:rPr>
                <w:rFonts w:ascii="Arial Unicode MS" w:cs="Arial Unicode MS"/>
                <w:sz w:val="22"/>
              </w:rPr>
              <w:t>14.3</w:t>
            </w:r>
          </w:p>
        </w:tc>
        <w:tc>
          <w:tcPr>
            <w:tcW w:w="1721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3months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  <w:shd w:val="clear" w:color="auto" w:fill="FFFFFF"/>
              </w:rPr>
              <w:t>36</w:t>
            </w:r>
            <w:r>
              <w:rPr>
                <w:rFonts w:ascii="Arial Unicode MS" w:cs="Arial Unicode MS" w:hint="eastAsia"/>
                <w:sz w:val="22"/>
              </w:rPr>
              <w:t xml:space="preserve"> </w:t>
            </w:r>
            <w:r>
              <w:rPr>
                <w:rFonts w:ascii="Arial Unicode MS" w:cs="Arial Unicode MS" w:hint="eastAsia"/>
                <w:sz w:val="22"/>
                <w:shd w:val="clear" w:color="auto" w:fill="FFFFFF"/>
              </w:rPr>
              <w:t>(8.7%)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12 (38.7%)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2</w:t>
            </w:r>
            <w:r>
              <w:rPr>
                <w:rFonts w:ascii="Arial Unicode MS" w:cs="Arial Unicode MS"/>
                <w:sz w:val="22"/>
              </w:rPr>
              <w:t>4 (6.3%)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 3months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97 (23.5%)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16 (51.6%)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81 (21.3%)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6months</w:t>
            </w:r>
          </w:p>
        </w:tc>
        <w:tc>
          <w:tcPr>
            <w:tcW w:w="1519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25</w:t>
            </w:r>
            <w:r>
              <w:rPr>
                <w:rFonts w:ascii="Arial Unicode MS" w:cs="Arial Unicode MS"/>
                <w:sz w:val="22"/>
              </w:rPr>
              <w:t xml:space="preserve"> 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(8.7%)</w:t>
            </w:r>
          </w:p>
        </w:tc>
        <w:tc>
          <w:tcPr>
            <w:tcW w:w="17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 (36.4%)</w:t>
            </w:r>
          </w:p>
        </w:tc>
        <w:tc>
          <w:tcPr>
            <w:tcW w:w="185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17 (6.4%)</w:t>
            </w:r>
          </w:p>
        </w:tc>
        <w:tc>
          <w:tcPr>
            <w:tcW w:w="172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c>
          <w:tcPr>
            <w:tcW w:w="2144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7.0 6months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  <w:shd w:val="clear" w:color="auto" w:fill="FFFFFF"/>
              </w:rPr>
              <w:t>62</w:t>
            </w:r>
            <w:r>
              <w:rPr>
                <w:rFonts w:ascii="Arial Unicode MS" w:cs="Arial Unicode MS"/>
                <w:sz w:val="22"/>
              </w:rPr>
              <w:t xml:space="preserve"> </w:t>
            </w:r>
            <w:r>
              <w:rPr>
                <w:rFonts w:ascii="Arial Unicode MS" w:cs="Arial Unicode MS"/>
                <w:sz w:val="22"/>
                <w:shd w:val="clear" w:color="auto" w:fill="FFFFFF"/>
              </w:rPr>
              <w:t>(21.6%)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12 (54.5%)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50(18.9%)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</w:tbl>
    <w:p w:rsidR="008A4913" w:rsidRDefault="008A4913" w:rsidP="008A4913">
      <w:pPr>
        <w:rPr>
          <w:rFonts w:ascii="Arial Unicode MS" w:hAnsi="Arial Unicode MS" w:cs="Arial Unicode MS"/>
          <w:sz w:val="22"/>
        </w:rPr>
      </w:pPr>
    </w:p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 xml:space="preserve">HbA1c, </w:t>
      </w:r>
      <w:proofErr w:type="spellStart"/>
      <w:r>
        <w:rPr>
          <w:rFonts w:ascii="Arial Unicode MS" w:cs="Arial Unicode MS"/>
          <w:sz w:val="22"/>
        </w:rPr>
        <w:t>glycated</w:t>
      </w:r>
      <w:proofErr w:type="spellEnd"/>
      <w:r>
        <w:rPr>
          <w:rFonts w:ascii="Arial Unicode MS" w:cs="Arial Unicode MS"/>
          <w:sz w:val="22"/>
        </w:rPr>
        <w:t xml:space="preserve"> hemoglobin</w:t>
      </w:r>
    </w:p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b/>
          <w:sz w:val="22"/>
        </w:rPr>
        <w:t>Supplementary Table</w:t>
      </w:r>
      <w:r>
        <w:rPr>
          <w:rFonts w:ascii="Arial Unicode MS" w:cs="Arial Unicode MS"/>
          <w:b/>
          <w:sz w:val="22"/>
        </w:rPr>
        <w:t> </w:t>
      </w:r>
      <w:r>
        <w:rPr>
          <w:rFonts w:ascii="Arial Unicode MS" w:cs="Arial Unicode MS"/>
          <w:b/>
          <w:sz w:val="22"/>
        </w:rPr>
        <w:t xml:space="preserve">2 </w:t>
      </w:r>
      <w:r>
        <w:rPr>
          <w:rFonts w:ascii="Arial Unicode MS" w:cs="Arial Unicode MS"/>
          <w:sz w:val="22"/>
        </w:rPr>
        <w:t>Comparison of subsequent treatment outcomes among different treatment groups.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26"/>
        <w:gridCol w:w="1406"/>
        <w:gridCol w:w="1406"/>
        <w:gridCol w:w="1406"/>
        <w:gridCol w:w="1406"/>
        <w:gridCol w:w="1406"/>
        <w:gridCol w:w="886"/>
      </w:tblGrid>
      <w:tr w:rsidR="008A4913" w:rsidTr="001B427F">
        <w:trPr>
          <w:trHeight w:val="223"/>
        </w:trPr>
        <w:tc>
          <w:tcPr>
            <w:tcW w:w="184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1712" w:type="dxa"/>
            <w:gridSpan w:val="6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Subsequent treatment</w:t>
            </w:r>
          </w:p>
        </w:tc>
      </w:tr>
      <w:tr w:rsidR="008A4913" w:rsidTr="001B427F">
        <w:trPr>
          <w:trHeight w:val="686"/>
        </w:trPr>
        <w:tc>
          <w:tcPr>
            <w:tcW w:w="184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Add sglt2 inhibitor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130)</w:t>
            </w: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dpp4 inhibitor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180)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SU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25)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From insulin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34)</w:t>
            </w: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From TZD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12)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Age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63.5 [56.0;69.0]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58.0 [53.0;65.0]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63.0 [57.0;67.0]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55.5 [45.0;65.0]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68.5 [64.5;73.0]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0.001</w:t>
            </w:r>
          </w:p>
        </w:tc>
      </w:tr>
      <w:tr w:rsidR="008A4913" w:rsidTr="001B427F">
        <w:trPr>
          <w:trHeight w:val="238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Female 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60 (46.2%)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61 (33.9%)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12 (48.0%)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16 (47.1%)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(50.0%)</w:t>
            </w:r>
          </w:p>
        </w:tc>
        <w:tc>
          <w:tcPr>
            <w:tcW w:w="1316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0.145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DM duration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6.0 [ 1.0;14.0]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8.0 [ 3.0;12.0]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1.0 [ 0.0; 8.0]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3.0 [ 0.0;13.0]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13.0 [ 5.0;16.0]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0.008</w:t>
            </w:r>
          </w:p>
        </w:tc>
      </w:tr>
      <w:tr w:rsidR="008A4913" w:rsidTr="001B427F">
        <w:trPr>
          <w:trHeight w:val="238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8.6 [ 8.0; 9.4]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8.5 [ 7.9; 9.1]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8.4 [ 7.8; 9.3]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8.9 [ 7.1;10.6]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8.4 [ 8.1; 9.0]</w:t>
            </w:r>
          </w:p>
        </w:tc>
        <w:tc>
          <w:tcPr>
            <w:tcW w:w="1316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0.848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_3mo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7.5 [ 7.1; 8.2]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7.6 [ 7.1; 8.2]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7.7 [ 6.9; 8.7]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7.4 [ 6.5; 8.8]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8.0 [ 7.4; 9.1]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0.453</w:t>
            </w:r>
          </w:p>
        </w:tc>
      </w:tr>
      <w:tr w:rsidR="008A4913" w:rsidTr="001B427F">
        <w:trPr>
          <w:trHeight w:val="238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HbA1c_6mo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7.5 [ 7.0; 8.4]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7.8 [ 7.2; 8.4]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7.7 [ 7.2; 8.9]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7.7 [ 6.8; 8.5]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8.1 [ 7.7; 8.5]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0.338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glucose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181.0 [145.0;221.5]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153.0 [130.0;186.0]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157.5 [126.5;211.0]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145.0 [111.5;194.0]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187.0 [152.5;223.0]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0.004</w:t>
            </w:r>
          </w:p>
        </w:tc>
      </w:tr>
      <w:tr w:rsidR="008A4913" w:rsidTr="001B427F">
        <w:trPr>
          <w:trHeight w:val="462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change 3mo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-10.6 [-19.4; 2.6]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-8.8 [-15.3; 3.9]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-10.5 [-18.5; 4.8]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-9.4 [-20.0; 1.4]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0.9 [-11.4; 7.2]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0.185</w:t>
            </w:r>
          </w:p>
        </w:tc>
      </w:tr>
      <w:tr w:rsidR="008A4913" w:rsidTr="001B427F">
        <w:trPr>
          <w:trHeight w:val="462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3mo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 (6.2%)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 (2.8%)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 (12.0%)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 (20.6%)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(8.3%)</w:t>
            </w:r>
          </w:p>
        </w:tc>
        <w:tc>
          <w:tcPr>
            <w:tcW w:w="1316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0.003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 3mo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24 (18.5%)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35 (19.4%)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 (28.0%)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 (41.2%)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(8.3%)</w:t>
            </w:r>
          </w:p>
        </w:tc>
        <w:tc>
          <w:tcPr>
            <w:tcW w:w="1316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0.039</w:t>
            </w:r>
          </w:p>
        </w:tc>
      </w:tr>
      <w:tr w:rsidR="008A4913" w:rsidTr="001B427F">
        <w:trPr>
          <w:trHeight w:val="462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change 6mo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-11.2 [-18.6; 2.8]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-8.2 [-14.9; 1.8]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-4.6 [-13.7; 9.9]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-8.3 [-24.3; 4.2]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-1.1 [-6.5; 4.3]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0.038</w:t>
            </w:r>
          </w:p>
        </w:tc>
      </w:tr>
      <w:tr w:rsidR="008A4913" w:rsidTr="001B427F">
        <w:trPr>
          <w:trHeight w:val="462"/>
        </w:trPr>
        <w:tc>
          <w:tcPr>
            <w:tcW w:w="184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6mo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 (8.0%)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(4.7%)</w:t>
            </w:r>
          </w:p>
        </w:tc>
        <w:tc>
          <w:tcPr>
            <w:tcW w:w="207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 (0.0%)</w:t>
            </w:r>
          </w:p>
        </w:tc>
        <w:tc>
          <w:tcPr>
            <w:tcW w:w="2062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4 (16.7%)</w:t>
            </w:r>
          </w:p>
        </w:tc>
        <w:tc>
          <w:tcPr>
            <w:tcW w:w="208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 (0.0%)</w:t>
            </w:r>
          </w:p>
        </w:tc>
        <w:tc>
          <w:tcPr>
            <w:tcW w:w="1316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0.190</w:t>
            </w:r>
          </w:p>
        </w:tc>
      </w:tr>
      <w:tr w:rsidR="008A4913" w:rsidTr="001B427F">
        <w:trPr>
          <w:trHeight w:val="447"/>
        </w:trPr>
        <w:tc>
          <w:tcPr>
            <w:tcW w:w="184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 6mo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22 (25.3%)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18 (14.2%)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(6.2%)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 (33.3%)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(9.1%)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0.050</w:t>
            </w:r>
          </w:p>
        </w:tc>
      </w:tr>
    </w:tbl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 xml:space="preserve">Sglt2 inhibitor, sodium-glucose cotransporter-2 inhibitor; dpp4 inhibitor, </w:t>
      </w:r>
      <w:proofErr w:type="spellStart"/>
      <w:r>
        <w:rPr>
          <w:rFonts w:ascii="Arial Unicode MS" w:cs="Arial Unicode MS"/>
          <w:sz w:val="22"/>
        </w:rPr>
        <w:t>dipeptidyl</w:t>
      </w:r>
      <w:proofErr w:type="spellEnd"/>
      <w:r>
        <w:rPr>
          <w:rFonts w:ascii="Arial Unicode MS" w:cs="Arial Unicode MS"/>
          <w:sz w:val="22"/>
        </w:rPr>
        <w:t xml:space="preserve"> peptidase inhibitor; SU, sulfonylureas; TZD, thiazolidinedione; DM, diabetes mellitus; HbA1c, </w:t>
      </w:r>
      <w:proofErr w:type="spellStart"/>
      <w:r>
        <w:rPr>
          <w:rFonts w:ascii="Arial Unicode MS" w:cs="Arial Unicode MS"/>
          <w:sz w:val="22"/>
        </w:rPr>
        <w:t>glycated</w:t>
      </w:r>
      <w:proofErr w:type="spellEnd"/>
      <w:r>
        <w:rPr>
          <w:rFonts w:ascii="Arial Unicode MS" w:cs="Arial Unicode MS"/>
          <w:sz w:val="22"/>
        </w:rPr>
        <w:t xml:space="preserve"> hemoglobi</w:t>
      </w:r>
      <w:r>
        <w:rPr>
          <w:rFonts w:ascii="Arial Unicode MS" w:cs="Arial Unicode MS" w:hint="eastAsia"/>
          <w:sz w:val="22"/>
        </w:rPr>
        <w:t>n</w:t>
      </w:r>
    </w:p>
    <w:p w:rsidR="008A4913" w:rsidRDefault="008A4913" w:rsidP="008A4913">
      <w:r>
        <w:rPr>
          <w:rFonts w:ascii="Arial Unicode MS" w:cs="Arial Unicode MS"/>
          <w:b/>
          <w:bCs/>
        </w:rPr>
        <w:t>Supplementary</w:t>
      </w:r>
      <w:r>
        <w:rPr>
          <w:rFonts w:ascii="Arial Unicode MS" w:cs="Arial Unicode MS" w:hint="eastAsia"/>
          <w:b/>
          <w:bCs/>
        </w:rPr>
        <w:t xml:space="preserve"> Table</w:t>
      </w:r>
      <w:r>
        <w:rPr>
          <w:rFonts w:ascii="Arial Unicode MS" w:cs="Arial Unicode MS" w:hint="eastAsia"/>
          <w:b/>
          <w:bCs/>
        </w:rPr>
        <w:t> </w:t>
      </w:r>
      <w:r>
        <w:rPr>
          <w:rFonts w:ascii="Arial Unicode MS" w:cs="Arial Unicode MS" w:hint="eastAsia"/>
          <w:b/>
          <w:bCs/>
        </w:rPr>
        <w:t>3</w:t>
      </w:r>
      <w:r>
        <w:t xml:space="preserve"> Glycemic outcomes at 3 and 6 months according to type of subsequent treatment and diabetes duration (&lt; 10 years vs. ≥10 years)</w:t>
      </w:r>
    </w:p>
    <w:tbl>
      <w:tblPr>
        <w:tblW w:w="14685" w:type="dxa"/>
        <w:tblLook w:val="04A0" w:firstRow="1" w:lastRow="0" w:firstColumn="1" w:lastColumn="0" w:noHBand="0" w:noVBand="1"/>
      </w:tblPr>
      <w:tblGrid>
        <w:gridCol w:w="1399"/>
        <w:gridCol w:w="1153"/>
        <w:gridCol w:w="1207"/>
        <w:gridCol w:w="1123"/>
        <w:gridCol w:w="1123"/>
        <w:gridCol w:w="1123"/>
        <w:gridCol w:w="844"/>
        <w:gridCol w:w="1227"/>
        <w:gridCol w:w="1236"/>
        <w:gridCol w:w="1124"/>
        <w:gridCol w:w="1175"/>
        <w:gridCol w:w="1107"/>
        <w:gridCol w:w="844"/>
      </w:tblGrid>
      <w:tr w:rsidR="008A4913" w:rsidTr="001B427F">
        <w:trPr>
          <w:trHeight w:val="399"/>
        </w:trPr>
        <w:tc>
          <w:tcPr>
            <w:tcW w:w="1251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664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DM duration</w:t>
            </w:r>
            <w:r>
              <w:rPr>
                <w:rFonts w:ascii="Arial Unicode MS" w:eastAsiaTheme="minorHAnsi" w:cs="Arial Unicode MS"/>
                <w:sz w:val="22"/>
              </w:rPr>
              <w:t> ≥ </w:t>
            </w:r>
            <w:r>
              <w:rPr>
                <w:rFonts w:ascii="Arial Unicode MS" w:cs="Arial Unicode MS"/>
                <w:sz w:val="22"/>
              </w:rPr>
              <w:t>10 years</w:t>
            </w:r>
          </w:p>
        </w:tc>
        <w:tc>
          <w:tcPr>
            <w:tcW w:w="678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DM </w:t>
            </w:r>
            <w:r>
              <w:rPr>
                <w:rFonts w:ascii="Arial Unicode MS" w:cs="Arial Unicode MS" w:hint="eastAsia"/>
                <w:sz w:val="22"/>
              </w:rPr>
              <w:t>d</w:t>
            </w:r>
            <w:r>
              <w:rPr>
                <w:rFonts w:ascii="Arial Unicode MS" w:cs="Arial Unicode MS"/>
                <w:sz w:val="22"/>
              </w:rPr>
              <w:t>uration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10 years</w:t>
            </w:r>
          </w:p>
        </w:tc>
      </w:tr>
      <w:tr w:rsidR="008A4913" w:rsidTr="001B427F">
        <w:trPr>
          <w:trHeight w:val="1181"/>
        </w:trPr>
        <w:tc>
          <w:tcPr>
            <w:tcW w:w="1251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Add sglt2 inhibitor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50)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dpp4 inhibitor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67)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SU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From insulin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From TZD 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Add sglt2 inhibitor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80)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dpp4 inhibitor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113)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Add SU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19)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From insulin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24)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From TZD </w:t>
            </w:r>
          </w:p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(N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=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</w:tr>
      <w:tr w:rsidR="008A4913" w:rsidTr="001B427F">
        <w:trPr>
          <w:trHeight w:val="383"/>
        </w:trPr>
        <w:tc>
          <w:tcPr>
            <w:tcW w:w="1251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3mo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(2.0%)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(10.0%)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(14.3%)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0.051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7 (8.8%)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 (4.4%)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 (15.8%)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(25.0%)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0.020</w:t>
            </w:r>
          </w:p>
        </w:tc>
      </w:tr>
      <w:tr w:rsidR="008A4913" w:rsidTr="001B427F">
        <w:trPr>
          <w:trHeight w:val="399"/>
        </w:trPr>
        <w:tc>
          <w:tcPr>
            <w:tcW w:w="1251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 3mo</w:t>
            </w:r>
          </w:p>
        </w:tc>
        <w:tc>
          <w:tcPr>
            <w:tcW w:w="1168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(12.0%)</w:t>
            </w:r>
          </w:p>
        </w:tc>
        <w:tc>
          <w:tcPr>
            <w:tcW w:w="122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9 (13.4%)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(16.7%)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 (30.0%)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(14.3%)</w:t>
            </w:r>
          </w:p>
        </w:tc>
        <w:tc>
          <w:tcPr>
            <w:tcW w:w="85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0.550</w:t>
            </w:r>
          </w:p>
        </w:tc>
        <w:tc>
          <w:tcPr>
            <w:tcW w:w="124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18 (22.5%)</w:t>
            </w:r>
          </w:p>
        </w:tc>
        <w:tc>
          <w:tcPr>
            <w:tcW w:w="124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26 (23.0%)</w:t>
            </w:r>
          </w:p>
        </w:tc>
        <w:tc>
          <w:tcPr>
            <w:tcW w:w="1135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(31.6%)</w:t>
            </w:r>
          </w:p>
        </w:tc>
        <w:tc>
          <w:tcPr>
            <w:tcW w:w="11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11 (45.8%)</w:t>
            </w:r>
          </w:p>
        </w:tc>
        <w:tc>
          <w:tcPr>
            <w:tcW w:w="111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85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0.110</w:t>
            </w:r>
          </w:p>
        </w:tc>
      </w:tr>
      <w:tr w:rsidR="008A4913" w:rsidTr="001B427F">
        <w:trPr>
          <w:trHeight w:val="399"/>
        </w:trPr>
        <w:tc>
          <w:tcPr>
            <w:tcW w:w="1251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6.5 6mo</w:t>
            </w:r>
          </w:p>
        </w:tc>
        <w:tc>
          <w:tcPr>
            <w:tcW w:w="1168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 (5.3%)</w:t>
            </w:r>
          </w:p>
        </w:tc>
        <w:tc>
          <w:tcPr>
            <w:tcW w:w="122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(2.4%)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(14.3%)</w:t>
            </w:r>
          </w:p>
        </w:tc>
        <w:tc>
          <w:tcPr>
            <w:tcW w:w="1134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85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0.469</w:t>
            </w:r>
          </w:p>
        </w:tc>
        <w:tc>
          <w:tcPr>
            <w:tcW w:w="124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 (10.2%)</w:t>
            </w:r>
          </w:p>
        </w:tc>
        <w:tc>
          <w:tcPr>
            <w:tcW w:w="124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5 (5.8%)</w:t>
            </w:r>
          </w:p>
        </w:tc>
        <w:tc>
          <w:tcPr>
            <w:tcW w:w="1135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1191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3 (17.6%)</w:t>
            </w:r>
          </w:p>
        </w:tc>
        <w:tc>
          <w:tcPr>
            <w:tcW w:w="1117" w:type="dxa"/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85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0.363</w:t>
            </w:r>
          </w:p>
        </w:tc>
      </w:tr>
      <w:tr w:rsidR="008A4913" w:rsidTr="001B427F">
        <w:trPr>
          <w:trHeight w:val="383"/>
        </w:trPr>
        <w:tc>
          <w:tcPr>
            <w:tcW w:w="1251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 6mo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8 (21.1%)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4 (9.8%)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(33.3%)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2 (28.6%)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0.216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 (28.6%)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14 (16.3%)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0 (0.0%)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6 (35.3%)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 (25.0%)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0.046</w:t>
            </w:r>
          </w:p>
        </w:tc>
      </w:tr>
    </w:tbl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 xml:space="preserve">Sglt2 inhibitor, sodium-glucose cotransporter-2 inhibitor; dpp4 inhibitor, </w:t>
      </w:r>
      <w:proofErr w:type="spellStart"/>
      <w:r>
        <w:rPr>
          <w:rFonts w:ascii="Arial Unicode MS" w:cs="Arial Unicode MS"/>
          <w:sz w:val="22"/>
        </w:rPr>
        <w:t>dipeptidyl</w:t>
      </w:r>
      <w:proofErr w:type="spellEnd"/>
      <w:r>
        <w:rPr>
          <w:rFonts w:ascii="Arial Unicode MS" w:cs="Arial Unicode MS"/>
          <w:sz w:val="22"/>
        </w:rPr>
        <w:t xml:space="preserve"> peptidase inhibitor; SU, sulfonylureas; TZD, thiazolidinedione; DM, diabetes mellitus; HbA1c, </w:t>
      </w:r>
      <w:proofErr w:type="spellStart"/>
      <w:r>
        <w:rPr>
          <w:rFonts w:ascii="Arial Unicode MS" w:cs="Arial Unicode MS"/>
          <w:sz w:val="22"/>
        </w:rPr>
        <w:t>glycated</w:t>
      </w:r>
      <w:proofErr w:type="spellEnd"/>
      <w:r>
        <w:rPr>
          <w:rFonts w:ascii="Arial Unicode MS" w:cs="Arial Unicode MS"/>
          <w:sz w:val="22"/>
        </w:rPr>
        <w:t xml:space="preserve"> hemoglobi</w:t>
      </w:r>
      <w:r>
        <w:rPr>
          <w:rFonts w:ascii="Arial Unicode MS" w:cs="Arial Unicode MS" w:hint="eastAsia"/>
          <w:sz w:val="22"/>
        </w:rPr>
        <w:t>n</w:t>
      </w:r>
    </w:p>
    <w:p w:rsidR="008A4913" w:rsidRDefault="008A4913" w:rsidP="008A4913">
      <w:pPr>
        <w:rPr>
          <w:rFonts w:ascii="Arial Unicode MS" w:hAnsi="Arial Unicode MS" w:cs="Arial Unicode MS"/>
          <w:b/>
          <w:sz w:val="22"/>
        </w:rPr>
      </w:pPr>
      <w:r>
        <w:rPr>
          <w:rFonts w:ascii="Arial Unicode MS" w:cs="Arial Unicode MS"/>
          <w:b/>
          <w:sz w:val="22"/>
        </w:rPr>
        <w:t>Supplementary</w:t>
      </w:r>
      <w:r>
        <w:rPr>
          <w:rFonts w:ascii="Arial Unicode MS" w:cs="Arial Unicode MS" w:hint="eastAsia"/>
          <w:b/>
          <w:sz w:val="22"/>
        </w:rPr>
        <w:t xml:space="preserve"> </w:t>
      </w:r>
      <w:r>
        <w:rPr>
          <w:rFonts w:ascii="Arial Unicode MS" w:cs="Arial Unicode MS"/>
          <w:b/>
          <w:sz w:val="22"/>
        </w:rPr>
        <w:t>Table</w:t>
      </w:r>
      <w:r>
        <w:rPr>
          <w:rFonts w:ascii="Arial Unicode MS" w:cs="Arial Unicode MS"/>
          <w:b/>
          <w:sz w:val="22"/>
        </w:rPr>
        <w:t> </w:t>
      </w:r>
      <w:r>
        <w:rPr>
          <w:rFonts w:ascii="Arial Unicode MS" w:cs="Arial Unicode MS"/>
          <w:b/>
          <w:sz w:val="22"/>
        </w:rPr>
        <w:t xml:space="preserve">4 </w:t>
      </w:r>
      <w:proofErr w:type="spellStart"/>
      <w:r>
        <w:rPr>
          <w:rFonts w:ascii="Arial Unicode MS" w:cs="Arial Unicode MS"/>
          <w:b/>
          <w:sz w:val="22"/>
        </w:rPr>
        <w:t>Univariate</w:t>
      </w:r>
      <w:proofErr w:type="spellEnd"/>
      <w:r>
        <w:rPr>
          <w:rFonts w:ascii="Arial Unicode MS" w:cs="Arial Unicode MS"/>
          <w:b/>
          <w:sz w:val="22"/>
        </w:rPr>
        <w:t xml:space="preserve"> and multivariable analysis of factors associated with achieving HbA1c</w:t>
      </w:r>
      <w:r>
        <w:rPr>
          <w:rFonts w:ascii="Arial Unicode MS" w:cs="Arial Unicode MS"/>
          <w:b/>
          <w:sz w:val="22"/>
        </w:rPr>
        <w:t> </w:t>
      </w:r>
      <w:r>
        <w:rPr>
          <w:rFonts w:ascii="Arial Unicode MS" w:cs="Arial Unicode MS"/>
          <w:b/>
          <w:sz w:val="22"/>
        </w:rPr>
        <w:t>&lt;</w:t>
      </w:r>
      <w:r>
        <w:rPr>
          <w:rFonts w:ascii="Arial Unicode MS" w:cs="Arial Unicode MS"/>
          <w:b/>
          <w:sz w:val="22"/>
        </w:rPr>
        <w:t> </w:t>
      </w:r>
      <w:r>
        <w:rPr>
          <w:rFonts w:ascii="Arial Unicode MS" w:cs="Arial Unicode MS"/>
          <w:b/>
          <w:sz w:val="22"/>
        </w:rPr>
        <w:t>7.0% at 3- and 6-months post-treatment</w:t>
      </w:r>
      <w:r>
        <w:rPr>
          <w:rFonts w:ascii="Arial Unicode MS" w:cs="Arial Unicode MS" w:hint="eastAsia"/>
          <w:b/>
          <w:sz w:val="22"/>
        </w:rPr>
        <w:t xml:space="preserve"> (</w:t>
      </w:r>
      <w:proofErr w:type="spellStart"/>
      <w:r>
        <w:rPr>
          <w:rFonts w:ascii="Arial Unicode MS" w:cs="Arial Unicode MS" w:hint="eastAsia"/>
          <w:b/>
          <w:sz w:val="22"/>
        </w:rPr>
        <w:t>GroupB</w:t>
      </w:r>
      <w:proofErr w:type="spellEnd"/>
      <w:r>
        <w:rPr>
          <w:rFonts w:ascii="Arial Unicode MS" w:cs="Arial Unicode MS" w:hint="eastAsia"/>
          <w:b/>
          <w:sz w:val="22"/>
        </w:rPr>
        <w:t>)</w:t>
      </w:r>
    </w:p>
    <w:tbl>
      <w:tblPr>
        <w:tblW w:w="13550" w:type="dxa"/>
        <w:tblLook w:val="04A0" w:firstRow="1" w:lastRow="0" w:firstColumn="1" w:lastColumn="0" w:noHBand="0" w:noVBand="1"/>
      </w:tblPr>
      <w:tblGrid>
        <w:gridCol w:w="1987"/>
        <w:gridCol w:w="1814"/>
        <w:gridCol w:w="1020"/>
        <w:gridCol w:w="1814"/>
        <w:gridCol w:w="1020"/>
        <w:gridCol w:w="1814"/>
        <w:gridCol w:w="1247"/>
        <w:gridCol w:w="1814"/>
        <w:gridCol w:w="1020"/>
      </w:tblGrid>
      <w:tr w:rsidR="008A4913" w:rsidTr="001B427F">
        <w:tc>
          <w:tcPr>
            <w:tcW w:w="1987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5668" w:type="dxa"/>
            <w:gridSpan w:val="4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For 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7.0 at 3 months from treatment</w:t>
            </w:r>
          </w:p>
        </w:tc>
        <w:tc>
          <w:tcPr>
            <w:tcW w:w="5895" w:type="dxa"/>
            <w:gridSpan w:val="4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For HbA1c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7.0 at 6 months from treatment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2834" w:type="dxa"/>
            <w:gridSpan w:val="2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Univariate</w:t>
            </w:r>
            <w:proofErr w:type="spellEnd"/>
          </w:p>
        </w:tc>
        <w:tc>
          <w:tcPr>
            <w:tcW w:w="2834" w:type="dxa"/>
            <w:gridSpan w:val="2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Multivariable</w:t>
            </w:r>
          </w:p>
        </w:tc>
        <w:tc>
          <w:tcPr>
            <w:tcW w:w="3061" w:type="dxa"/>
            <w:gridSpan w:val="2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Univariate</w:t>
            </w:r>
            <w:proofErr w:type="spellEnd"/>
          </w:p>
        </w:tc>
        <w:tc>
          <w:tcPr>
            <w:tcW w:w="2834" w:type="dxa"/>
            <w:gridSpan w:val="2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Multivariable</w:t>
            </w:r>
          </w:p>
        </w:tc>
      </w:tr>
      <w:tr w:rsidR="008A4913" w:rsidTr="001B427F">
        <w:tc>
          <w:tcPr>
            <w:tcW w:w="1987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Variables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OR (95% CI)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OR (95% CI)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OR (95% CI)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OR (95% CI)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P</w:t>
            </w:r>
          </w:p>
        </w:tc>
      </w:tr>
      <w:tr w:rsidR="008A4913" w:rsidTr="001B427F">
        <w:tc>
          <w:tcPr>
            <w:tcW w:w="1987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Age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Age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&lt;</w:t>
            </w:r>
            <w:r>
              <w:rPr>
                <w:rFonts w:ascii="Arial Unicode MS" w:cs="Arial Unicode MS"/>
                <w:sz w:val="22"/>
              </w:rPr>
              <w:t> </w:t>
            </w:r>
            <w:r>
              <w:rPr>
                <w:rFonts w:ascii="Arial Unicode MS" w:cs="Arial Unicode MS"/>
                <w:sz w:val="22"/>
              </w:rPr>
              <w:t>40 years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1.03 (0.27–4.02)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0.961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0.49 (0.12–5.37)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0.806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3.00</w:t>
            </w:r>
            <w:r>
              <w:rPr>
                <w:rFonts w:ascii="Arial Unicode MS" w:cs="Arial Unicode MS"/>
                <w:sz w:val="22"/>
              </w:rPr>
              <w:t xml:space="preserve"> (</w:t>
            </w:r>
            <w:r>
              <w:rPr>
                <w:rFonts w:ascii="Arial Unicode MS" w:cs="Arial Unicode MS" w:hint="eastAsia"/>
                <w:sz w:val="22"/>
              </w:rPr>
              <w:t>0.48</w:t>
            </w:r>
            <w:r>
              <w:rPr>
                <w:rFonts w:ascii="Arial Unicode MS" w:cs="Arial Unicode MS"/>
                <w:sz w:val="22"/>
              </w:rPr>
              <w:t>–</w:t>
            </w:r>
            <w:r>
              <w:rPr>
                <w:rFonts w:ascii="Arial Unicode MS" w:cs="Arial Unicode MS" w:hint="eastAsia"/>
                <w:sz w:val="22"/>
              </w:rPr>
              <w:t>18.75</w:t>
            </w:r>
            <w:r>
              <w:rPr>
                <w:rFonts w:ascii="Arial Unicode MS" w:cs="Arial Unicode MS"/>
                <w:sz w:val="22"/>
              </w:rPr>
              <w:t>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</w:t>
            </w:r>
            <w:r>
              <w:rPr>
                <w:rFonts w:ascii="Arial Unicode MS" w:cs="Arial Unicode MS" w:hint="eastAsia"/>
                <w:sz w:val="22"/>
              </w:rPr>
              <w:t>240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 xml:space="preserve">1.11 (0.08–16.05) 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0.940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 xml:space="preserve"> Age</w:t>
            </w:r>
            <w:r>
              <w:rPr>
                <w:rFonts w:ascii="Arial Unicode MS" w:eastAsiaTheme="minorHAnsi" w:cs="Arial Unicode MS"/>
                <w:sz w:val="22"/>
              </w:rPr>
              <w:t> ≥ </w:t>
            </w:r>
            <w:r>
              <w:rPr>
                <w:rFonts w:ascii="Arial Unicode MS" w:eastAsiaTheme="minorHAnsi" w:cs="Arial Unicode MS"/>
                <w:sz w:val="22"/>
              </w:rPr>
              <w:t>65 years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0.36 (0.20–0.66)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0.001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0.21 (0.08–0.57)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0.002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1.</w:t>
            </w:r>
            <w:r>
              <w:rPr>
                <w:rFonts w:ascii="Arial Unicode MS" w:cs="Arial Unicode MS" w:hint="eastAsia"/>
                <w:sz w:val="22"/>
              </w:rPr>
              <w:t>05</w:t>
            </w:r>
            <w:r>
              <w:rPr>
                <w:rFonts w:ascii="Arial Unicode MS" w:cs="Arial Unicode MS"/>
                <w:sz w:val="22"/>
              </w:rPr>
              <w:t xml:space="preserve"> (0.</w:t>
            </w:r>
            <w:r>
              <w:rPr>
                <w:rFonts w:ascii="Arial Unicode MS" w:cs="Arial Unicode MS" w:hint="eastAsia"/>
                <w:sz w:val="22"/>
              </w:rPr>
              <w:t>55</w:t>
            </w:r>
            <w:r>
              <w:rPr>
                <w:rFonts w:ascii="Arial Unicode MS" w:cs="Arial Unicode MS"/>
                <w:sz w:val="22"/>
              </w:rPr>
              <w:t>–</w:t>
            </w:r>
            <w:r>
              <w:rPr>
                <w:rFonts w:ascii="Arial Unicode MS" w:cs="Arial Unicode MS"/>
                <w:sz w:val="22"/>
              </w:rPr>
              <w:t>2.0</w:t>
            </w:r>
            <w:r>
              <w:rPr>
                <w:rFonts w:ascii="Arial Unicode MS" w:cs="Arial Unicode MS" w:hint="eastAsia"/>
                <w:sz w:val="22"/>
              </w:rPr>
              <w:t>1</w:t>
            </w:r>
            <w:r>
              <w:rPr>
                <w:rFonts w:ascii="Arial Unicode MS" w:cs="Arial Unicode MS"/>
                <w:sz w:val="22"/>
              </w:rPr>
              <w:t>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0.</w:t>
            </w:r>
            <w:r>
              <w:rPr>
                <w:rFonts w:ascii="Arial Unicode MS" w:cs="Arial Unicode MS" w:hint="eastAsia"/>
                <w:sz w:val="22"/>
              </w:rPr>
              <w:t>878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0.69 (0.24–1.95)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0.485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Female to male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0.72 (0.43–1.20)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0.208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0.71 (0.32–1.58)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0.399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1.02 (0.54–1.91)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0.952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1.62 (0.63–4.20)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0.320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BMI</w:t>
            </w:r>
            <w:r>
              <w:rPr>
                <w:rFonts w:ascii="Arial Unicode MS" w:eastAsiaTheme="minorHAnsi" w:cs="Arial Unicode MS"/>
                <w:sz w:val="22"/>
              </w:rPr>
              <w:t> ≥ </w:t>
            </w:r>
            <w:r>
              <w:rPr>
                <w:rFonts w:ascii="Arial Unicode MS" w:eastAsiaTheme="minorHAnsi" w:cs="Arial Unicode MS"/>
                <w:sz w:val="22"/>
              </w:rPr>
              <w:t xml:space="preserve">23 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0.64 (0.34–1.22)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0.174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0.53 (0.22–1.25)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0.148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1.57 (0.64–3.86)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0.324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1.27 (0.42–3.84)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0.677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DM duration</w:t>
            </w:r>
            <w:r>
              <w:rPr>
                <w:rFonts w:ascii="Arial Unicode MS" w:eastAsiaTheme="minorHAnsi" w:cs="Arial Unicode MS"/>
                <w:sz w:val="22"/>
              </w:rPr>
              <w:t> ≥ </w:t>
            </w:r>
            <w:r>
              <w:rPr>
                <w:rFonts w:ascii="Arial Unicode MS" w:eastAsiaTheme="minorHAnsi" w:cs="Arial Unicode MS"/>
                <w:sz w:val="22"/>
              </w:rPr>
              <w:t xml:space="preserve">10 years 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0.49 (0.28–0.86)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0.012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0.61 (0.25–1.46)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0.269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0.71 (0.36–1.38)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0.312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1.59 (0.57–4.45)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0.378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 (ordinary)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0.62 (0.48–0.81)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0.005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0.57 (0.38–0.86)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0.007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0.77 (0.57–1.05)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0.100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0.68 (0.40–1.13)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0.136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HbA1c</w:t>
            </w:r>
            <w:r>
              <w:rPr>
                <w:rFonts w:ascii="Arial Unicode MS" w:eastAsiaTheme="minorHAnsi" w:cs="Arial Unicode MS"/>
                <w:sz w:val="22"/>
              </w:rPr>
              <w:t> ≥ </w:t>
            </w:r>
            <w:r>
              <w:rPr>
                <w:rFonts w:ascii="Arial Unicode MS" w:eastAsiaTheme="minorHAnsi" w:cs="Arial Unicode MS"/>
                <w:sz w:val="22"/>
              </w:rPr>
              <w:t>10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1.07 (0.50–2.26)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0.867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0.79 (0.20–3.12)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0.736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1.18 (0.48–2.90)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0.713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0.48 (0.06–4.03)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0.500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Regimen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lastRenderedPageBreak/>
              <w:t xml:space="preserve">glimepiride to </w:t>
            </w:r>
            <w:proofErr w:type="spellStart"/>
            <w:r>
              <w:rPr>
                <w:rFonts w:ascii="Arial Unicode MS" w:cs="Arial Unicode MS"/>
                <w:sz w:val="22"/>
              </w:rPr>
              <w:t>gliclazide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1.11 (0.67–1.83)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0.686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0.67 (0.36–1.24)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0.204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Empagliflozin</w:t>
            </w:r>
            <w:proofErr w:type="spellEnd"/>
            <w:r>
              <w:rPr>
                <w:rFonts w:ascii="Arial Unicode MS" w:cs="Arial Unicode MS"/>
                <w:sz w:val="22"/>
              </w:rPr>
              <w:t xml:space="preserve"> to </w:t>
            </w:r>
            <w:proofErr w:type="spellStart"/>
            <w:r>
              <w:rPr>
                <w:rFonts w:ascii="Arial Unicode MS" w:cs="Arial Unicode MS"/>
                <w:sz w:val="22"/>
              </w:rPr>
              <w:t>dapagliflozin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0.76 (0.46–1.25)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0.279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0.99 (0.53–1.84)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0.981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DPP4 inhibitor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Linagliptin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 (reference)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 (reference)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Teneligliptin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1.03 (0.48–2.22)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0.934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1.59 (0.61–4.13)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0.339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Gemigliptin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0.99 (0.50–1.97)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0.978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1.24 (0.52–2.96)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0.627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proofErr w:type="spellStart"/>
            <w:r>
              <w:rPr>
                <w:rFonts w:ascii="Arial Unicode MS" w:cs="Arial Unicode MS"/>
                <w:sz w:val="22"/>
              </w:rPr>
              <w:t>Evogliptin</w:t>
            </w:r>
            <w:proofErr w:type="spellEnd"/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0.77 (0.36–1.66)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0.509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0.68 (0.24–1.92)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0.468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C-peptide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1.08 (0.95–1.22)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0.234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1.08 (0.93–1.25)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0.312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1.09 (0.95–1.24)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0.228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1.13 (0.98–1.32)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0.095</w:t>
            </w:r>
          </w:p>
        </w:tc>
      </w:tr>
      <w:tr w:rsidR="008A4913" w:rsidTr="001B427F">
        <w:tc>
          <w:tcPr>
            <w:tcW w:w="198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HOMA-IR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2.60 (0.76–8.87)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bCs/>
                <w:sz w:val="22"/>
              </w:rPr>
            </w:pPr>
            <w:r>
              <w:rPr>
                <w:rFonts w:ascii="Arial Unicode MS" w:cs="Arial Unicode MS" w:hint="eastAsia"/>
                <w:bCs/>
                <w:sz w:val="22"/>
              </w:rPr>
              <w:t>0.127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3.41 (0.65–17.91)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0.147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2.46 (0.75–8.06)</w:t>
            </w:r>
          </w:p>
        </w:tc>
        <w:tc>
          <w:tcPr>
            <w:tcW w:w="1247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0.138</w:t>
            </w:r>
          </w:p>
        </w:tc>
        <w:tc>
          <w:tcPr>
            <w:tcW w:w="1814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1.36 (0.21–8.88)</w:t>
            </w:r>
          </w:p>
        </w:tc>
        <w:tc>
          <w:tcPr>
            <w:tcW w:w="1020" w:type="dxa"/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0.751</w:t>
            </w:r>
          </w:p>
        </w:tc>
      </w:tr>
      <w:tr w:rsidR="008A4913" w:rsidTr="001B427F">
        <w:tc>
          <w:tcPr>
            <w:tcW w:w="1987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/>
                <w:sz w:val="22"/>
              </w:rPr>
              <w:t>HOMA-beta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1.00 (1.00-1.01)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0.024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1.00 (1.00-1.01)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0.746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1.00 (1.0-1.01)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0.021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1.00 (1.00-1.01)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A4913" w:rsidRDefault="008A4913" w:rsidP="001B427F">
            <w:pPr>
              <w:rPr>
                <w:rFonts w:ascii="Arial Unicode MS" w:hAnsi="Arial Unicode MS" w:cs="Arial Unicode MS"/>
                <w:sz w:val="22"/>
              </w:rPr>
            </w:pPr>
            <w:r>
              <w:rPr>
                <w:rFonts w:ascii="Arial Unicode MS" w:cs="Arial Unicode MS" w:hint="eastAsia"/>
                <w:sz w:val="22"/>
              </w:rPr>
              <w:t>0.276</w:t>
            </w:r>
          </w:p>
        </w:tc>
      </w:tr>
    </w:tbl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>Multivariable analysis includes variables such as age, sex, BMI, DM duration, C-peptide, HOMA-IR, HOMA-beta, initial/subsequent treatment, and baseline HbA1c (excluding baseline HbA1c for HbA1c</w:t>
      </w:r>
      <w:r>
        <w:rPr>
          <w:rFonts w:ascii="Arial Unicode MS" w:cs="Arial Unicode MS"/>
          <w:sz w:val="22"/>
        </w:rPr>
        <w:t> ≥ </w:t>
      </w:r>
      <w:r>
        <w:rPr>
          <w:rFonts w:ascii="Arial Unicode MS" w:cs="Arial Unicode MS"/>
          <w:sz w:val="22"/>
        </w:rPr>
        <w:t>10%).</w:t>
      </w:r>
    </w:p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>Reference groups for comparisons: For age, the reference group is patients aged 40</w:t>
      </w:r>
      <w:r>
        <w:rPr>
          <w:rFonts w:ascii="Arial Unicode MS" w:cs="Arial Unicode MS"/>
          <w:sz w:val="22"/>
        </w:rPr>
        <w:t>–</w:t>
      </w:r>
      <w:r>
        <w:rPr>
          <w:rFonts w:ascii="Arial Unicode MS" w:cs="Arial Unicode MS"/>
          <w:sz w:val="22"/>
        </w:rPr>
        <w:t>65 years. For sex, the reference group is female patients. For BMI, the reference group is patients with BMI</w:t>
      </w:r>
      <w:r>
        <w:rPr>
          <w:rFonts w:ascii="Arial Unicode MS" w:cs="Arial Unicode MS"/>
          <w:sz w:val="22"/>
        </w:rPr>
        <w:t> </w:t>
      </w:r>
      <w:r>
        <w:rPr>
          <w:rFonts w:ascii="Arial Unicode MS" w:cs="Arial Unicode MS"/>
          <w:sz w:val="22"/>
        </w:rPr>
        <w:t>&lt;</w:t>
      </w:r>
      <w:r>
        <w:rPr>
          <w:rFonts w:ascii="Arial Unicode MS" w:cs="Arial Unicode MS"/>
          <w:sz w:val="22"/>
        </w:rPr>
        <w:t> </w:t>
      </w:r>
      <w:r>
        <w:rPr>
          <w:rFonts w:ascii="Arial Unicode MS" w:cs="Arial Unicode MS"/>
          <w:sz w:val="22"/>
        </w:rPr>
        <w:t>23. For diabetes duration, the reference group is &lt;</w:t>
      </w:r>
      <w:r>
        <w:rPr>
          <w:rFonts w:ascii="Arial Unicode MS" w:cs="Arial Unicode MS"/>
          <w:sz w:val="22"/>
        </w:rPr>
        <w:t> </w:t>
      </w:r>
      <w:r>
        <w:rPr>
          <w:rFonts w:ascii="Arial Unicode MS" w:cs="Arial Unicode MS"/>
          <w:sz w:val="22"/>
        </w:rPr>
        <w:t>10 years. For HbA1c</w:t>
      </w:r>
      <w:r>
        <w:rPr>
          <w:rFonts w:ascii="Arial Unicode MS" w:cs="Arial Unicode MS"/>
          <w:sz w:val="22"/>
        </w:rPr>
        <w:t> ≥ </w:t>
      </w:r>
      <w:r>
        <w:rPr>
          <w:rFonts w:ascii="Arial Unicode MS" w:cs="Arial Unicode MS"/>
          <w:sz w:val="22"/>
        </w:rPr>
        <w:t>10, the reference group is patients with HbA1c</w:t>
      </w:r>
      <w:r>
        <w:rPr>
          <w:rFonts w:ascii="Arial Unicode MS" w:cs="Arial Unicode MS"/>
          <w:sz w:val="22"/>
        </w:rPr>
        <w:t> </w:t>
      </w:r>
      <w:r>
        <w:rPr>
          <w:rFonts w:ascii="Arial Unicode MS" w:cs="Arial Unicode MS"/>
          <w:sz w:val="22"/>
        </w:rPr>
        <w:t>&lt;</w:t>
      </w:r>
      <w:r>
        <w:rPr>
          <w:rFonts w:ascii="Arial Unicode MS" w:cs="Arial Unicode MS"/>
          <w:sz w:val="22"/>
        </w:rPr>
        <w:t> </w:t>
      </w:r>
      <w:r>
        <w:rPr>
          <w:rFonts w:ascii="Arial Unicode MS" w:cs="Arial Unicode MS"/>
          <w:sz w:val="22"/>
        </w:rPr>
        <w:t xml:space="preserve">10. Within the sulfonylurea (SU) group, glimepiride serves as the reference for comparisons with </w:t>
      </w:r>
      <w:proofErr w:type="spellStart"/>
      <w:r>
        <w:rPr>
          <w:rFonts w:ascii="Arial Unicode MS" w:cs="Arial Unicode MS"/>
          <w:sz w:val="22"/>
        </w:rPr>
        <w:t>gliclazide</w:t>
      </w:r>
      <w:proofErr w:type="spellEnd"/>
      <w:r>
        <w:rPr>
          <w:rFonts w:ascii="Arial Unicode MS" w:cs="Arial Unicode MS"/>
          <w:sz w:val="22"/>
        </w:rPr>
        <w:t xml:space="preserve">; for SGLT2 inhibitors, </w:t>
      </w:r>
      <w:proofErr w:type="spellStart"/>
      <w:r>
        <w:rPr>
          <w:rFonts w:ascii="Arial Unicode MS" w:cs="Arial Unicode MS"/>
          <w:sz w:val="22"/>
        </w:rPr>
        <w:t>empagliflozin</w:t>
      </w:r>
      <w:proofErr w:type="spellEnd"/>
      <w:r>
        <w:rPr>
          <w:rFonts w:ascii="Arial Unicode MS" w:cs="Arial Unicode MS"/>
          <w:sz w:val="22"/>
        </w:rPr>
        <w:t xml:space="preserve"> is the reference for </w:t>
      </w:r>
      <w:proofErr w:type="spellStart"/>
      <w:r>
        <w:rPr>
          <w:rFonts w:ascii="Arial Unicode MS" w:cs="Arial Unicode MS"/>
          <w:sz w:val="22"/>
        </w:rPr>
        <w:t>dapagliflozin</w:t>
      </w:r>
      <w:proofErr w:type="spellEnd"/>
      <w:r>
        <w:rPr>
          <w:rFonts w:ascii="Arial Unicode MS" w:cs="Arial Unicode MS"/>
          <w:sz w:val="22"/>
        </w:rPr>
        <w:t xml:space="preserve">; for DPP4 inhibitors, </w:t>
      </w:r>
      <w:proofErr w:type="spellStart"/>
      <w:r>
        <w:rPr>
          <w:rFonts w:ascii="Arial Unicode MS" w:cs="Arial Unicode MS"/>
          <w:sz w:val="22"/>
        </w:rPr>
        <w:t>linagliptin</w:t>
      </w:r>
      <w:proofErr w:type="spellEnd"/>
      <w:r>
        <w:rPr>
          <w:rFonts w:ascii="Arial Unicode MS" w:cs="Arial Unicode MS"/>
          <w:sz w:val="22"/>
        </w:rPr>
        <w:t xml:space="preserve"> is the reference for </w:t>
      </w:r>
      <w:proofErr w:type="spellStart"/>
      <w:r>
        <w:rPr>
          <w:rFonts w:ascii="Arial Unicode MS" w:cs="Arial Unicode MS"/>
          <w:sz w:val="22"/>
        </w:rPr>
        <w:t>teneligliptin</w:t>
      </w:r>
      <w:proofErr w:type="spellEnd"/>
      <w:r>
        <w:rPr>
          <w:rFonts w:ascii="Arial Unicode MS" w:cs="Arial Unicode MS"/>
          <w:sz w:val="22"/>
        </w:rPr>
        <w:t xml:space="preserve">, </w:t>
      </w:r>
      <w:proofErr w:type="spellStart"/>
      <w:r>
        <w:rPr>
          <w:rFonts w:ascii="Arial Unicode MS" w:cs="Arial Unicode MS"/>
          <w:sz w:val="22"/>
        </w:rPr>
        <w:t>gemigliptin</w:t>
      </w:r>
      <w:proofErr w:type="spellEnd"/>
      <w:r>
        <w:rPr>
          <w:rFonts w:ascii="Arial Unicode MS" w:cs="Arial Unicode MS"/>
          <w:sz w:val="22"/>
        </w:rPr>
        <w:t xml:space="preserve">, and </w:t>
      </w:r>
      <w:proofErr w:type="spellStart"/>
      <w:r>
        <w:rPr>
          <w:rFonts w:ascii="Arial Unicode MS" w:cs="Arial Unicode MS"/>
          <w:sz w:val="22"/>
        </w:rPr>
        <w:t>evogliptin</w:t>
      </w:r>
      <w:proofErr w:type="spellEnd"/>
      <w:r>
        <w:rPr>
          <w:rFonts w:ascii="Arial Unicode MS" w:cs="Arial Unicode MS"/>
          <w:sz w:val="22"/>
        </w:rPr>
        <w:t>. Odds ratios for HbA1c, C-peptide, HOMA-IR, and HOMA-beta represent the effect per unit increase in these continuous variables.</w:t>
      </w:r>
    </w:p>
    <w:p w:rsidR="008A4913" w:rsidRDefault="008A4913" w:rsidP="008A4913">
      <w:pPr>
        <w:rPr>
          <w:rFonts w:ascii="Arial Unicode MS" w:hAnsi="Arial Unicode MS" w:cs="Arial Unicode MS"/>
          <w:sz w:val="22"/>
        </w:rPr>
      </w:pPr>
      <w:r>
        <w:rPr>
          <w:rFonts w:ascii="Arial Unicode MS" w:cs="Arial Unicode MS"/>
          <w:sz w:val="22"/>
        </w:rPr>
        <w:t xml:space="preserve">HbA1c, </w:t>
      </w:r>
      <w:proofErr w:type="spellStart"/>
      <w:r>
        <w:rPr>
          <w:rFonts w:ascii="Arial Unicode MS" w:cs="Arial Unicode MS"/>
          <w:sz w:val="22"/>
        </w:rPr>
        <w:t>glycated</w:t>
      </w:r>
      <w:proofErr w:type="spellEnd"/>
      <w:r>
        <w:rPr>
          <w:rFonts w:ascii="Arial Unicode MS" w:cs="Arial Unicode MS"/>
          <w:sz w:val="22"/>
        </w:rPr>
        <w:t xml:space="preserve"> hemoglobin; Dpp4 inhibitor, </w:t>
      </w:r>
      <w:proofErr w:type="spellStart"/>
      <w:r>
        <w:rPr>
          <w:rFonts w:ascii="Arial Unicode MS" w:cs="Arial Unicode MS"/>
          <w:sz w:val="22"/>
        </w:rPr>
        <w:t>dipeptidyl</w:t>
      </w:r>
      <w:proofErr w:type="spellEnd"/>
      <w:r>
        <w:rPr>
          <w:rFonts w:ascii="Arial Unicode MS" w:cs="Arial Unicode MS"/>
          <w:sz w:val="22"/>
        </w:rPr>
        <w:t xml:space="preserve"> peptidase inhibitor; HOMA-IR, homeostatic model assessment of insulin resistance; HOMA-</w:t>
      </w:r>
      <w:r>
        <w:rPr>
          <w:rFonts w:ascii="Symbol" w:hAnsi="Symbol" w:cs="Arial Unicode MS"/>
          <w:sz w:val="22"/>
        </w:rPr>
        <w:sym w:font="Symbol" w:char="F062"/>
      </w:r>
      <w:r>
        <w:rPr>
          <w:rFonts w:ascii="Arial Unicode MS" w:cs="Arial Unicode MS"/>
          <w:sz w:val="22"/>
        </w:rPr>
        <w:t xml:space="preserve">, homeostatic model assessment of </w:t>
      </w:r>
      <w:r>
        <w:rPr>
          <w:rFonts w:ascii="Symbol" w:hAnsi="Symbol" w:cs="Arial Unicode MS"/>
          <w:sz w:val="22"/>
        </w:rPr>
        <w:sym w:font="Symbol" w:char="F062"/>
      </w:r>
      <w:r>
        <w:rPr>
          <w:rFonts w:ascii="Arial Unicode MS" w:cs="Arial Unicode MS"/>
          <w:sz w:val="22"/>
        </w:rPr>
        <w:t>-cell function</w:t>
      </w:r>
    </w:p>
    <w:p w:rsidR="008A4913" w:rsidRDefault="008A4913" w:rsidP="008A4913">
      <w:pPr>
        <w:pStyle w:val="SuppliedContentStart"/>
      </w:pPr>
    </w:p>
    <w:p w:rsidR="005B7CD7" w:rsidRDefault="005B7CD7">
      <w:bookmarkStart w:id="0" w:name="_GoBack"/>
      <w:bookmarkEnd w:id="0"/>
    </w:p>
    <w:sectPr w:rsidR="005B7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13"/>
    <w:rsid w:val="005B7CD7"/>
    <w:rsid w:val="008A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913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pliedContentStart">
    <w:name w:val="SuppliedContentStart"/>
    <w:basedOn w:val="Normal"/>
    <w:qFormat/>
    <w:rsid w:val="008A49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913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pliedContentStart">
    <w:name w:val="SuppliedContentStart"/>
    <w:basedOn w:val="Normal"/>
    <w:qFormat/>
    <w:rsid w:val="008A4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5916</Characters>
  <Application>Microsoft Office Word</Application>
  <DocSecurity>0</DocSecurity>
  <Lines>49</Lines>
  <Paragraphs>13</Paragraphs>
  <ScaleCrop>false</ScaleCrop>
  <Company/>
  <LinksUpToDate>false</LinksUpToDate>
  <CharactersWithSpaces>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Chandrasekar Narasaiah (Integra)</dc:creator>
  <cp:lastModifiedBy>Chandrasekar Narasaiah (Integra)</cp:lastModifiedBy>
  <cp:revision>1</cp:revision>
  <dcterms:created xsi:type="dcterms:W3CDTF">2026-06-25T09:27:00Z</dcterms:created>
  <dcterms:modified xsi:type="dcterms:W3CDTF">2026-06-25T09:27:00Z</dcterms:modified>
</cp:coreProperties>
</file>