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line="13" w:lineRule="atLeast"/>
        <w:jc w:val="both"/>
        <w:outlineLvl w:val="9"/>
        <w:rPr>
          <w:rFonts w:hint="eastAsia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1</w:t>
      </w:r>
    </w:p>
    <w:p>
      <w:pPr>
        <w:keepNext w:val="0"/>
        <w:keepLines w:val="0"/>
        <w:widowControl/>
        <w:suppressLineNumbers w:val="0"/>
        <w:spacing w:line="13" w:lineRule="atLeast"/>
        <w:jc w:val="both"/>
        <w:outlineLvl w:val="9"/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In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hospital interventions during the index admission, stratified by study group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8"/>
        <w:gridCol w:w="1521"/>
        <w:gridCol w:w="1532"/>
        <w:gridCol w:w="1559"/>
        <w:gridCol w:w="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>Intervention</w:t>
            </w:r>
          </w:p>
        </w:tc>
        <w:tc>
          <w:tcPr>
            <w:tcW w:w="15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Total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Intervention group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8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both"/>
              <w:outlineLvl w:val="9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n=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91)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n=4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n=46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)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Wound debridement*, n (%)</w:t>
            </w:r>
          </w:p>
        </w:tc>
        <w:tc>
          <w:tcPr>
            <w:tcW w:w="152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91 (100.00%)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 (100.00%)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>46 (100.00%)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PTA, n (%)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29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(31.87%)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14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(31.11%)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15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(32.61%)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NPWT, n (%)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43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(47.25%)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23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(51.11%)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20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(43.48%)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>0.531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Skin grafting, n (%)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8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(8.79%)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6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(13.33%)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(4.35%)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>0.158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93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Platelet gel therapy, n (%)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8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(8.79%)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(6.67%)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 xml:space="preserve">5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(10.87%)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13" w:lineRule="atLeast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"/>
              </w:rPr>
              <w:t>0.714</w:t>
            </w:r>
          </w:p>
        </w:tc>
      </w:tr>
    </w:tbl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*All patients received standard wound debridement as part of the multidisciplinary protocol; therefore, debridement is listed but not compared statistically.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Abbreviations: PTA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percutaneous transluminal angioplasty; NPWT, negative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pressure wound therapy.</w:t>
      </w:r>
    </w:p>
    <w:p>
      <w:pPr>
        <w:keepNext w:val="0"/>
        <w:keepLines w:val="0"/>
        <w:widowControl/>
        <w:suppressLineNumbers w:val="0"/>
        <w:spacing w:line="13" w:lineRule="atLeast"/>
        <w:jc w:val="both"/>
        <w:outlineLvl w:val="9"/>
        <w:rPr>
          <w:rFonts w:hint="default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br w:type="page"/>
      </w:r>
    </w:p>
    <w:p>
      <w:pPr>
        <w:keepNext w:val="0"/>
        <w:keepLines w:val="0"/>
        <w:widowControl/>
        <w:suppressLineNumbers w:val="0"/>
        <w:spacing w:line="13" w:lineRule="atLeast"/>
        <w:jc w:val="both"/>
        <w:outlineLvl w:val="9"/>
        <w:rPr>
          <w:rFonts w:hint="eastAsia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2</w:t>
      </w:r>
    </w:p>
    <w:p>
      <w:pPr>
        <w:keepNext w:val="0"/>
        <w:keepLines w:val="0"/>
        <w:widowControl/>
        <w:suppressLineNumbers w:val="0"/>
        <w:spacing w:line="13" w:lineRule="atLeast"/>
        <w:jc w:val="both"/>
        <w:outlineLvl w:val="9"/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Sensitivity analysis for differential loss to follow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up (best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case and worst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case scenarios)</w:t>
      </w:r>
    </w:p>
    <w:tbl>
      <w:tblPr>
        <w:tblStyle w:val="3"/>
        <w:tblW w:w="92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3"/>
        <w:gridCol w:w="1651"/>
        <w:gridCol w:w="1848"/>
        <w:gridCol w:w="2411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244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Scenario</w:t>
            </w:r>
          </w:p>
        </w:tc>
        <w:tc>
          <w:tcPr>
            <w:tcW w:w="165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Control group healing rate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Intervention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group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healing rate</w:t>
            </w:r>
          </w:p>
        </w:tc>
        <w:tc>
          <w:tcPr>
            <w:tcW w:w="241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Difference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3" w:type="dxa"/>
            <w:tcBorders>
              <w:top w:val="single" w:color="auto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Primary analysis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(lost assumed unhealed)</w:t>
            </w:r>
          </w:p>
        </w:tc>
        <w:tc>
          <w:tcPr>
            <w:tcW w:w="1651" w:type="dxa"/>
            <w:tcBorders>
              <w:top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63.04% (29/46)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82.22% (37/45)</w:t>
            </w:r>
          </w:p>
        </w:tc>
        <w:tc>
          <w:tcPr>
            <w:tcW w:w="2411" w:type="dxa"/>
            <w:tcBorders>
              <w:top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 (0.8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0%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–37.5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0%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00" w:type="dxa"/>
            <w:tcBorders>
              <w:top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43" w:type="dxa"/>
            <w:tcBorders>
              <w:bottom w:val="single" w:color="auto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Best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scenario</w:t>
            </w:r>
          </w:p>
        </w:tc>
        <w:tc>
          <w:tcPr>
            <w:tcW w:w="1651" w:type="dxa"/>
            <w:tcBorders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78.26% (36/46)</w:t>
            </w:r>
          </w:p>
        </w:tc>
        <w:tc>
          <w:tcPr>
            <w:tcW w:w="1848" w:type="dxa"/>
            <w:tcBorders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82.22% (37/45)</w:t>
            </w:r>
          </w:p>
        </w:tc>
        <w:tc>
          <w:tcPr>
            <w:tcW w:w="2411" w:type="dxa"/>
            <w:tcBorders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3.96%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(–1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0%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to 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0%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0.65</w:t>
            </w:r>
          </w:p>
        </w:tc>
      </w:tr>
    </w:tbl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P value from Pearson’s chi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square test.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Best‑case scenario assumes that all 7 patients lost to follow‑up in the control group achieved ulcer healing. The worst‑case scenario (all lost assumed unhealed) is identical to the primary analysis.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br w:type="page"/>
      </w:r>
    </w:p>
    <w:p>
      <w:pPr>
        <w:keepNext w:val="0"/>
        <w:keepLines w:val="0"/>
        <w:widowControl/>
        <w:suppressLineNumbers w:val="0"/>
        <w:spacing w:line="13" w:lineRule="atLeast"/>
        <w:jc w:val="both"/>
        <w:outlineLvl w:val="9"/>
        <w:rPr>
          <w:rFonts w:hint="eastAsia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3</w:t>
      </w:r>
    </w:p>
    <w:p>
      <w:pPr>
        <w:keepNext w:val="0"/>
        <w:keepLines w:val="0"/>
        <w:widowControl/>
        <w:suppressLineNumbers w:val="0"/>
        <w:spacing w:line="13" w:lineRule="atLeast"/>
        <w:jc w:val="both"/>
        <w:outlineLvl w:val="9"/>
        <w:rPr>
          <w:rFonts w:hint="default" w:ascii="Times New Roman" w:hAnsi="Times New Roman" w:eastAsia="宋体" w:cs="Times New Roman"/>
          <w:b/>
          <w:bCs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Sensitivity analysis: Fine‑Gray regression with additional adjustment for ABI &lt; 0.9 and ulcer location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4"/>
        <w:gridCol w:w="1827"/>
        <w:gridCol w:w="14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520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Variable</w:t>
            </w:r>
          </w:p>
        </w:tc>
        <w:tc>
          <w:tcPr>
            <w:tcW w:w="182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SHR (95% CI)</w:t>
            </w:r>
          </w:p>
        </w:tc>
        <w:tc>
          <w:tcPr>
            <w:tcW w:w="149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4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Wagner grade 5 (vs grade 4)</w:t>
            </w:r>
          </w:p>
        </w:tc>
        <w:tc>
          <w:tcPr>
            <w:tcW w:w="182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0.26 (0.10–0.72)</w:t>
            </w:r>
          </w:p>
        </w:tc>
        <w:tc>
          <w:tcPr>
            <w:tcW w:w="1491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4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Peripheral artery disease</w:t>
            </w:r>
          </w:p>
        </w:tc>
        <w:tc>
          <w:tcPr>
            <w:tcW w:w="1827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0.43 (0.23–0.80)</w:t>
            </w:r>
          </w:p>
        </w:tc>
        <w:tc>
          <w:tcPr>
            <w:tcW w:w="149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4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Age (per year)</w:t>
            </w:r>
          </w:p>
        </w:tc>
        <w:tc>
          <w:tcPr>
            <w:tcW w:w="1827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0.99 (0.97–1.01)</w:t>
            </w:r>
          </w:p>
        </w:tc>
        <w:tc>
          <w:tcPr>
            <w:tcW w:w="149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4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Male (vs female)</w:t>
            </w:r>
          </w:p>
        </w:tc>
        <w:tc>
          <w:tcPr>
            <w:tcW w:w="1827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1.15 (0.62–2.13)</w:t>
            </w:r>
          </w:p>
        </w:tc>
        <w:tc>
          <w:tcPr>
            <w:tcW w:w="149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4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DFU duration (per week)</w:t>
            </w:r>
          </w:p>
        </w:tc>
        <w:tc>
          <w:tcPr>
            <w:tcW w:w="1827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1.00 (0.99–1.00)</w:t>
            </w:r>
          </w:p>
        </w:tc>
        <w:tc>
          <w:tcPr>
            <w:tcW w:w="149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4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Intervention (vs control)</w:t>
            </w:r>
          </w:p>
        </w:tc>
        <w:tc>
          <w:tcPr>
            <w:tcW w:w="1827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1.57 (0.97–2.54)</w:t>
            </w:r>
          </w:p>
        </w:tc>
        <w:tc>
          <w:tcPr>
            <w:tcW w:w="149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4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ABI &lt; 0.9 (vs ≥ 0.9)</w:t>
            </w:r>
          </w:p>
        </w:tc>
        <w:tc>
          <w:tcPr>
            <w:tcW w:w="1827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0.69 (0.37–1.29)</w:t>
            </w:r>
          </w:p>
        </w:tc>
        <w:tc>
          <w:tcPr>
            <w:tcW w:w="149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4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Ulcer location (midfoot/hindfoot/whole foot vs forefoot)</w:t>
            </w:r>
          </w:p>
        </w:tc>
        <w:tc>
          <w:tcPr>
            <w:tcW w:w="182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0.48 (0.23–1.01)</w:t>
            </w:r>
          </w:p>
        </w:tc>
        <w:tc>
          <w:tcPr>
            <w:tcW w:w="149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0.054</w:t>
            </w:r>
          </w:p>
        </w:tc>
      </w:tr>
    </w:tbl>
    <w:p>
      <w:pPr>
        <w:keepNext w:val="0"/>
        <w:keepLines w:val="0"/>
        <w:widowControl/>
        <w:suppressLineNumbers w:val="0"/>
        <w:spacing w:line="13" w:lineRule="atLeast"/>
        <w:jc w:val="both"/>
        <w:outlineLvl w:val="9"/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Abbreviations: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shd w:val="clear" w:fill="FFFFFF"/>
          <w:lang w:val="en-US" w:eastAsia="zh-CN" w:bidi="ar"/>
        </w:rPr>
        <w:t>SHR, subdistribution hazard ratio; CI, confidence interval; ABI, ankle‑brachial index. Fine‑Gray model treated major amputation and death as competing events. This sensitivity analysis assessed robustness of the primary findings by including additional potential confounders (ABI &lt; 0.9 and ulcer location).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87AAA"/>
    <w:rsid w:val="13D144C2"/>
    <w:rsid w:val="16B51BCC"/>
    <w:rsid w:val="18550589"/>
    <w:rsid w:val="1B245FF1"/>
    <w:rsid w:val="22C84A86"/>
    <w:rsid w:val="26F86CAF"/>
    <w:rsid w:val="33C543BD"/>
    <w:rsid w:val="3EDA6843"/>
    <w:rsid w:val="464A0752"/>
    <w:rsid w:val="482920EE"/>
    <w:rsid w:val="4B01545B"/>
    <w:rsid w:val="5FAA42E4"/>
    <w:rsid w:val="67B57CC9"/>
    <w:rsid w:val="69A7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140</Words>
  <Characters>805</Characters>
  <Lines>0</Lines>
  <Paragraphs>0</Paragraphs>
  <TotalTime>6</TotalTime>
  <ScaleCrop>false</ScaleCrop>
  <LinksUpToDate>false</LinksUpToDate>
  <CharactersWithSpaces>900</CharactersWithSpaces>
  <Application>WPS Office_11.8.2.11023_F1E327BC-269C-435d-A152-05C5408002CA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2026-05-29T09:14:00Z</dcterms:created>
  <dc:creator>df</dc:creator>
  <cp:lastModifiedBy>df</cp:lastModifiedBy>
  <dcterms:modified xsi:type="dcterms:W3CDTF">2026-06-05T09:19:13Z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2052-11.8.2.11023</vt:lpwstr>
  </property>
  <property fmtid="{D5CDD505-2E9C-101B-9397-08002B2CF9AE}" pid="3" name="ICV">
    <vt:lpwstr>7F9C5A101829415ABF1352F1E5F6BDD6</vt:lpwstr>
  </property>
  <property fmtid="{D5CDD505-2E9C-101B-9397-08002B2CF9AE}" pid="4" name="KSOTemplateDocerSaveRecord">
    <vt:lpwstr>eyJoZGlkIjoiMTQzYzVmNmFjNTg0MTJiYWM3NjY1ZmU0OTkzZmVjZWEiLCJ1c2VySWQiOiIzMTcwMDEyMDQifQ==</vt:lpwstr>
  </property>
</Properties>
</file>