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A0FAB" w14:textId="17AAD1AC" w:rsidR="00877687" w:rsidRPr="00710F82" w:rsidRDefault="00710F82">
      <w:pPr>
        <w:rPr>
          <w:b/>
          <w:bCs/>
        </w:rPr>
      </w:pPr>
      <w:bookmarkStart w:id="0" w:name="OLE_LINK53"/>
      <w:r w:rsidRPr="00710F82">
        <w:rPr>
          <w:rFonts w:hint="eastAsia"/>
          <w:b/>
          <w:bCs/>
        </w:rPr>
        <w:t>1.</w:t>
      </w:r>
      <w:bookmarkEnd w:id="0"/>
      <w:r w:rsidR="00722B13" w:rsidRPr="00722B13">
        <w:t xml:space="preserve"> </w:t>
      </w:r>
      <w:r w:rsidR="00722B13" w:rsidRPr="00722B13">
        <w:rPr>
          <w:b/>
          <w:bCs/>
        </w:rPr>
        <w:t>Day-by-day unmasking of the FT3–glycemic variability association during inpatient titration (overall and Days 2–6)</w:t>
      </w:r>
    </w:p>
    <w:p w14:paraId="78CBD621" w14:textId="1CD676EC" w:rsidR="00710F82" w:rsidRDefault="00710F82">
      <w:r>
        <w:rPr>
          <w:noProof/>
        </w:rPr>
        <w:drawing>
          <wp:inline distT="0" distB="0" distL="0" distR="0" wp14:anchorId="6B46495A" wp14:editId="6B970861">
            <wp:extent cx="5278755" cy="3167380"/>
            <wp:effectExtent l="0" t="0" r="0" b="0"/>
            <wp:docPr id="131173403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734031" name="Picture 131173403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0AC1B4" wp14:editId="1C2959EA">
            <wp:extent cx="5278755" cy="3167380"/>
            <wp:effectExtent l="0" t="0" r="0" b="0"/>
            <wp:docPr id="7496152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615257" name="Picture 74961525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C73A55" wp14:editId="796B3667">
            <wp:extent cx="5278755" cy="3167380"/>
            <wp:effectExtent l="0" t="0" r="0" b="0"/>
            <wp:docPr id="5765699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569984" name="Picture 57656998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9CF115" wp14:editId="211309CD">
            <wp:extent cx="5278755" cy="3167380"/>
            <wp:effectExtent l="0" t="0" r="0" b="0"/>
            <wp:docPr id="148936309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63093" name="Picture 148936309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D41E6" w14:textId="2A4C7213" w:rsidR="00710F82" w:rsidRDefault="00710F82">
      <w:pPr>
        <w:widowControl/>
      </w:pPr>
      <w:r>
        <w:br w:type="page"/>
      </w:r>
    </w:p>
    <w:p w14:paraId="51C1134D" w14:textId="6947D484" w:rsidR="00710F82" w:rsidRPr="00710F82" w:rsidRDefault="00710F82">
      <w:pPr>
        <w:rPr>
          <w:b/>
          <w:bCs/>
        </w:rPr>
      </w:pPr>
      <w:r w:rsidRPr="00710F82">
        <w:rPr>
          <w:rFonts w:hint="eastAsia"/>
          <w:b/>
          <w:bCs/>
        </w:rPr>
        <w:lastRenderedPageBreak/>
        <w:t>2.</w:t>
      </w:r>
      <w:r w:rsidR="00722B13" w:rsidRPr="00722B13">
        <w:t xml:space="preserve"> </w:t>
      </w:r>
      <w:r w:rsidR="00722B13" w:rsidRPr="00722B13">
        <w:rPr>
          <w:b/>
          <w:bCs/>
        </w:rPr>
        <w:t>Day-by-day unmasking of the FT</w:t>
      </w:r>
      <w:r w:rsidR="00722B13">
        <w:rPr>
          <w:rFonts w:hint="eastAsia"/>
          <w:b/>
          <w:bCs/>
        </w:rPr>
        <w:t>4</w:t>
      </w:r>
      <w:r w:rsidR="00722B13" w:rsidRPr="00722B13">
        <w:rPr>
          <w:b/>
          <w:bCs/>
        </w:rPr>
        <w:t>–glycemic variability association during inpatient titration (overall and Days 2–6)</w:t>
      </w:r>
    </w:p>
    <w:p w14:paraId="1CD46868" w14:textId="77777777" w:rsidR="00710F82" w:rsidRDefault="00710F82">
      <w:r>
        <w:rPr>
          <w:noProof/>
        </w:rPr>
        <w:drawing>
          <wp:inline distT="0" distB="0" distL="0" distR="0" wp14:anchorId="6EA4D2BE" wp14:editId="4EBFC36D">
            <wp:extent cx="5278755" cy="3167380"/>
            <wp:effectExtent l="0" t="0" r="0" b="0"/>
            <wp:docPr id="19427006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00611" name="Picture 19427006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89F30" w14:textId="042D3126" w:rsidR="00710F82" w:rsidRPr="00710F82" w:rsidRDefault="00710F82">
      <w:r>
        <w:rPr>
          <w:noProof/>
        </w:rPr>
        <w:drawing>
          <wp:inline distT="0" distB="0" distL="0" distR="0" wp14:anchorId="54C32C96" wp14:editId="259284C6">
            <wp:extent cx="5278755" cy="3167380"/>
            <wp:effectExtent l="0" t="0" r="0" b="0"/>
            <wp:docPr id="4007933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793323" name="Picture 1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A3EDC5" wp14:editId="2DB8FF52">
            <wp:extent cx="5278755" cy="3167380"/>
            <wp:effectExtent l="0" t="0" r="0" b="0"/>
            <wp:docPr id="153992189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21890" name="Picture 153992189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F12200" wp14:editId="2D27B4A6">
            <wp:extent cx="5278755" cy="3167380"/>
            <wp:effectExtent l="0" t="0" r="0" b="0"/>
            <wp:docPr id="144815730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157307" name="Picture 144815730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A5AEE" w14:textId="00FC658B" w:rsidR="00710F82" w:rsidRDefault="00710F82">
      <w:pPr>
        <w:widowControl/>
      </w:pPr>
      <w:r>
        <w:br w:type="page"/>
      </w:r>
    </w:p>
    <w:p w14:paraId="0EDCD6AB" w14:textId="34FAF8CE" w:rsidR="00710F82" w:rsidRPr="00710F82" w:rsidRDefault="00710F82" w:rsidP="00710F82">
      <w:pPr>
        <w:rPr>
          <w:b/>
          <w:bCs/>
        </w:rPr>
      </w:pPr>
      <w:bookmarkStart w:id="1" w:name="OLE_LINK54"/>
      <w:r>
        <w:rPr>
          <w:rFonts w:hint="eastAsia"/>
          <w:b/>
          <w:bCs/>
        </w:rPr>
        <w:lastRenderedPageBreak/>
        <w:t>3</w:t>
      </w:r>
      <w:r w:rsidRPr="00710F82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="00722B13" w:rsidRPr="00722B13">
        <w:rPr>
          <w:b/>
          <w:bCs/>
        </w:rPr>
        <w:t>Day-by-day unmasking of the FT3</w:t>
      </w:r>
      <w:r w:rsidR="00722B13">
        <w:rPr>
          <w:rFonts w:hint="eastAsia"/>
          <w:b/>
          <w:bCs/>
        </w:rPr>
        <w:t>/FT4</w:t>
      </w:r>
      <w:r w:rsidR="00722B13" w:rsidRPr="00722B13">
        <w:rPr>
          <w:b/>
          <w:bCs/>
        </w:rPr>
        <w:t>–glycemic variability association during inpatient titration (overall and Days 2–6)</w:t>
      </w:r>
    </w:p>
    <w:bookmarkEnd w:id="1"/>
    <w:p w14:paraId="6DD02F27" w14:textId="05A0BBFD" w:rsidR="00710F82" w:rsidRPr="00710F82" w:rsidRDefault="00710F82">
      <w:r>
        <w:rPr>
          <w:noProof/>
        </w:rPr>
        <w:drawing>
          <wp:inline distT="0" distB="0" distL="0" distR="0" wp14:anchorId="02588FD6" wp14:editId="5F89A2C9">
            <wp:extent cx="5278755" cy="3167380"/>
            <wp:effectExtent l="0" t="0" r="0" b="0"/>
            <wp:docPr id="34691644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916444" name="Picture 34691644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8773DD" wp14:editId="1C4791F9">
            <wp:extent cx="5278755" cy="3167380"/>
            <wp:effectExtent l="0" t="0" r="0" b="0"/>
            <wp:docPr id="165772747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727479" name="Picture 165772747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AC4927" wp14:editId="35AB3F1B">
            <wp:extent cx="5278755" cy="3167380"/>
            <wp:effectExtent l="0" t="0" r="0" b="0"/>
            <wp:docPr id="119588079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880798" name="Picture 119588079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D5C0E1" wp14:editId="5A08A6D4">
            <wp:extent cx="5278755" cy="3167380"/>
            <wp:effectExtent l="0" t="0" r="0" b="0"/>
            <wp:docPr id="141317446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174463" name="Picture 141317446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1C092" w14:textId="0525ED94" w:rsidR="00710F82" w:rsidRDefault="00710F82">
      <w:pPr>
        <w:widowControl/>
      </w:pPr>
      <w:r>
        <w:br w:type="page"/>
      </w:r>
    </w:p>
    <w:p w14:paraId="00F39931" w14:textId="246744FE" w:rsidR="00710F82" w:rsidRPr="00710F82" w:rsidRDefault="00710F82" w:rsidP="00710F82">
      <w:pPr>
        <w:rPr>
          <w:b/>
          <w:bCs/>
        </w:rPr>
      </w:pPr>
      <w:bookmarkStart w:id="2" w:name="OLE_LINK55"/>
      <w:r>
        <w:rPr>
          <w:rFonts w:hint="eastAsia"/>
          <w:b/>
          <w:bCs/>
        </w:rPr>
        <w:lastRenderedPageBreak/>
        <w:t>4</w:t>
      </w:r>
      <w:r w:rsidRPr="00710F82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="00722B13" w:rsidRPr="00722B13">
        <w:rPr>
          <w:b/>
          <w:bCs/>
        </w:rPr>
        <w:t xml:space="preserve">Day-by-day unmasking of the </w:t>
      </w:r>
      <w:r w:rsidR="00722B13">
        <w:rPr>
          <w:rFonts w:hint="eastAsia"/>
          <w:b/>
          <w:bCs/>
        </w:rPr>
        <w:t>TSH</w:t>
      </w:r>
      <w:r w:rsidR="00722B13" w:rsidRPr="00722B13">
        <w:rPr>
          <w:b/>
          <w:bCs/>
        </w:rPr>
        <w:t>–glycemic variability association during inpatient titration (overall and Days 2–6)</w:t>
      </w:r>
    </w:p>
    <w:bookmarkEnd w:id="2"/>
    <w:p w14:paraId="4C1E0E2D" w14:textId="77777777" w:rsidR="00710F82" w:rsidRDefault="00710F82">
      <w:r>
        <w:rPr>
          <w:noProof/>
        </w:rPr>
        <w:drawing>
          <wp:inline distT="0" distB="0" distL="0" distR="0" wp14:anchorId="7FC885A2" wp14:editId="763A6EB2">
            <wp:extent cx="5278755" cy="3167380"/>
            <wp:effectExtent l="0" t="0" r="0" b="0"/>
            <wp:docPr id="151348438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484381" name="Picture 151348438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7F3E0" w14:textId="3812B72E" w:rsidR="00710F82" w:rsidRPr="00710F82" w:rsidRDefault="00710F82">
      <w:r>
        <w:rPr>
          <w:noProof/>
        </w:rPr>
        <w:drawing>
          <wp:inline distT="0" distB="0" distL="0" distR="0" wp14:anchorId="410A2997" wp14:editId="43D71D78">
            <wp:extent cx="5278755" cy="3167380"/>
            <wp:effectExtent l="0" t="0" r="0" b="0"/>
            <wp:docPr id="98795120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951205" name="Picture 98795120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A24AFD" wp14:editId="3AB59FCC">
            <wp:extent cx="5278755" cy="3167380"/>
            <wp:effectExtent l="0" t="0" r="0" b="0"/>
            <wp:docPr id="132668936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689360" name="Picture 132668936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AA4DD4" wp14:editId="64C015C5">
            <wp:extent cx="5278755" cy="3167380"/>
            <wp:effectExtent l="0" t="0" r="0" b="0"/>
            <wp:docPr id="1779879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87984" name="Picture 17798798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22611" w14:textId="72A701B1" w:rsidR="00710F82" w:rsidRDefault="00710F82">
      <w:pPr>
        <w:widowControl/>
      </w:pPr>
      <w:r>
        <w:br w:type="page"/>
      </w:r>
    </w:p>
    <w:p w14:paraId="1E681B69" w14:textId="456C5F81" w:rsidR="00710F82" w:rsidRPr="00710F82" w:rsidRDefault="00710F82" w:rsidP="00710F82">
      <w:pPr>
        <w:rPr>
          <w:b/>
          <w:bCs/>
        </w:rPr>
      </w:pPr>
      <w:r>
        <w:rPr>
          <w:rFonts w:hint="eastAsia"/>
          <w:b/>
          <w:bCs/>
        </w:rPr>
        <w:lastRenderedPageBreak/>
        <w:t>5</w:t>
      </w:r>
      <w:r w:rsidRPr="00710F82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="00722B13" w:rsidRPr="00722B13">
        <w:rPr>
          <w:b/>
          <w:bCs/>
        </w:rPr>
        <w:t xml:space="preserve">Day-by-day unmasking of the </w:t>
      </w:r>
      <w:proofErr w:type="spellStart"/>
      <w:r w:rsidR="00722B13">
        <w:rPr>
          <w:rFonts w:hint="eastAsia"/>
          <w:b/>
          <w:bCs/>
        </w:rPr>
        <w:t>TSHi</w:t>
      </w:r>
      <w:proofErr w:type="spellEnd"/>
      <w:r w:rsidR="00722B13" w:rsidRPr="00722B13">
        <w:rPr>
          <w:b/>
          <w:bCs/>
        </w:rPr>
        <w:t>–glycemic variability association during inpatient titration (overall and Days 2–6)</w:t>
      </w:r>
    </w:p>
    <w:p w14:paraId="0BF8DC9D" w14:textId="6CC4E4C9" w:rsidR="00710F82" w:rsidRPr="00710F82" w:rsidRDefault="00710F82">
      <w:r>
        <w:rPr>
          <w:noProof/>
        </w:rPr>
        <w:drawing>
          <wp:inline distT="0" distB="0" distL="0" distR="0" wp14:anchorId="5889DBEB" wp14:editId="792914A6">
            <wp:extent cx="5278755" cy="3167380"/>
            <wp:effectExtent l="0" t="0" r="0" b="0"/>
            <wp:docPr id="158276402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764028" name="Picture 158276402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B1B9A" w14:textId="2D9E5B70" w:rsidR="00710F82" w:rsidRDefault="00710F82">
      <w:r>
        <w:rPr>
          <w:noProof/>
        </w:rPr>
        <w:drawing>
          <wp:inline distT="0" distB="0" distL="0" distR="0" wp14:anchorId="3CC4A526" wp14:editId="68701950">
            <wp:extent cx="5278755" cy="3167380"/>
            <wp:effectExtent l="0" t="0" r="0" b="0"/>
            <wp:docPr id="38716054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60540" name="Picture 38716054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26A7B6" wp14:editId="2F880A2D">
            <wp:extent cx="5278755" cy="3167380"/>
            <wp:effectExtent l="0" t="0" r="0" b="0"/>
            <wp:docPr id="137981637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816377" name="Picture 137981637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FE6A7" w14:textId="0C2E6C14" w:rsidR="00710F82" w:rsidRDefault="00710F82">
      <w:r>
        <w:rPr>
          <w:noProof/>
        </w:rPr>
        <w:drawing>
          <wp:inline distT="0" distB="0" distL="0" distR="0" wp14:anchorId="6BF4E107" wp14:editId="1F89E014">
            <wp:extent cx="5278755" cy="3167380"/>
            <wp:effectExtent l="0" t="0" r="0" b="0"/>
            <wp:docPr id="76513851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138515" name="Picture 76513851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AD3EA" w14:textId="23B824FC" w:rsidR="00710F82" w:rsidRDefault="00710F82">
      <w:pPr>
        <w:widowControl/>
      </w:pPr>
      <w:r>
        <w:br w:type="page"/>
      </w:r>
    </w:p>
    <w:p w14:paraId="562F2017" w14:textId="750F337A" w:rsidR="00710F82" w:rsidRPr="00710F82" w:rsidRDefault="00710F82" w:rsidP="00710F82">
      <w:pPr>
        <w:rPr>
          <w:b/>
          <w:bCs/>
        </w:rPr>
      </w:pPr>
      <w:bookmarkStart w:id="3" w:name="OLE_LINK56"/>
      <w:r>
        <w:rPr>
          <w:rFonts w:hint="eastAsia"/>
          <w:b/>
          <w:bCs/>
        </w:rPr>
        <w:lastRenderedPageBreak/>
        <w:t>6</w:t>
      </w:r>
      <w:r w:rsidRPr="00710F82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="00722B13" w:rsidRPr="00722B13">
        <w:rPr>
          <w:b/>
          <w:bCs/>
        </w:rPr>
        <w:t xml:space="preserve">Day-by-day unmasking of the </w:t>
      </w:r>
      <w:r w:rsidR="00722B13">
        <w:rPr>
          <w:rFonts w:hint="eastAsia"/>
          <w:b/>
          <w:bCs/>
        </w:rPr>
        <w:t>TT4RI</w:t>
      </w:r>
      <w:r w:rsidR="00722B13" w:rsidRPr="00722B13">
        <w:rPr>
          <w:b/>
          <w:bCs/>
        </w:rPr>
        <w:t>–glycemic variability association during inpatient titration (overall and Days 2–6)</w:t>
      </w:r>
    </w:p>
    <w:bookmarkEnd w:id="3"/>
    <w:p w14:paraId="6A6F9835" w14:textId="2BC4BD4E" w:rsidR="00710F82" w:rsidRPr="00710F82" w:rsidRDefault="00710F82">
      <w:r>
        <w:rPr>
          <w:noProof/>
        </w:rPr>
        <w:drawing>
          <wp:inline distT="0" distB="0" distL="0" distR="0" wp14:anchorId="4233CCFE" wp14:editId="33561B0E">
            <wp:extent cx="5278755" cy="3167380"/>
            <wp:effectExtent l="0" t="0" r="0" b="0"/>
            <wp:docPr id="143143332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433329" name="Picture 143143332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674B32" wp14:editId="51DB0367">
            <wp:extent cx="5278755" cy="3167380"/>
            <wp:effectExtent l="0" t="0" r="0" b="0"/>
            <wp:docPr id="172079127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791273" name="Picture 172079127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3F5853" wp14:editId="25AD33C5">
            <wp:extent cx="5278755" cy="3167380"/>
            <wp:effectExtent l="0" t="0" r="0" b="0"/>
            <wp:docPr id="62993779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37796" name="Picture 62993779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FA02C0" wp14:editId="64DD31F5">
            <wp:extent cx="5278755" cy="3167380"/>
            <wp:effectExtent l="0" t="0" r="0" b="0"/>
            <wp:docPr id="188287804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78042" name="Picture 188287804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D6AB9" w14:textId="5659AB50" w:rsidR="004A39EB" w:rsidRDefault="004A39EB">
      <w:pPr>
        <w:widowControl/>
      </w:pPr>
      <w:r>
        <w:br w:type="page"/>
      </w:r>
    </w:p>
    <w:p w14:paraId="372F55A2" w14:textId="266A1B4A" w:rsidR="004A39EB" w:rsidRDefault="004A39EB" w:rsidP="004A39EB">
      <w:pPr>
        <w:rPr>
          <w:b/>
          <w:bCs/>
        </w:rPr>
      </w:pPr>
      <w:r>
        <w:rPr>
          <w:rFonts w:hint="eastAsia"/>
          <w:b/>
          <w:bCs/>
        </w:rPr>
        <w:lastRenderedPageBreak/>
        <w:t>7</w:t>
      </w:r>
      <w:r w:rsidRPr="00710F82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="00722B13" w:rsidRPr="00722B13">
        <w:rPr>
          <w:b/>
          <w:bCs/>
        </w:rPr>
        <w:t xml:space="preserve">Day-by-day unmasking of the </w:t>
      </w:r>
      <w:r w:rsidR="00722B13">
        <w:rPr>
          <w:rFonts w:hint="eastAsia"/>
          <w:b/>
          <w:bCs/>
        </w:rPr>
        <w:t>TFQI</w:t>
      </w:r>
      <w:r w:rsidR="00722B13" w:rsidRPr="00722B13">
        <w:rPr>
          <w:b/>
          <w:bCs/>
        </w:rPr>
        <w:t>–glycemic variability association during inpatient titration (overall and Days 2–6)</w:t>
      </w:r>
    </w:p>
    <w:p w14:paraId="4D1C40AA" w14:textId="4714E435" w:rsidR="00D962E2" w:rsidRPr="00710F82" w:rsidRDefault="00D962E2" w:rsidP="004A39EB">
      <w:pPr>
        <w:rPr>
          <w:b/>
          <w:bCs/>
        </w:rPr>
      </w:pPr>
      <w:r>
        <w:rPr>
          <w:noProof/>
        </w:rPr>
        <w:drawing>
          <wp:inline distT="0" distB="0" distL="0" distR="0" wp14:anchorId="0783AC95" wp14:editId="1D42E963">
            <wp:extent cx="5278755" cy="3167380"/>
            <wp:effectExtent l="0" t="0" r="0" b="0"/>
            <wp:docPr id="39702257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22578" name="Picture 39702257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DF2FB" w14:textId="36360629" w:rsidR="00710F82" w:rsidRPr="00D962E2" w:rsidRDefault="00D962E2" w:rsidP="00710F82">
      <w:r>
        <w:rPr>
          <w:noProof/>
        </w:rPr>
        <w:drawing>
          <wp:inline distT="0" distB="0" distL="0" distR="0" wp14:anchorId="72A4CE74" wp14:editId="54A275EF">
            <wp:extent cx="5278755" cy="3167380"/>
            <wp:effectExtent l="0" t="0" r="0" b="0"/>
            <wp:docPr id="157584905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49057" name="Picture 157584905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2DECEC" wp14:editId="519721A5">
            <wp:extent cx="5278755" cy="3167380"/>
            <wp:effectExtent l="0" t="0" r="0" b="0"/>
            <wp:docPr id="204947581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475815" name="Picture 204947581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4116A" w14:textId="77777777" w:rsidR="00710F82" w:rsidRDefault="00710F82" w:rsidP="00710F82"/>
    <w:p w14:paraId="18623ADD" w14:textId="77777777" w:rsidR="00710F82" w:rsidRDefault="00710F82"/>
    <w:sectPr w:rsidR="00710F82" w:rsidSect="00407BCD">
      <w:pgSz w:w="11907" w:h="16840" w:code="9"/>
      <w:pgMar w:top="1440" w:right="1797" w:bottom="1440" w:left="1797" w:header="851" w:footer="992" w:gutter="0"/>
      <w:cols w:space="425"/>
      <w:docGrid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10"/>
  <w:drawingGridVerticalSpacing w:val="31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87"/>
    <w:rsid w:val="00407BCD"/>
    <w:rsid w:val="004A39EB"/>
    <w:rsid w:val="00710F82"/>
    <w:rsid w:val="00722B13"/>
    <w:rsid w:val="00877687"/>
    <w:rsid w:val="009542DA"/>
    <w:rsid w:val="00CA5D3F"/>
    <w:rsid w:val="00D9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97B2"/>
  <w15:chartTrackingRefBased/>
  <w15:docId w15:val="{85569BFB-AC40-4252-B71E-4FC4CFFD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76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6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6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68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68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68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68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68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68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68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6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6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687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687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687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687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687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687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87768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6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6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6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6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6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6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6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6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6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171</Words>
  <Characters>716</Characters>
  <Application>Microsoft Office Word</Application>
  <DocSecurity>0</DocSecurity>
  <Lines>143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yu</dc:creator>
  <cp:keywords/>
  <dc:description/>
  <cp:lastModifiedBy>peng yu</cp:lastModifiedBy>
  <cp:revision>2</cp:revision>
  <dcterms:created xsi:type="dcterms:W3CDTF">2026-01-11T14:55:00Z</dcterms:created>
  <dcterms:modified xsi:type="dcterms:W3CDTF">2026-01-11T14:55:00Z</dcterms:modified>
</cp:coreProperties>
</file>