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A9D75" w14:textId="77777777" w:rsidR="00C36864" w:rsidRDefault="00C36864" w:rsidP="00C36864">
      <w:r>
        <w:rPr>
          <w:b/>
        </w:rPr>
        <w:t>Additional file 1</w:t>
      </w:r>
    </w:p>
    <w:p w14:paraId="4867608E" w14:textId="77777777" w:rsidR="00C36864" w:rsidRDefault="00C36864" w:rsidP="00C36864">
      <w:r>
        <w:rPr>
          <w:b/>
        </w:rPr>
        <w:t>Supplementary Figure S1 and Supplementary Tables S1-S4</w:t>
      </w:r>
    </w:p>
    <w:p w14:paraId="29A97B8A" w14:textId="40EFF344" w:rsidR="003A19CB" w:rsidRDefault="00C36864" w:rsidP="00C36864">
      <w:r>
        <w:rPr>
          <w:b/>
        </w:rPr>
        <w:t>Supplementary Figure S1 Model-specific variance inflation factors for QCT-derived parameters in the fully adjusted logistic regression models.</w:t>
      </w:r>
    </w:p>
    <w:p w14:paraId="65F52583" w14:textId="77777777" w:rsidR="003A19CB" w:rsidRDefault="0090714E">
      <w:r>
        <w:rPr>
          <w:noProof/>
        </w:rPr>
        <w:drawing>
          <wp:inline distT="0" distB="0" distL="0" distR="0" wp14:anchorId="581C12EF" wp14:editId="480F4EE3">
            <wp:extent cx="5943600" cy="39157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1_VI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CFE44" w14:textId="6285B9B9" w:rsidR="003A19CB" w:rsidRDefault="00F857C4">
      <w:r>
        <w:t>Each QCT-derived parameter was entered separately into a fully adjusted model together with the prespecified covariates. The dashed vertical line indicates the VIF threshold of 5. All VIF values were &lt;5.</w:t>
      </w:r>
    </w:p>
    <w:p w14:paraId="6FA32ADA" w14:textId="77777777" w:rsidR="003A19CB" w:rsidRDefault="0090714E">
      <w:pPr>
        <w:rPr>
          <w:rFonts w:eastAsia="宋体"/>
          <w:b/>
          <w:lang w:eastAsia="zh-CN"/>
        </w:rPr>
      </w:pPr>
      <w:r>
        <w:rPr>
          <w:b/>
        </w:rPr>
        <w:t>Supplementary Table S1 Model-specific variance inflation factors in fully adjusted models</w:t>
      </w:r>
    </w:p>
    <w:p w14:paraId="6F39DDDC" w14:textId="77777777" w:rsidR="000A115E" w:rsidRPr="000A115E" w:rsidRDefault="000A115E">
      <w:pPr>
        <w:rPr>
          <w:rFonts w:eastAsia="宋体"/>
          <w:lang w:eastAsia="zh-CN"/>
        </w:rPr>
      </w:pPr>
    </w:p>
    <w:tbl>
      <w:tblPr>
        <w:tblStyle w:val="aff1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A19CB" w:rsidRPr="002C6942" w14:paraId="41303C77" w14:textId="77777777" w:rsidTr="000A115E">
        <w:trPr>
          <w:cantSplit/>
          <w:tblHeader/>
          <w:jc w:val="center"/>
        </w:trPr>
        <w:tc>
          <w:tcPr>
            <w:tcW w:w="3120" w:type="dxa"/>
            <w:tcBorders>
              <w:top w:val="single" w:sz="8" w:space="0" w:color="auto"/>
              <w:bottom w:val="single" w:sz="4" w:space="0" w:color="auto"/>
            </w:tcBorders>
          </w:tcPr>
          <w:p w14:paraId="61AFD738" w14:textId="77777777" w:rsidR="003A19CB" w:rsidRPr="002C6942" w:rsidRDefault="0090714E">
            <w:pPr>
              <w:spacing w:after="0"/>
              <w:rPr>
                <w:b/>
                <w:bCs/>
              </w:rPr>
            </w:pPr>
            <w:r w:rsidRPr="002C6942">
              <w:rPr>
                <w:b/>
                <w:bCs/>
                <w:sz w:val="21"/>
              </w:rPr>
              <w:lastRenderedPageBreak/>
              <w:t>QCT-derived parameter</w:t>
            </w:r>
          </w:p>
        </w:tc>
        <w:tc>
          <w:tcPr>
            <w:tcW w:w="3120" w:type="dxa"/>
            <w:tcBorders>
              <w:top w:val="single" w:sz="8" w:space="0" w:color="auto"/>
              <w:bottom w:val="single" w:sz="4" w:space="0" w:color="auto"/>
            </w:tcBorders>
          </w:tcPr>
          <w:p w14:paraId="31E05A15" w14:textId="77777777" w:rsidR="003A19CB" w:rsidRPr="002C6942" w:rsidRDefault="0090714E">
            <w:pPr>
              <w:spacing w:after="0"/>
              <w:rPr>
                <w:b/>
                <w:bCs/>
              </w:rPr>
            </w:pPr>
            <w:r w:rsidRPr="002C6942">
              <w:rPr>
                <w:b/>
                <w:bCs/>
                <w:sz w:val="21"/>
              </w:rPr>
              <w:t>Tolerance for QCT-derived parameter</w:t>
            </w:r>
          </w:p>
        </w:tc>
        <w:tc>
          <w:tcPr>
            <w:tcW w:w="3120" w:type="dxa"/>
            <w:tcBorders>
              <w:top w:val="single" w:sz="8" w:space="0" w:color="auto"/>
              <w:bottom w:val="single" w:sz="4" w:space="0" w:color="auto"/>
            </w:tcBorders>
          </w:tcPr>
          <w:p w14:paraId="06ECB033" w14:textId="77777777" w:rsidR="003A19CB" w:rsidRPr="002C6942" w:rsidRDefault="0090714E">
            <w:pPr>
              <w:spacing w:after="0"/>
              <w:rPr>
                <w:b/>
                <w:bCs/>
              </w:rPr>
            </w:pPr>
            <w:r w:rsidRPr="002C6942">
              <w:rPr>
                <w:b/>
                <w:bCs/>
                <w:sz w:val="21"/>
              </w:rPr>
              <w:t>VIF for QCT-derived parameter</w:t>
            </w:r>
          </w:p>
        </w:tc>
      </w:tr>
      <w:tr w:rsidR="003A19CB" w14:paraId="6198CF8F" w14:textId="77777777" w:rsidTr="000A115E">
        <w:trPr>
          <w:cantSplit/>
          <w:jc w:val="center"/>
        </w:trPr>
        <w:tc>
          <w:tcPr>
            <w:tcW w:w="3120" w:type="dxa"/>
            <w:tcBorders>
              <w:top w:val="single" w:sz="4" w:space="0" w:color="auto"/>
            </w:tcBorders>
          </w:tcPr>
          <w:p w14:paraId="728C73F3" w14:textId="77777777" w:rsidR="003A19CB" w:rsidRDefault="0090714E">
            <w:pPr>
              <w:spacing w:after="0"/>
            </w:pPr>
            <w:r>
              <w:rPr>
                <w:sz w:val="21"/>
              </w:rPr>
              <w:t>VFA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11491F80" w14:textId="77777777" w:rsidR="003A19CB" w:rsidRDefault="0090714E">
            <w:pPr>
              <w:spacing w:after="0"/>
            </w:pPr>
            <w:r>
              <w:rPr>
                <w:sz w:val="21"/>
              </w:rPr>
              <w:t>0.474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3D4A2C78" w14:textId="77777777" w:rsidR="003A19CB" w:rsidRDefault="0090714E">
            <w:pPr>
              <w:spacing w:after="0"/>
            </w:pPr>
            <w:r>
              <w:rPr>
                <w:sz w:val="21"/>
              </w:rPr>
              <w:t>2.109</w:t>
            </w:r>
          </w:p>
        </w:tc>
      </w:tr>
      <w:tr w:rsidR="003A19CB" w14:paraId="7205EB2B" w14:textId="77777777" w:rsidTr="000A115E">
        <w:trPr>
          <w:cantSplit/>
          <w:jc w:val="center"/>
        </w:trPr>
        <w:tc>
          <w:tcPr>
            <w:tcW w:w="3120" w:type="dxa"/>
          </w:tcPr>
          <w:p w14:paraId="3E5F843B" w14:textId="77777777" w:rsidR="003A19CB" w:rsidRDefault="0090714E">
            <w:pPr>
              <w:spacing w:after="0"/>
            </w:pPr>
            <w:r>
              <w:rPr>
                <w:sz w:val="21"/>
              </w:rPr>
              <w:t>SFA</w:t>
            </w:r>
          </w:p>
        </w:tc>
        <w:tc>
          <w:tcPr>
            <w:tcW w:w="3120" w:type="dxa"/>
          </w:tcPr>
          <w:p w14:paraId="716098C2" w14:textId="77777777" w:rsidR="003A19CB" w:rsidRDefault="0090714E">
            <w:pPr>
              <w:spacing w:after="0"/>
            </w:pPr>
            <w:r>
              <w:rPr>
                <w:sz w:val="21"/>
              </w:rPr>
              <w:t>0.446</w:t>
            </w:r>
          </w:p>
        </w:tc>
        <w:tc>
          <w:tcPr>
            <w:tcW w:w="3120" w:type="dxa"/>
          </w:tcPr>
          <w:p w14:paraId="21D135B3" w14:textId="77777777" w:rsidR="003A19CB" w:rsidRDefault="0090714E">
            <w:pPr>
              <w:spacing w:after="0"/>
            </w:pPr>
            <w:r>
              <w:rPr>
                <w:sz w:val="21"/>
              </w:rPr>
              <w:t>2.243</w:t>
            </w:r>
          </w:p>
        </w:tc>
      </w:tr>
      <w:tr w:rsidR="003A19CB" w14:paraId="028E5D71" w14:textId="77777777" w:rsidTr="000A115E">
        <w:trPr>
          <w:cantSplit/>
          <w:jc w:val="center"/>
        </w:trPr>
        <w:tc>
          <w:tcPr>
            <w:tcW w:w="3120" w:type="dxa"/>
          </w:tcPr>
          <w:p w14:paraId="681BB3F9" w14:textId="77777777" w:rsidR="003A19CB" w:rsidRDefault="0090714E">
            <w:pPr>
              <w:spacing w:after="0"/>
            </w:pPr>
            <w:r>
              <w:rPr>
                <w:sz w:val="21"/>
              </w:rPr>
              <w:t>V/S ratio</w:t>
            </w:r>
          </w:p>
        </w:tc>
        <w:tc>
          <w:tcPr>
            <w:tcW w:w="3120" w:type="dxa"/>
          </w:tcPr>
          <w:p w14:paraId="09D45245" w14:textId="77777777" w:rsidR="003A19CB" w:rsidRDefault="0090714E">
            <w:pPr>
              <w:spacing w:after="0"/>
            </w:pPr>
            <w:r>
              <w:rPr>
                <w:sz w:val="21"/>
              </w:rPr>
              <w:t>0.689</w:t>
            </w:r>
          </w:p>
        </w:tc>
        <w:tc>
          <w:tcPr>
            <w:tcW w:w="3120" w:type="dxa"/>
          </w:tcPr>
          <w:p w14:paraId="3164C961" w14:textId="77777777" w:rsidR="003A19CB" w:rsidRDefault="0090714E">
            <w:pPr>
              <w:spacing w:after="0"/>
            </w:pPr>
            <w:r>
              <w:rPr>
                <w:sz w:val="21"/>
              </w:rPr>
              <w:t>1.451</w:t>
            </w:r>
          </w:p>
        </w:tc>
      </w:tr>
      <w:tr w:rsidR="003A19CB" w14:paraId="453254ED" w14:textId="77777777" w:rsidTr="000A115E">
        <w:trPr>
          <w:cantSplit/>
          <w:jc w:val="center"/>
        </w:trPr>
        <w:tc>
          <w:tcPr>
            <w:tcW w:w="3120" w:type="dxa"/>
          </w:tcPr>
          <w:p w14:paraId="2AA36B4E" w14:textId="77777777" w:rsidR="003A19CB" w:rsidRDefault="0090714E">
            <w:pPr>
              <w:spacing w:after="0"/>
            </w:pPr>
            <w:r>
              <w:rPr>
                <w:sz w:val="21"/>
              </w:rPr>
              <w:t>IMAT</w:t>
            </w:r>
          </w:p>
        </w:tc>
        <w:tc>
          <w:tcPr>
            <w:tcW w:w="3120" w:type="dxa"/>
          </w:tcPr>
          <w:p w14:paraId="5A584C1B" w14:textId="77777777" w:rsidR="003A19CB" w:rsidRDefault="0090714E">
            <w:pPr>
              <w:spacing w:after="0"/>
            </w:pPr>
            <w:r>
              <w:rPr>
                <w:sz w:val="21"/>
              </w:rPr>
              <w:t>0.782</w:t>
            </w:r>
          </w:p>
        </w:tc>
        <w:tc>
          <w:tcPr>
            <w:tcW w:w="3120" w:type="dxa"/>
          </w:tcPr>
          <w:p w14:paraId="086C7E34" w14:textId="77777777" w:rsidR="003A19CB" w:rsidRDefault="0090714E">
            <w:pPr>
              <w:spacing w:after="0"/>
            </w:pPr>
            <w:r>
              <w:rPr>
                <w:sz w:val="21"/>
              </w:rPr>
              <w:t>1.279</w:t>
            </w:r>
          </w:p>
        </w:tc>
      </w:tr>
      <w:tr w:rsidR="003A19CB" w14:paraId="1B79DDFE" w14:textId="77777777" w:rsidTr="000A115E">
        <w:trPr>
          <w:cantSplit/>
          <w:jc w:val="center"/>
        </w:trPr>
        <w:tc>
          <w:tcPr>
            <w:tcW w:w="3120" w:type="dxa"/>
          </w:tcPr>
          <w:p w14:paraId="36F0DF3D" w14:textId="77777777" w:rsidR="003A19CB" w:rsidRDefault="0090714E">
            <w:pPr>
              <w:spacing w:after="0"/>
            </w:pPr>
            <w:r>
              <w:rPr>
                <w:sz w:val="21"/>
              </w:rPr>
              <w:t>SMA-L3</w:t>
            </w:r>
          </w:p>
        </w:tc>
        <w:tc>
          <w:tcPr>
            <w:tcW w:w="3120" w:type="dxa"/>
          </w:tcPr>
          <w:p w14:paraId="51B10A84" w14:textId="77777777" w:rsidR="003A19CB" w:rsidRDefault="0090714E">
            <w:pPr>
              <w:spacing w:after="0"/>
            </w:pPr>
            <w:r>
              <w:rPr>
                <w:sz w:val="21"/>
              </w:rPr>
              <w:t>0.268</w:t>
            </w:r>
          </w:p>
        </w:tc>
        <w:tc>
          <w:tcPr>
            <w:tcW w:w="3120" w:type="dxa"/>
          </w:tcPr>
          <w:p w14:paraId="0FED3E40" w14:textId="77777777" w:rsidR="003A19CB" w:rsidRDefault="0090714E">
            <w:pPr>
              <w:spacing w:after="0"/>
            </w:pPr>
            <w:r>
              <w:rPr>
                <w:sz w:val="21"/>
              </w:rPr>
              <w:t>3.738</w:t>
            </w:r>
          </w:p>
        </w:tc>
      </w:tr>
      <w:tr w:rsidR="003A19CB" w14:paraId="0B3774F1" w14:textId="77777777" w:rsidTr="000A115E">
        <w:trPr>
          <w:cantSplit/>
          <w:jc w:val="center"/>
        </w:trPr>
        <w:tc>
          <w:tcPr>
            <w:tcW w:w="3120" w:type="dxa"/>
          </w:tcPr>
          <w:p w14:paraId="2D460A5A" w14:textId="77777777" w:rsidR="003A19CB" w:rsidRDefault="0090714E">
            <w:pPr>
              <w:spacing w:after="0"/>
            </w:pPr>
            <w:r>
              <w:rPr>
                <w:sz w:val="21"/>
              </w:rPr>
              <w:t>SMI-L3</w:t>
            </w:r>
          </w:p>
        </w:tc>
        <w:tc>
          <w:tcPr>
            <w:tcW w:w="3120" w:type="dxa"/>
          </w:tcPr>
          <w:p w14:paraId="7307F78F" w14:textId="77777777" w:rsidR="003A19CB" w:rsidRDefault="0090714E">
            <w:pPr>
              <w:spacing w:after="0"/>
            </w:pPr>
            <w:r>
              <w:rPr>
                <w:sz w:val="21"/>
              </w:rPr>
              <w:t>0.356</w:t>
            </w:r>
          </w:p>
        </w:tc>
        <w:tc>
          <w:tcPr>
            <w:tcW w:w="3120" w:type="dxa"/>
          </w:tcPr>
          <w:p w14:paraId="13B11320" w14:textId="77777777" w:rsidR="003A19CB" w:rsidRDefault="0090714E">
            <w:pPr>
              <w:spacing w:after="0"/>
            </w:pPr>
            <w:r>
              <w:rPr>
                <w:sz w:val="21"/>
              </w:rPr>
              <w:t>2.806</w:t>
            </w:r>
          </w:p>
        </w:tc>
      </w:tr>
      <w:tr w:rsidR="003A19CB" w14:paraId="7349B2FC" w14:textId="77777777" w:rsidTr="000A115E">
        <w:trPr>
          <w:cantSplit/>
          <w:jc w:val="center"/>
        </w:trPr>
        <w:tc>
          <w:tcPr>
            <w:tcW w:w="3120" w:type="dxa"/>
          </w:tcPr>
          <w:p w14:paraId="698DEB82" w14:textId="77777777" w:rsidR="003A19CB" w:rsidRDefault="0090714E">
            <w:pPr>
              <w:spacing w:after="0"/>
            </w:pPr>
            <w:r>
              <w:rPr>
                <w:sz w:val="21"/>
              </w:rPr>
              <w:t>Liver fat content</w:t>
            </w:r>
          </w:p>
        </w:tc>
        <w:tc>
          <w:tcPr>
            <w:tcW w:w="3120" w:type="dxa"/>
          </w:tcPr>
          <w:p w14:paraId="0490CFA5" w14:textId="77777777" w:rsidR="003A19CB" w:rsidRDefault="0090714E">
            <w:pPr>
              <w:spacing w:after="0"/>
            </w:pPr>
            <w:r>
              <w:rPr>
                <w:sz w:val="21"/>
              </w:rPr>
              <w:t>0.843</w:t>
            </w:r>
          </w:p>
        </w:tc>
        <w:tc>
          <w:tcPr>
            <w:tcW w:w="3120" w:type="dxa"/>
          </w:tcPr>
          <w:p w14:paraId="427A9242" w14:textId="77777777" w:rsidR="003A19CB" w:rsidRDefault="0090714E">
            <w:pPr>
              <w:spacing w:after="0"/>
            </w:pPr>
            <w:r>
              <w:rPr>
                <w:sz w:val="21"/>
              </w:rPr>
              <w:t>1.187</w:t>
            </w:r>
          </w:p>
        </w:tc>
      </w:tr>
      <w:tr w:rsidR="003A19CB" w14:paraId="36EE869E" w14:textId="77777777" w:rsidTr="000A115E">
        <w:trPr>
          <w:cantSplit/>
          <w:jc w:val="center"/>
        </w:trPr>
        <w:tc>
          <w:tcPr>
            <w:tcW w:w="3120" w:type="dxa"/>
          </w:tcPr>
          <w:p w14:paraId="6D64528C" w14:textId="77777777" w:rsidR="003A19CB" w:rsidRDefault="0090714E">
            <w:pPr>
              <w:spacing w:after="0"/>
            </w:pPr>
            <w:r>
              <w:rPr>
                <w:sz w:val="21"/>
              </w:rPr>
              <w:t>Mean pancreatic fat content</w:t>
            </w:r>
          </w:p>
        </w:tc>
        <w:tc>
          <w:tcPr>
            <w:tcW w:w="3120" w:type="dxa"/>
          </w:tcPr>
          <w:p w14:paraId="3CBFBF5E" w14:textId="77777777" w:rsidR="003A19CB" w:rsidRDefault="0090714E">
            <w:pPr>
              <w:spacing w:after="0"/>
            </w:pPr>
            <w:r>
              <w:rPr>
                <w:sz w:val="21"/>
              </w:rPr>
              <w:t>0.907</w:t>
            </w:r>
          </w:p>
        </w:tc>
        <w:tc>
          <w:tcPr>
            <w:tcW w:w="3120" w:type="dxa"/>
          </w:tcPr>
          <w:p w14:paraId="231D5264" w14:textId="77777777" w:rsidR="003A19CB" w:rsidRDefault="0090714E">
            <w:pPr>
              <w:spacing w:after="0"/>
            </w:pPr>
            <w:r>
              <w:rPr>
                <w:sz w:val="21"/>
              </w:rPr>
              <w:t>1.103</w:t>
            </w:r>
          </w:p>
        </w:tc>
      </w:tr>
      <w:tr w:rsidR="003A19CB" w14:paraId="4A377DFA" w14:textId="77777777" w:rsidTr="000A115E">
        <w:trPr>
          <w:cantSplit/>
          <w:jc w:val="center"/>
        </w:trPr>
        <w:tc>
          <w:tcPr>
            <w:tcW w:w="3120" w:type="dxa"/>
          </w:tcPr>
          <w:p w14:paraId="77AF2F64" w14:textId="77777777" w:rsidR="003A19CB" w:rsidRDefault="0090714E">
            <w:pPr>
              <w:spacing w:after="0"/>
            </w:pPr>
            <w:r>
              <w:rPr>
                <w:sz w:val="21"/>
              </w:rPr>
              <w:t>L1–L2 vBMD</w:t>
            </w:r>
          </w:p>
        </w:tc>
        <w:tc>
          <w:tcPr>
            <w:tcW w:w="3120" w:type="dxa"/>
          </w:tcPr>
          <w:p w14:paraId="16BA00EC" w14:textId="77777777" w:rsidR="003A19CB" w:rsidRDefault="0090714E">
            <w:pPr>
              <w:spacing w:after="0"/>
            </w:pPr>
            <w:r>
              <w:rPr>
                <w:sz w:val="21"/>
              </w:rPr>
              <w:t>0.589</w:t>
            </w:r>
          </w:p>
        </w:tc>
        <w:tc>
          <w:tcPr>
            <w:tcW w:w="3120" w:type="dxa"/>
          </w:tcPr>
          <w:p w14:paraId="78C21F4B" w14:textId="77777777" w:rsidR="003A19CB" w:rsidRDefault="0090714E">
            <w:pPr>
              <w:spacing w:after="0"/>
            </w:pPr>
            <w:r>
              <w:rPr>
                <w:sz w:val="21"/>
              </w:rPr>
              <w:t>1.698</w:t>
            </w:r>
          </w:p>
        </w:tc>
      </w:tr>
    </w:tbl>
    <w:p w14:paraId="01B7C20B" w14:textId="77777777" w:rsidR="00AB0545" w:rsidRDefault="00AB0545" w:rsidP="00AB0545">
      <w:r w:rsidRPr="00A345E2">
        <w:rPr>
          <w:b/>
          <w:bCs/>
        </w:rPr>
        <w:t>Note:</w:t>
      </w:r>
      <w:r>
        <w:t xml:space="preserve"> Values represent model-specific collinearity diagnostics. Each QCT-derived parameter was entered separately into a fully adjusted logistic regression model together with age, sex, BMI, and diabetes duration. Tolerance and VIF values shown in the table refer to the QCT-derived parameter in each corresponding model. A VIF value &lt;5 was considered to indicate no substantial multicollinearity.</w:t>
      </w:r>
    </w:p>
    <w:p w14:paraId="72FC6783" w14:textId="60E7F30A" w:rsidR="003A19CB" w:rsidRDefault="00AB0545">
      <w:pPr>
        <w:rPr>
          <w:rFonts w:eastAsia="宋体"/>
          <w:lang w:eastAsia="zh-CN"/>
        </w:rPr>
      </w:pPr>
      <w:r w:rsidRPr="00A345E2">
        <w:rPr>
          <w:b/>
          <w:bCs/>
        </w:rPr>
        <w:t>Abbreviations:</w:t>
      </w:r>
      <w:r>
        <w:t xml:space="preserve"> QCT, quantitative computed tomography; VIF, variance inflation factor; BMI, body mass index; VFA, visceral fat area; SFA, subcutaneous fat area; V/S ratio, visceral-to-subcutaneous fat area ratio; IMAT, intermuscular adipose tissue; SMA-L3, skeletal muscle area at the third lumbar vertebra; SMI-L3, skeletal muscle index at the third lumbar vertebra; vBMD, volumetric bone mineral density</w:t>
      </w:r>
      <w:r w:rsidR="0090714E">
        <w:t>.</w:t>
      </w:r>
    </w:p>
    <w:p w14:paraId="5B7D9B88" w14:textId="0FFD5F48" w:rsidR="001422E8" w:rsidRPr="00A345E2" w:rsidRDefault="005164BC">
      <w:pPr>
        <w:rPr>
          <w:rFonts w:eastAsia="宋体"/>
          <w:b/>
          <w:bCs/>
          <w:lang w:eastAsia="zh-CN"/>
        </w:rPr>
      </w:pPr>
      <w:r w:rsidRPr="00A345E2">
        <w:rPr>
          <w:rFonts w:eastAsia="宋体"/>
          <w:b/>
          <w:bCs/>
          <w:lang w:eastAsia="zh-CN"/>
        </w:rPr>
        <w:t>Supplementary Table S2. Antidiabetic medication use according to HOMA-IR tertiles in the final analyzed cohort</w:t>
      </w:r>
    </w:p>
    <w:p w14:paraId="1B23B116" w14:textId="77777777" w:rsidR="001422E8" w:rsidRDefault="001422E8">
      <w:pPr>
        <w:rPr>
          <w:rFonts w:eastAsia="宋体"/>
          <w:lang w:eastAsia="zh-CN"/>
        </w:rPr>
      </w:pPr>
    </w:p>
    <w:tbl>
      <w:tblPr>
        <w:tblW w:w="4986" w:type="pct"/>
        <w:jc w:val="center"/>
        <w:tblLook w:val="04A0" w:firstRow="1" w:lastRow="0" w:firstColumn="1" w:lastColumn="0" w:noHBand="0" w:noVBand="1"/>
      </w:tblPr>
      <w:tblGrid>
        <w:gridCol w:w="1911"/>
        <w:gridCol w:w="1679"/>
        <w:gridCol w:w="1713"/>
        <w:gridCol w:w="1692"/>
        <w:gridCol w:w="1753"/>
        <w:gridCol w:w="705"/>
      </w:tblGrid>
      <w:tr w:rsidR="00A345E2" w:rsidRPr="009648CC" w14:paraId="43F9A2C9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6D51B4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E4129A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01" w:type="pct"/>
            <w:gridSpan w:val="4"/>
            <w:tcBorders>
              <w:top w:val="single" w:sz="8" w:space="0" w:color="000000"/>
              <w:left w:val="nil"/>
              <w:bottom w:val="single" w:sz="8" w:space="0" w:color="80808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AA57DE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HOMA-IR</w:t>
            </w:r>
          </w:p>
        </w:tc>
      </w:tr>
      <w:tr w:rsidR="00A345E2" w:rsidRPr="009648CC" w14:paraId="699C4BF5" w14:textId="77777777" w:rsidTr="008F731E">
        <w:trPr>
          <w:trHeight w:val="408"/>
          <w:jc w:val="center"/>
        </w:trPr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6C944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C42425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AB959B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Low</w:t>
            </w:r>
            <w:r w:rsidRPr="009648CC">
              <w:rPr>
                <w:rFonts w:cs="Times New Roman"/>
                <w:b/>
                <w:sz w:val="18"/>
                <w:szCs w:val="18"/>
              </w:rPr>
              <w:br/>
              <w:t>(≤1.89)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971FF1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Middle</w:t>
            </w:r>
            <w:r w:rsidRPr="009648CC">
              <w:rPr>
                <w:rFonts w:cs="Times New Roman"/>
                <w:b/>
                <w:sz w:val="18"/>
                <w:szCs w:val="18"/>
              </w:rPr>
              <w:br/>
              <w:t>(1.90–3.95)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B14913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High</w:t>
            </w:r>
            <w:r w:rsidRPr="009648CC">
              <w:rPr>
                <w:rFonts w:cs="Times New Roman"/>
                <w:b/>
                <w:sz w:val="18"/>
                <w:szCs w:val="18"/>
              </w:rPr>
              <w:br/>
              <w:t>(&gt;3.95)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4D46A8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A345E2" w:rsidRPr="009648CC" w14:paraId="2D8A00F7" w14:textId="77777777" w:rsidTr="008F731E">
        <w:trPr>
          <w:trHeight w:val="210"/>
          <w:jc w:val="center"/>
        </w:trPr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1AE74D" w14:textId="77777777" w:rsidR="00A345E2" w:rsidRPr="009648CC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9A5E02">
              <w:rPr>
                <w:rFonts w:cs="Times New Roman"/>
                <w:b/>
                <w:bCs/>
                <w:sz w:val="18"/>
                <w:szCs w:val="18"/>
              </w:rPr>
              <w:t>Medication category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2831AB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N = 245</w:t>
            </w: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06258A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n = 82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DB16B8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n = 81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366CA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648CC">
              <w:rPr>
                <w:rFonts w:cs="Times New Roman"/>
                <w:b/>
                <w:sz w:val="18"/>
                <w:szCs w:val="18"/>
              </w:rPr>
              <w:t>n = 82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8B13F8" w14:textId="77777777" w:rsidR="00A345E2" w:rsidRPr="009648CC" w:rsidRDefault="00A345E2" w:rsidP="008F731E">
            <w:pPr>
              <w:spacing w:line="240" w:lineRule="auto"/>
              <w:jc w:val="center"/>
              <w:rPr>
                <w:rFonts w:cs="Times New Roman"/>
                <w:iCs/>
                <w:sz w:val="18"/>
                <w:szCs w:val="18"/>
              </w:rPr>
            </w:pPr>
            <w:r w:rsidRPr="009648CC">
              <w:rPr>
                <w:rFonts w:cs="Times New Roman"/>
                <w:b/>
                <w:i/>
                <w:sz w:val="18"/>
                <w:szCs w:val="18"/>
                <w:lang w:eastAsia="zh-CN"/>
              </w:rPr>
              <w:t>P</w:t>
            </w:r>
            <w:r w:rsidRPr="009648CC">
              <w:rPr>
                <w:rFonts w:cs="Times New Roman"/>
                <w:b/>
                <w:iCs/>
                <w:sz w:val="18"/>
                <w:szCs w:val="18"/>
                <w:lang w:eastAsia="zh-CN"/>
              </w:rPr>
              <w:t xml:space="preserve"> value</w:t>
            </w:r>
          </w:p>
        </w:tc>
      </w:tr>
      <w:tr w:rsidR="00A345E2" w:rsidRPr="009648CC" w14:paraId="43FE16B4" w14:textId="77777777" w:rsidTr="008F731E">
        <w:trPr>
          <w:jc w:val="center"/>
        </w:trPr>
        <w:tc>
          <w:tcPr>
            <w:tcW w:w="101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53BE8D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Metformin</w:t>
            </w:r>
          </w:p>
        </w:tc>
        <w:tc>
          <w:tcPr>
            <w:tcW w:w="8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C1F142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176 (71.8)</w:t>
            </w:r>
          </w:p>
        </w:tc>
        <w:tc>
          <w:tcPr>
            <w:tcW w:w="90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510FC7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59 (72.0)</w:t>
            </w:r>
          </w:p>
        </w:tc>
        <w:tc>
          <w:tcPr>
            <w:tcW w:w="8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D6EB83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58 (71.6)</w:t>
            </w:r>
          </w:p>
        </w:tc>
        <w:tc>
          <w:tcPr>
            <w:tcW w:w="9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15BD1F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59 (72.0)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53639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0.998</w:t>
            </w:r>
          </w:p>
        </w:tc>
      </w:tr>
      <w:tr w:rsidR="00A345E2" w:rsidRPr="009648CC" w14:paraId="62084B34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9C3BF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Basal insulin therapy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972D62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124 (50.6)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B4EEE1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53 (64.6)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D0542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36 (44.4)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F6E73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35 (42.7)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3CF177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0.008</w:t>
            </w:r>
          </w:p>
        </w:tc>
      </w:tr>
      <w:tr w:rsidR="00A345E2" w:rsidRPr="009648CC" w14:paraId="1B28D297" w14:textId="77777777" w:rsidTr="008F731E">
        <w:trPr>
          <w:trHeight w:val="408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39F616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α-glucosidase inhibitor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28EEC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132 (53.9)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1C0FD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59 (72.0)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6567CC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  <w:lang w:eastAsia="zh-CN"/>
              </w:rPr>
            </w:pPr>
            <w:r w:rsidRPr="005129E0">
              <w:rPr>
                <w:rFonts w:cs="Times New Roman"/>
                <w:sz w:val="18"/>
                <w:szCs w:val="18"/>
              </w:rPr>
              <w:t>43 (53.1)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BFEAA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30 (36.6)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75757C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&lt;0.001</w:t>
            </w:r>
          </w:p>
        </w:tc>
      </w:tr>
      <w:tr w:rsidR="00A345E2" w:rsidRPr="009648CC" w14:paraId="5DE1CB18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3BBB5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DPP-4 inhibitor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E4C1DA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55 (22.4)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DC3C1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17 (20.7)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7B8ABE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20 (24.7)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868DBD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18 (22.0)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86906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0.825</w:t>
            </w:r>
          </w:p>
        </w:tc>
      </w:tr>
      <w:tr w:rsidR="00A345E2" w:rsidRPr="009648CC" w14:paraId="1F74CA6D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392F3C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GLP-1 receptor agonist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5F0A1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7D368B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2351B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DC3901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83C04A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—</w:t>
            </w:r>
          </w:p>
        </w:tc>
      </w:tr>
      <w:tr w:rsidR="00A345E2" w:rsidRPr="009648CC" w14:paraId="76B8D462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866EAB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SGLT2 inhibitor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0835D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CC808B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6C34B3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EBFEC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5952E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—</w:t>
            </w:r>
          </w:p>
        </w:tc>
      </w:tr>
      <w:tr w:rsidR="00A345E2" w:rsidRPr="009648CC" w14:paraId="17E36415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B8A92A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Thiazolidinedione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3E89F2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3EF304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FD9BB8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4BD5AF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516D85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—</w:t>
            </w:r>
          </w:p>
        </w:tc>
      </w:tr>
      <w:tr w:rsidR="00A345E2" w:rsidRPr="009648CC" w14:paraId="65F5D5B0" w14:textId="77777777" w:rsidTr="008F731E">
        <w:trPr>
          <w:trHeight w:val="232"/>
          <w:jc w:val="center"/>
        </w:trPr>
        <w:tc>
          <w:tcPr>
            <w:tcW w:w="1011" w:type="pct"/>
            <w:tcBorders>
              <w:top w:val="nil"/>
              <w:left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83282A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Glinide</w:t>
            </w:r>
          </w:p>
        </w:tc>
        <w:tc>
          <w:tcPr>
            <w:tcW w:w="888" w:type="pct"/>
            <w:tcBorders>
              <w:top w:val="nil"/>
              <w:left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A87F05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906" w:type="pct"/>
            <w:tcBorders>
              <w:top w:val="nil"/>
              <w:left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1D994A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1 (1.2)</w:t>
            </w:r>
          </w:p>
        </w:tc>
        <w:tc>
          <w:tcPr>
            <w:tcW w:w="895" w:type="pct"/>
            <w:tcBorders>
              <w:top w:val="nil"/>
              <w:left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8E87BF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FA7863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E94B2D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—</w:t>
            </w:r>
          </w:p>
        </w:tc>
      </w:tr>
      <w:tr w:rsidR="00A345E2" w:rsidRPr="009648CC" w14:paraId="7F4921E1" w14:textId="77777777" w:rsidTr="008F731E">
        <w:trPr>
          <w:trHeight w:val="408"/>
          <w:jc w:val="center"/>
        </w:trPr>
        <w:tc>
          <w:tcPr>
            <w:tcW w:w="1011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3A0B3" w14:textId="77777777" w:rsidR="00A345E2" w:rsidRPr="005129E0" w:rsidRDefault="00A345E2" w:rsidP="008F731E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Sulfonylurea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8ABC0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B1AB7C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C7981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E3251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0 (0.0)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FD08D8" w14:textId="77777777" w:rsidR="00A345E2" w:rsidRPr="005129E0" w:rsidRDefault="00A345E2" w:rsidP="008F731E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5129E0">
              <w:rPr>
                <w:rFonts w:cs="Times New Roman"/>
                <w:sz w:val="18"/>
                <w:szCs w:val="18"/>
              </w:rPr>
              <w:t>—</w:t>
            </w:r>
          </w:p>
        </w:tc>
      </w:tr>
    </w:tbl>
    <w:p w14:paraId="4953B338" w14:textId="77777777" w:rsidR="004879C2" w:rsidRPr="00A345E2" w:rsidRDefault="004879C2" w:rsidP="004879C2">
      <w:pPr>
        <w:rPr>
          <w:rFonts w:eastAsia="宋体"/>
          <w:lang w:eastAsia="zh-CN"/>
        </w:rPr>
      </w:pPr>
      <w:r w:rsidRPr="00A345E2">
        <w:rPr>
          <w:rFonts w:eastAsia="宋体"/>
          <w:b/>
          <w:bCs/>
          <w:lang w:eastAsia="zh-CN"/>
        </w:rPr>
        <w:t>Note:</w:t>
      </w:r>
      <w:r w:rsidRPr="00A345E2">
        <w:rPr>
          <w:rFonts w:eastAsia="宋体"/>
          <w:lang w:eastAsia="zh-CN"/>
        </w:rPr>
        <w:t xml:space="preserve"> Data are presented as n (%). Percentages were calculated within each HOMA-IR tertile. Medication use was recorded from the electronic medical records at the time of QCT examination. Medication categories were not mutually exclusive. P values were calculated using the chi-square test or Fisher’s exact test, as appropriate. P values were not shown for medication classes with no users or extremely sparse events.</w:t>
      </w:r>
    </w:p>
    <w:p w14:paraId="5190D919" w14:textId="2B0F40EA" w:rsidR="00A345E2" w:rsidRDefault="004879C2" w:rsidP="004879C2">
      <w:pPr>
        <w:rPr>
          <w:rFonts w:eastAsia="宋体"/>
          <w:lang w:eastAsia="zh-CN"/>
        </w:rPr>
      </w:pPr>
      <w:r w:rsidRPr="00A345E2">
        <w:rPr>
          <w:rFonts w:eastAsia="宋体"/>
          <w:b/>
          <w:bCs/>
          <w:lang w:eastAsia="zh-CN"/>
        </w:rPr>
        <w:t>Abbreviations:</w:t>
      </w:r>
      <w:r w:rsidRPr="00A345E2">
        <w:rPr>
          <w:rFonts w:eastAsia="宋体"/>
          <w:lang w:eastAsia="zh-CN"/>
        </w:rPr>
        <w:t xml:space="preserve"> DPP-4, dipeptidyl peptidase-4; GLP-1, glucagon-like peptide-1; HOMA-IR, homeostasis model assessment of insulin resistance; QCT, quantitative computed tomography; SGLT2, sodium-glucose cotransporter 2</w:t>
      </w:r>
      <w:r w:rsidR="00A345E2" w:rsidRPr="00A345E2">
        <w:rPr>
          <w:rFonts w:eastAsia="宋体"/>
          <w:lang w:eastAsia="zh-CN"/>
        </w:rPr>
        <w:t>.</w:t>
      </w:r>
    </w:p>
    <w:p w14:paraId="77ADF8DB" w14:textId="46531B5F" w:rsidR="00D970CA" w:rsidRDefault="001B4C18" w:rsidP="00D970CA">
      <w:pPr>
        <w:rPr>
          <w:rFonts w:eastAsia="宋体"/>
          <w:b/>
          <w:bCs/>
          <w:lang w:eastAsia="zh-CN"/>
        </w:rPr>
      </w:pPr>
      <w:r w:rsidRPr="00D970CA">
        <w:rPr>
          <w:rFonts w:eastAsia="宋体"/>
          <w:b/>
          <w:bCs/>
          <w:lang w:eastAsia="zh-CN"/>
        </w:rPr>
        <w:t>Supplementary Table S3. Sensitivity analysis excluding patients receiving basal insulin therapy</w:t>
      </w:r>
    </w:p>
    <w:p w14:paraId="127845EB" w14:textId="77777777" w:rsidR="00D970CA" w:rsidRDefault="00D970CA" w:rsidP="00D970CA">
      <w:pPr>
        <w:rPr>
          <w:rFonts w:eastAsia="宋体"/>
          <w:b/>
          <w:bCs/>
          <w:lang w:eastAsia="zh-CN"/>
        </w:rPr>
      </w:pPr>
    </w:p>
    <w:p w14:paraId="4357BCBF" w14:textId="77777777" w:rsidR="001B4C18" w:rsidRPr="00D970CA" w:rsidRDefault="001B4C18" w:rsidP="00D970CA">
      <w:pPr>
        <w:rPr>
          <w:rFonts w:eastAsia="宋体" w:hint="eastAsia"/>
          <w:b/>
          <w:bCs/>
          <w:lang w:eastAsia="zh-CN"/>
        </w:rPr>
      </w:pPr>
    </w:p>
    <w:tbl>
      <w:tblPr>
        <w:tblW w:w="5000" w:type="pct"/>
        <w:tblCellSpacing w:w="15" w:type="dxa"/>
        <w:tblBorders>
          <w:top w:val="single" w:sz="8" w:space="0" w:color="000000" w:themeColor="text1"/>
          <w:bottom w:val="single" w:sz="8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9"/>
        <w:gridCol w:w="4995"/>
        <w:gridCol w:w="1226"/>
      </w:tblGrid>
      <w:tr w:rsidR="00D970CA" w:rsidRPr="00D970CA" w14:paraId="26618DAC" w14:textId="77777777" w:rsidTr="00DA54E7">
        <w:trPr>
          <w:tblHeader/>
          <w:tblCellSpacing w:w="15" w:type="dxa"/>
        </w:trPr>
        <w:tc>
          <w:tcPr>
            <w:tcW w:w="1695" w:type="pct"/>
            <w:vAlign w:val="center"/>
            <w:hideMark/>
          </w:tcPr>
          <w:p w14:paraId="19B368B3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</w:pPr>
            <w:bookmarkStart w:id="0" w:name="OLE_LINK7"/>
            <w:r w:rsidRPr="00D970CA"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  <w:t>QCT parameter</w:t>
            </w:r>
          </w:p>
        </w:tc>
        <w:tc>
          <w:tcPr>
            <w:tcW w:w="2644" w:type="pct"/>
            <w:vAlign w:val="center"/>
            <w:hideMark/>
          </w:tcPr>
          <w:p w14:paraId="12C46416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  <w:t>Fully adjusted sensitivity model OR (95% CI)</w:t>
            </w:r>
          </w:p>
        </w:tc>
        <w:tc>
          <w:tcPr>
            <w:tcW w:w="597" w:type="pct"/>
            <w:vAlign w:val="center"/>
            <w:hideMark/>
          </w:tcPr>
          <w:p w14:paraId="1340574B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</w:pPr>
            <w:r w:rsidRPr="002C6942">
              <w:rPr>
                <w:rFonts w:eastAsia="宋体" w:cs="Times New Roman"/>
                <w:b/>
                <w:bCs/>
                <w:i/>
                <w:iCs/>
                <w:sz w:val="18"/>
                <w:szCs w:val="18"/>
                <w:lang w:eastAsia="zh-CN"/>
              </w:rPr>
              <w:t xml:space="preserve">P </w:t>
            </w:r>
            <w:r w:rsidRPr="00D970CA"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  <w:t>value</w:t>
            </w:r>
          </w:p>
        </w:tc>
      </w:tr>
      <w:tr w:rsidR="002C6942" w:rsidRPr="00D970CA" w14:paraId="0D24AF55" w14:textId="77777777" w:rsidTr="00D970CA">
        <w:trPr>
          <w:tblCellSpacing w:w="15" w:type="dxa"/>
        </w:trPr>
        <w:tc>
          <w:tcPr>
            <w:tcW w:w="4968" w:type="pct"/>
            <w:gridSpan w:val="3"/>
            <w:tcBorders>
              <w:top w:val="single" w:sz="4" w:space="0" w:color="000000" w:themeColor="text1"/>
              <w:bottom w:val="nil"/>
            </w:tcBorders>
            <w:vAlign w:val="center"/>
            <w:hideMark/>
          </w:tcPr>
          <w:p w14:paraId="7678A37B" w14:textId="6482CE1E" w:rsidR="002C6942" w:rsidRPr="00D970CA" w:rsidRDefault="002C6942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  <w:t>Adipose distribution</w:t>
            </w:r>
          </w:p>
        </w:tc>
      </w:tr>
      <w:tr w:rsidR="00D970CA" w:rsidRPr="00D970CA" w14:paraId="565462B8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5366F6EA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VFA, cm²</w:t>
            </w:r>
          </w:p>
        </w:tc>
        <w:tc>
          <w:tcPr>
            <w:tcW w:w="2644" w:type="pct"/>
            <w:vAlign w:val="center"/>
            <w:hideMark/>
          </w:tcPr>
          <w:p w14:paraId="301B6133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2.039 (1.148–3.619)</w:t>
            </w:r>
          </w:p>
        </w:tc>
        <w:tc>
          <w:tcPr>
            <w:tcW w:w="597" w:type="pct"/>
            <w:vAlign w:val="center"/>
            <w:hideMark/>
          </w:tcPr>
          <w:p w14:paraId="256CB47A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0.015</w:t>
            </w:r>
          </w:p>
        </w:tc>
      </w:tr>
      <w:tr w:rsidR="00D970CA" w:rsidRPr="00D970CA" w14:paraId="0FC267A4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7E5C01BC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SFA, cm²</w:t>
            </w:r>
          </w:p>
        </w:tc>
        <w:tc>
          <w:tcPr>
            <w:tcW w:w="2644" w:type="pct"/>
            <w:vAlign w:val="center"/>
            <w:hideMark/>
          </w:tcPr>
          <w:p w14:paraId="2ABB81C8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1.131 (0.638–2.004)</w:t>
            </w:r>
          </w:p>
        </w:tc>
        <w:tc>
          <w:tcPr>
            <w:tcW w:w="597" w:type="pct"/>
            <w:vAlign w:val="center"/>
            <w:hideMark/>
          </w:tcPr>
          <w:p w14:paraId="766EB27D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0.673</w:t>
            </w:r>
          </w:p>
        </w:tc>
      </w:tr>
      <w:tr w:rsidR="00D970CA" w:rsidRPr="00D970CA" w14:paraId="289AC63E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300EA65E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V/S ratio</w:t>
            </w:r>
          </w:p>
        </w:tc>
        <w:tc>
          <w:tcPr>
            <w:tcW w:w="2644" w:type="pct"/>
            <w:vAlign w:val="center"/>
            <w:hideMark/>
          </w:tcPr>
          <w:p w14:paraId="3D1128EF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1.556 (0.930–2.603)</w:t>
            </w:r>
          </w:p>
        </w:tc>
        <w:tc>
          <w:tcPr>
            <w:tcW w:w="597" w:type="pct"/>
            <w:vAlign w:val="center"/>
            <w:hideMark/>
          </w:tcPr>
          <w:p w14:paraId="565C28EC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0.092</w:t>
            </w:r>
          </w:p>
        </w:tc>
      </w:tr>
      <w:tr w:rsidR="00D970CA" w:rsidRPr="00D970CA" w14:paraId="5B89BA8C" w14:textId="77777777" w:rsidTr="00D970CA">
        <w:trPr>
          <w:tblCellSpacing w:w="15" w:type="dxa"/>
        </w:trPr>
        <w:tc>
          <w:tcPr>
            <w:tcW w:w="4968" w:type="pct"/>
            <w:gridSpan w:val="3"/>
            <w:vAlign w:val="center"/>
            <w:hideMark/>
          </w:tcPr>
          <w:p w14:paraId="768EB384" w14:textId="311D83CD" w:rsidR="00D970CA" w:rsidRPr="00C8074E" w:rsidRDefault="00C8074E" w:rsidP="002C6942">
            <w:pPr>
              <w:spacing w:after="0" w:line="240" w:lineRule="auto"/>
              <w:rPr>
                <w:rFonts w:eastAsia="宋体" w:cs="Times New Roman" w:hint="eastAsia"/>
                <w:b/>
                <w:bCs/>
                <w:sz w:val="18"/>
                <w:szCs w:val="18"/>
                <w:lang w:eastAsia="zh-CN"/>
              </w:rPr>
            </w:pPr>
            <w:r w:rsidRPr="00B67F45">
              <w:rPr>
                <w:rFonts w:cs="Times New Roman"/>
                <w:b/>
                <w:bCs/>
                <w:sz w:val="18"/>
                <w:szCs w:val="18"/>
                <w:lang w:eastAsia="zh-CN"/>
              </w:rPr>
              <w:t>Skeletal muscle-related parameters</w:t>
            </w:r>
          </w:p>
        </w:tc>
      </w:tr>
      <w:tr w:rsidR="00D970CA" w:rsidRPr="00D970CA" w14:paraId="68682BE1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4DC686C4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IMAT, cm²</w:t>
            </w:r>
          </w:p>
        </w:tc>
        <w:tc>
          <w:tcPr>
            <w:tcW w:w="2644" w:type="pct"/>
            <w:vAlign w:val="center"/>
            <w:hideMark/>
          </w:tcPr>
          <w:p w14:paraId="542CFB59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0.907 (0.591–1.391)</w:t>
            </w:r>
          </w:p>
        </w:tc>
        <w:tc>
          <w:tcPr>
            <w:tcW w:w="597" w:type="pct"/>
            <w:vAlign w:val="center"/>
            <w:hideMark/>
          </w:tcPr>
          <w:p w14:paraId="5CB35F9F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0.653</w:t>
            </w:r>
          </w:p>
        </w:tc>
      </w:tr>
      <w:tr w:rsidR="00D970CA" w:rsidRPr="00D970CA" w14:paraId="77A2B1EA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7F683DC3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SMA-L3, cm²</w:t>
            </w:r>
          </w:p>
        </w:tc>
        <w:tc>
          <w:tcPr>
            <w:tcW w:w="2644" w:type="pct"/>
            <w:vAlign w:val="center"/>
            <w:hideMark/>
          </w:tcPr>
          <w:p w14:paraId="5D1658AD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1.387 (0.625–3.077)</w:t>
            </w:r>
          </w:p>
        </w:tc>
        <w:tc>
          <w:tcPr>
            <w:tcW w:w="597" w:type="pct"/>
            <w:vAlign w:val="center"/>
            <w:hideMark/>
          </w:tcPr>
          <w:p w14:paraId="3D54C1FC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0.422</w:t>
            </w:r>
          </w:p>
        </w:tc>
      </w:tr>
      <w:tr w:rsidR="00D970CA" w:rsidRPr="00D970CA" w14:paraId="0C53A7B8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37906840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SMI-L3, cm²/m²</w:t>
            </w:r>
          </w:p>
        </w:tc>
        <w:tc>
          <w:tcPr>
            <w:tcW w:w="2644" w:type="pct"/>
            <w:vAlign w:val="center"/>
            <w:hideMark/>
          </w:tcPr>
          <w:p w14:paraId="39FC3E09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1.720 (0.855–3.460)</w:t>
            </w:r>
          </w:p>
        </w:tc>
        <w:tc>
          <w:tcPr>
            <w:tcW w:w="597" w:type="pct"/>
            <w:vAlign w:val="center"/>
            <w:hideMark/>
          </w:tcPr>
          <w:p w14:paraId="1CE4B07F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0.128</w:t>
            </w:r>
          </w:p>
        </w:tc>
      </w:tr>
      <w:tr w:rsidR="00D970CA" w:rsidRPr="00D970CA" w14:paraId="7C23E412" w14:textId="77777777" w:rsidTr="00D970CA">
        <w:trPr>
          <w:tblCellSpacing w:w="15" w:type="dxa"/>
        </w:trPr>
        <w:tc>
          <w:tcPr>
            <w:tcW w:w="4968" w:type="pct"/>
            <w:gridSpan w:val="3"/>
            <w:vAlign w:val="center"/>
            <w:hideMark/>
          </w:tcPr>
          <w:p w14:paraId="14C8F321" w14:textId="317C993B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  <w:t>Ectopic fat deposition</w:t>
            </w:r>
          </w:p>
        </w:tc>
      </w:tr>
      <w:tr w:rsidR="00D970CA" w:rsidRPr="00D970CA" w14:paraId="565AD74E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07F17164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Liver fat content, %</w:t>
            </w:r>
          </w:p>
        </w:tc>
        <w:tc>
          <w:tcPr>
            <w:tcW w:w="2644" w:type="pct"/>
            <w:vAlign w:val="center"/>
            <w:hideMark/>
          </w:tcPr>
          <w:p w14:paraId="5497BDB4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1.891 (1.155–3.096)</w:t>
            </w:r>
          </w:p>
        </w:tc>
        <w:tc>
          <w:tcPr>
            <w:tcW w:w="597" w:type="pct"/>
            <w:vAlign w:val="center"/>
            <w:hideMark/>
          </w:tcPr>
          <w:p w14:paraId="5C557AF4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0.011</w:t>
            </w:r>
          </w:p>
        </w:tc>
      </w:tr>
      <w:tr w:rsidR="00D970CA" w:rsidRPr="00D970CA" w14:paraId="3C0DBA16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76029E0E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Mean pancreatic fat content, %</w:t>
            </w:r>
          </w:p>
        </w:tc>
        <w:tc>
          <w:tcPr>
            <w:tcW w:w="2644" w:type="pct"/>
            <w:vAlign w:val="center"/>
            <w:hideMark/>
          </w:tcPr>
          <w:p w14:paraId="5D766D4E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0.775 (0.515–1.167)</w:t>
            </w:r>
          </w:p>
        </w:tc>
        <w:tc>
          <w:tcPr>
            <w:tcW w:w="597" w:type="pct"/>
            <w:vAlign w:val="center"/>
            <w:hideMark/>
          </w:tcPr>
          <w:p w14:paraId="234C2AAB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0.222</w:t>
            </w:r>
          </w:p>
        </w:tc>
      </w:tr>
      <w:tr w:rsidR="00D970CA" w:rsidRPr="00D970CA" w14:paraId="1235B450" w14:textId="77777777" w:rsidTr="00D970CA">
        <w:trPr>
          <w:tblCellSpacing w:w="15" w:type="dxa"/>
        </w:trPr>
        <w:tc>
          <w:tcPr>
            <w:tcW w:w="4968" w:type="pct"/>
            <w:gridSpan w:val="3"/>
            <w:vAlign w:val="center"/>
            <w:hideMark/>
          </w:tcPr>
          <w:p w14:paraId="5E984256" w14:textId="7B1DAF09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b/>
                <w:bCs/>
                <w:sz w:val="18"/>
                <w:szCs w:val="18"/>
                <w:lang w:eastAsia="zh-CN"/>
              </w:rPr>
              <w:t>Bone mineral density</w:t>
            </w:r>
          </w:p>
        </w:tc>
      </w:tr>
      <w:tr w:rsidR="00D970CA" w:rsidRPr="00D970CA" w14:paraId="0AB91931" w14:textId="77777777" w:rsidTr="00DA54E7">
        <w:trPr>
          <w:tblCellSpacing w:w="15" w:type="dxa"/>
        </w:trPr>
        <w:tc>
          <w:tcPr>
            <w:tcW w:w="1695" w:type="pct"/>
            <w:vAlign w:val="center"/>
            <w:hideMark/>
          </w:tcPr>
          <w:p w14:paraId="31531716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L1–L2 vBMD, mg/cm³</w:t>
            </w:r>
          </w:p>
        </w:tc>
        <w:tc>
          <w:tcPr>
            <w:tcW w:w="2644" w:type="pct"/>
            <w:vAlign w:val="center"/>
            <w:hideMark/>
          </w:tcPr>
          <w:p w14:paraId="5BA97F68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1.178 (0.693–2.003)</w:t>
            </w:r>
          </w:p>
        </w:tc>
        <w:tc>
          <w:tcPr>
            <w:tcW w:w="597" w:type="pct"/>
            <w:vAlign w:val="center"/>
            <w:hideMark/>
          </w:tcPr>
          <w:p w14:paraId="10899F83" w14:textId="77777777" w:rsidR="00D970CA" w:rsidRPr="00D970CA" w:rsidRDefault="00D970CA" w:rsidP="002C6942">
            <w:pPr>
              <w:spacing w:after="0" w:line="240" w:lineRule="auto"/>
              <w:rPr>
                <w:rFonts w:eastAsia="宋体" w:cs="Times New Roman"/>
                <w:sz w:val="18"/>
                <w:szCs w:val="18"/>
                <w:lang w:eastAsia="zh-CN"/>
              </w:rPr>
            </w:pPr>
            <w:r w:rsidRPr="00D970CA">
              <w:rPr>
                <w:rFonts w:eastAsia="宋体" w:cs="Times New Roman"/>
                <w:sz w:val="18"/>
                <w:szCs w:val="18"/>
                <w:lang w:eastAsia="zh-CN"/>
              </w:rPr>
              <w:t>0.545</w:t>
            </w:r>
          </w:p>
        </w:tc>
      </w:tr>
    </w:tbl>
    <w:bookmarkEnd w:id="0"/>
    <w:p w14:paraId="53BBB0EA" w14:textId="356540FA" w:rsidR="008C02E4" w:rsidRDefault="008C02E4" w:rsidP="00006543">
      <w:pPr>
        <w:rPr>
          <w:rFonts w:eastAsia="宋体"/>
          <w:lang w:eastAsia="zh-CN"/>
        </w:rPr>
      </w:pPr>
      <w:r w:rsidRPr="00A345E2">
        <w:rPr>
          <w:rFonts w:eastAsia="宋体"/>
          <w:b/>
          <w:bCs/>
          <w:lang w:eastAsia="zh-CN"/>
        </w:rPr>
        <w:t>Note:</w:t>
      </w:r>
      <w:r>
        <w:rPr>
          <w:rFonts w:eastAsia="宋体" w:hint="eastAsia"/>
          <w:b/>
          <w:bCs/>
          <w:lang w:eastAsia="zh-CN"/>
        </w:rPr>
        <w:t xml:space="preserve"> </w:t>
      </w:r>
      <w:r w:rsidRPr="00DA54E7">
        <w:rPr>
          <w:rFonts w:eastAsia="宋体"/>
          <w:lang w:eastAsia="zh-CN"/>
        </w:rPr>
        <w:t xml:space="preserve">Data are presented as odds ratios (ORs) with 95% confidence intervals (CIs). </w:t>
      </w:r>
      <w:r w:rsidR="00FB1285" w:rsidRPr="00FB1285">
        <w:rPr>
          <w:rFonts w:eastAsia="宋体"/>
          <w:lang w:eastAsia="zh-CN"/>
        </w:rPr>
        <w:t>Patients receiving basal insulin therapy were excluded from this sensitivity analysis. The analytic sample included 121 patients. High HOMA-IR was defined using the same cohort-derived threshold as in the primary analysis (&gt;3.95). Each standardized QCT-derived parameter was entered separately into a fully adjusted multivariable logistic regression model adjusted for age, sex, BMI, and diabetes duration</w:t>
      </w:r>
      <w:r w:rsidRPr="00DA54E7">
        <w:rPr>
          <w:rFonts w:eastAsia="宋体"/>
          <w:lang w:eastAsia="zh-CN"/>
        </w:rPr>
        <w:t xml:space="preserve">. ORs indicate the change in odds of high HOMA-IR per 1-standard-deviation increase in each QCT-derived parameter. </w:t>
      </w:r>
    </w:p>
    <w:p w14:paraId="4E0EE358" w14:textId="087A8F50" w:rsidR="008C02E4" w:rsidRDefault="008C02E4" w:rsidP="00006543">
      <w:pPr>
        <w:rPr>
          <w:rFonts w:eastAsia="宋体" w:hint="eastAsia"/>
          <w:lang w:eastAsia="zh-CN"/>
        </w:rPr>
      </w:pPr>
      <w:r w:rsidRPr="008C02E4">
        <w:rPr>
          <w:rFonts w:eastAsia="宋体"/>
          <w:b/>
          <w:bCs/>
          <w:lang w:eastAsia="zh-CN"/>
        </w:rPr>
        <w:t>Abbreviations:</w:t>
      </w:r>
      <w:r w:rsidRPr="00DA54E7">
        <w:rPr>
          <w:rFonts w:eastAsia="宋体"/>
          <w:lang w:eastAsia="zh-CN"/>
        </w:rPr>
        <w:t xml:space="preserve"> BMI, body mass index; CI, confidence interval; HOMA-IR, homeostasis model assessment of insulin resistance; IMAT, intermuscular adipose tissue; OR, odds ratio; QCT, quantitative computed tomography; SFA, subcutaneous fat area; SMA-L3, skeletal muscle area at the third lumbar vertebra; SMI-L3, skeletal muscle index at the third lumbar vertebra; VFA, visceral fat area; V/S ratio, visceral-to-subcutaneous fat area ratio; vBMD, volumetric bone mineral density</w:t>
      </w:r>
      <w:r w:rsidR="00FB1285">
        <w:rPr>
          <w:rFonts w:eastAsia="宋体" w:hint="eastAsia"/>
          <w:lang w:eastAsia="zh-CN"/>
        </w:rPr>
        <w:t>.</w:t>
      </w:r>
    </w:p>
    <w:p w14:paraId="33759AFD" w14:textId="77777777" w:rsidR="00933766" w:rsidRDefault="00933766" w:rsidP="00933766">
      <w:pPr>
        <w:rPr>
          <w:rFonts w:eastAsia="宋体"/>
          <w:b/>
          <w:bCs/>
          <w:lang w:eastAsia="zh-CN"/>
        </w:rPr>
      </w:pPr>
      <w:r w:rsidRPr="00ED6E79">
        <w:rPr>
          <w:rFonts w:eastAsia="宋体"/>
          <w:b/>
          <w:bCs/>
          <w:lang w:eastAsia="zh-CN"/>
        </w:rPr>
        <w:t>Supplementary Table S4. Associations between QCT-derived parameters and log-transformed HOMA-IR</w:t>
      </w:r>
    </w:p>
    <w:tbl>
      <w:tblPr>
        <w:tblW w:w="5000" w:type="pct"/>
        <w:tblCellSpacing w:w="15" w:type="dxa"/>
        <w:tblBorders>
          <w:top w:val="single" w:sz="8" w:space="0" w:color="auto"/>
          <w:bottom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7"/>
        <w:gridCol w:w="4368"/>
        <w:gridCol w:w="1295"/>
      </w:tblGrid>
      <w:tr w:rsidR="00006543" w:rsidRPr="00006543" w14:paraId="79B43F03" w14:textId="77777777" w:rsidTr="00F6437C">
        <w:trPr>
          <w:tblHeader/>
          <w:tblCellSpacing w:w="15" w:type="dxa"/>
        </w:trPr>
        <w:tc>
          <w:tcPr>
            <w:tcW w:w="1992" w:type="pct"/>
            <w:vAlign w:val="center"/>
            <w:hideMark/>
          </w:tcPr>
          <w:p w14:paraId="5D19557A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b/>
                <w:bCs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b/>
                <w:bCs/>
                <w:sz w:val="18"/>
                <w:szCs w:val="18"/>
                <w:lang w:eastAsia="zh-CN"/>
              </w:rPr>
              <w:t>QCT parameter</w:t>
            </w:r>
          </w:p>
        </w:tc>
        <w:tc>
          <w:tcPr>
            <w:tcW w:w="2310" w:type="pct"/>
            <w:vAlign w:val="center"/>
            <w:hideMark/>
          </w:tcPr>
          <w:p w14:paraId="2FF11D3C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b/>
                <w:bCs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b/>
                <w:bCs/>
                <w:sz w:val="18"/>
                <w:szCs w:val="18"/>
                <w:lang w:eastAsia="zh-CN"/>
              </w:rPr>
              <w:t>Regression coefficient B (95% CI)</w:t>
            </w:r>
          </w:p>
        </w:tc>
        <w:tc>
          <w:tcPr>
            <w:tcW w:w="635" w:type="pct"/>
            <w:vAlign w:val="center"/>
            <w:hideMark/>
          </w:tcPr>
          <w:p w14:paraId="4FFB608F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b/>
                <w:bCs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b/>
                <w:bCs/>
                <w:i/>
                <w:iCs/>
                <w:sz w:val="18"/>
                <w:szCs w:val="18"/>
                <w:lang w:eastAsia="zh-CN"/>
              </w:rPr>
              <w:t>P</w:t>
            </w:r>
            <w:r w:rsidRPr="00006543">
              <w:rPr>
                <w:rFonts w:eastAsia="宋体"/>
                <w:b/>
                <w:bCs/>
                <w:sz w:val="18"/>
                <w:szCs w:val="18"/>
                <w:lang w:eastAsia="zh-CN"/>
              </w:rPr>
              <w:t xml:space="preserve"> value</w:t>
            </w:r>
          </w:p>
        </w:tc>
      </w:tr>
      <w:tr w:rsidR="00006543" w:rsidRPr="00006543" w14:paraId="10A22696" w14:textId="77777777" w:rsidTr="008453FB">
        <w:trPr>
          <w:tblCellSpacing w:w="15" w:type="dxa"/>
        </w:trPr>
        <w:tc>
          <w:tcPr>
            <w:tcW w:w="4968" w:type="pct"/>
            <w:gridSpan w:val="3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2E259F7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b/>
                <w:bCs/>
                <w:sz w:val="18"/>
                <w:szCs w:val="18"/>
                <w:lang w:eastAsia="zh-CN"/>
              </w:rPr>
              <w:t>Adipose distribution</w:t>
            </w:r>
          </w:p>
        </w:tc>
      </w:tr>
      <w:tr w:rsidR="00006543" w:rsidRPr="00006543" w14:paraId="1DD1BADB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37AEF167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VFA, cm²</w:t>
            </w:r>
          </w:p>
        </w:tc>
        <w:tc>
          <w:tcPr>
            <w:tcW w:w="2310" w:type="pct"/>
            <w:vAlign w:val="center"/>
            <w:hideMark/>
          </w:tcPr>
          <w:p w14:paraId="4D6FDD00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0.274 (0.110–0.439)</w:t>
            </w:r>
          </w:p>
        </w:tc>
        <w:tc>
          <w:tcPr>
            <w:tcW w:w="635" w:type="pct"/>
            <w:vAlign w:val="center"/>
            <w:hideMark/>
          </w:tcPr>
          <w:p w14:paraId="577E2802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0.001</w:t>
            </w:r>
          </w:p>
        </w:tc>
      </w:tr>
      <w:tr w:rsidR="00006543" w:rsidRPr="00006543" w14:paraId="476A2298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11FA2D24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SFA, cm²</w:t>
            </w:r>
          </w:p>
        </w:tc>
        <w:tc>
          <w:tcPr>
            <w:tcW w:w="2310" w:type="pct"/>
            <w:vAlign w:val="center"/>
            <w:hideMark/>
          </w:tcPr>
          <w:p w14:paraId="45A27FCA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0.121 (-0.064–0.307)</w:t>
            </w:r>
          </w:p>
        </w:tc>
        <w:tc>
          <w:tcPr>
            <w:tcW w:w="635" w:type="pct"/>
            <w:vAlign w:val="center"/>
            <w:hideMark/>
          </w:tcPr>
          <w:p w14:paraId="060D4DB1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0.196</w:t>
            </w:r>
          </w:p>
        </w:tc>
      </w:tr>
      <w:tr w:rsidR="00006543" w:rsidRPr="00006543" w14:paraId="75201C75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4DBDE9E6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V/S ratio</w:t>
            </w:r>
          </w:p>
        </w:tc>
        <w:tc>
          <w:tcPr>
            <w:tcW w:w="2310" w:type="pct"/>
            <w:vAlign w:val="center"/>
            <w:hideMark/>
          </w:tcPr>
          <w:p w14:paraId="09C2FDBE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0.130 (-0.027–0.286)</w:t>
            </w:r>
          </w:p>
        </w:tc>
        <w:tc>
          <w:tcPr>
            <w:tcW w:w="635" w:type="pct"/>
            <w:vAlign w:val="center"/>
            <w:hideMark/>
          </w:tcPr>
          <w:p w14:paraId="188D05B1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0.103</w:t>
            </w:r>
          </w:p>
        </w:tc>
      </w:tr>
      <w:tr w:rsidR="00006543" w:rsidRPr="00006543" w14:paraId="0A548C78" w14:textId="77777777" w:rsidTr="008453FB">
        <w:trPr>
          <w:tblCellSpacing w:w="15" w:type="dxa"/>
        </w:trPr>
        <w:tc>
          <w:tcPr>
            <w:tcW w:w="4968" w:type="pct"/>
            <w:gridSpan w:val="3"/>
            <w:vAlign w:val="center"/>
            <w:hideMark/>
          </w:tcPr>
          <w:p w14:paraId="6BF0A771" w14:textId="6C7C24C7" w:rsidR="00006543" w:rsidRPr="00006543" w:rsidRDefault="00F6437C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B67F45">
              <w:rPr>
                <w:rFonts w:cs="Times New Roman"/>
                <w:b/>
                <w:bCs/>
                <w:sz w:val="18"/>
                <w:szCs w:val="18"/>
                <w:lang w:eastAsia="zh-CN"/>
              </w:rPr>
              <w:t>Skeletal muscle-related parameters</w:t>
            </w:r>
          </w:p>
        </w:tc>
      </w:tr>
      <w:tr w:rsidR="00006543" w:rsidRPr="00006543" w14:paraId="59C7E912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689D9927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IMAT, cm²</w:t>
            </w:r>
          </w:p>
        </w:tc>
        <w:tc>
          <w:tcPr>
            <w:tcW w:w="2310" w:type="pct"/>
            <w:vAlign w:val="center"/>
            <w:hideMark/>
          </w:tcPr>
          <w:p w14:paraId="01096AE7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-0.095 (-0.233–0.043)</w:t>
            </w:r>
          </w:p>
        </w:tc>
        <w:tc>
          <w:tcPr>
            <w:tcW w:w="635" w:type="pct"/>
            <w:vAlign w:val="center"/>
            <w:hideMark/>
          </w:tcPr>
          <w:p w14:paraId="6156CB73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0.174</w:t>
            </w:r>
          </w:p>
        </w:tc>
      </w:tr>
      <w:tr w:rsidR="00006543" w:rsidRPr="00006543" w14:paraId="0FE61074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65454B3A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SMA-L3, cm²</w:t>
            </w:r>
          </w:p>
        </w:tc>
        <w:tc>
          <w:tcPr>
            <w:tcW w:w="2310" w:type="pct"/>
            <w:vAlign w:val="center"/>
            <w:hideMark/>
          </w:tcPr>
          <w:p w14:paraId="2E63DB4B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0.174 (-0.075–0.422)</w:t>
            </w:r>
          </w:p>
        </w:tc>
        <w:tc>
          <w:tcPr>
            <w:tcW w:w="635" w:type="pct"/>
            <w:vAlign w:val="center"/>
            <w:hideMark/>
          </w:tcPr>
          <w:p w14:paraId="47E0A350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0.169</w:t>
            </w:r>
          </w:p>
        </w:tc>
      </w:tr>
      <w:tr w:rsidR="00006543" w:rsidRPr="00006543" w14:paraId="647A33D5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0811E432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SMI-L3, cm²/m²</w:t>
            </w:r>
          </w:p>
        </w:tc>
        <w:tc>
          <w:tcPr>
            <w:tcW w:w="2310" w:type="pct"/>
            <w:vAlign w:val="center"/>
            <w:hideMark/>
          </w:tcPr>
          <w:p w14:paraId="316C1287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0.185 (-0.029–0.399)</w:t>
            </w:r>
          </w:p>
        </w:tc>
        <w:tc>
          <w:tcPr>
            <w:tcW w:w="635" w:type="pct"/>
            <w:vAlign w:val="center"/>
            <w:hideMark/>
          </w:tcPr>
          <w:p w14:paraId="1A0FA002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0.089</w:t>
            </w:r>
          </w:p>
        </w:tc>
      </w:tr>
      <w:tr w:rsidR="00006543" w:rsidRPr="00006543" w14:paraId="4A5A990E" w14:textId="77777777" w:rsidTr="008453FB">
        <w:trPr>
          <w:tblCellSpacing w:w="15" w:type="dxa"/>
        </w:trPr>
        <w:tc>
          <w:tcPr>
            <w:tcW w:w="4968" w:type="pct"/>
            <w:gridSpan w:val="3"/>
            <w:vAlign w:val="center"/>
            <w:hideMark/>
          </w:tcPr>
          <w:p w14:paraId="3F235AAE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b/>
                <w:bCs/>
                <w:sz w:val="18"/>
                <w:szCs w:val="18"/>
                <w:lang w:eastAsia="zh-CN"/>
              </w:rPr>
              <w:t>Ectopic fat deposition</w:t>
            </w:r>
          </w:p>
        </w:tc>
      </w:tr>
      <w:tr w:rsidR="00006543" w:rsidRPr="00006543" w14:paraId="582B15CA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10AE91BE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Liver fat content, %</w:t>
            </w:r>
          </w:p>
        </w:tc>
        <w:tc>
          <w:tcPr>
            <w:tcW w:w="2310" w:type="pct"/>
            <w:vAlign w:val="center"/>
            <w:hideMark/>
          </w:tcPr>
          <w:p w14:paraId="1419EFD5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0.167 (0.035–0.299)</w:t>
            </w:r>
          </w:p>
        </w:tc>
        <w:tc>
          <w:tcPr>
            <w:tcW w:w="635" w:type="pct"/>
            <w:vAlign w:val="center"/>
            <w:hideMark/>
          </w:tcPr>
          <w:p w14:paraId="42126EA2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0.014</w:t>
            </w:r>
          </w:p>
        </w:tc>
      </w:tr>
      <w:tr w:rsidR="00006543" w:rsidRPr="00006543" w14:paraId="68B8F3C6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07EFD787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Mean pancreatic fat content, %</w:t>
            </w:r>
          </w:p>
        </w:tc>
        <w:tc>
          <w:tcPr>
            <w:tcW w:w="2310" w:type="pct"/>
            <w:vAlign w:val="center"/>
            <w:hideMark/>
          </w:tcPr>
          <w:p w14:paraId="172C1429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-0.050 (-0.180–0.079)</w:t>
            </w:r>
          </w:p>
        </w:tc>
        <w:tc>
          <w:tcPr>
            <w:tcW w:w="635" w:type="pct"/>
            <w:vAlign w:val="center"/>
            <w:hideMark/>
          </w:tcPr>
          <w:p w14:paraId="110E32A1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0.444</w:t>
            </w:r>
          </w:p>
        </w:tc>
      </w:tr>
      <w:tr w:rsidR="00006543" w:rsidRPr="00006543" w14:paraId="5B740DAD" w14:textId="77777777" w:rsidTr="008453FB">
        <w:trPr>
          <w:tblCellSpacing w:w="15" w:type="dxa"/>
        </w:trPr>
        <w:tc>
          <w:tcPr>
            <w:tcW w:w="4968" w:type="pct"/>
            <w:gridSpan w:val="3"/>
            <w:vAlign w:val="center"/>
            <w:hideMark/>
          </w:tcPr>
          <w:p w14:paraId="1A6CCFFE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b/>
                <w:bCs/>
                <w:sz w:val="18"/>
                <w:szCs w:val="18"/>
                <w:lang w:eastAsia="zh-CN"/>
              </w:rPr>
              <w:t>Bone mineral density</w:t>
            </w:r>
          </w:p>
        </w:tc>
      </w:tr>
      <w:tr w:rsidR="00006543" w:rsidRPr="00006543" w14:paraId="1689705D" w14:textId="77777777" w:rsidTr="00F6437C">
        <w:trPr>
          <w:tblCellSpacing w:w="15" w:type="dxa"/>
        </w:trPr>
        <w:tc>
          <w:tcPr>
            <w:tcW w:w="1992" w:type="pct"/>
            <w:vAlign w:val="center"/>
            <w:hideMark/>
          </w:tcPr>
          <w:p w14:paraId="0E3D8DDA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L1–L2 vBMD, mg/cm³</w:t>
            </w:r>
          </w:p>
        </w:tc>
        <w:tc>
          <w:tcPr>
            <w:tcW w:w="2310" w:type="pct"/>
            <w:vAlign w:val="center"/>
            <w:hideMark/>
          </w:tcPr>
          <w:p w14:paraId="6A779C2A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0.034 (-0.134–0.201)</w:t>
            </w:r>
          </w:p>
        </w:tc>
        <w:tc>
          <w:tcPr>
            <w:tcW w:w="635" w:type="pct"/>
            <w:vAlign w:val="center"/>
            <w:hideMark/>
          </w:tcPr>
          <w:p w14:paraId="09AEEB66" w14:textId="77777777" w:rsidR="00006543" w:rsidRPr="00006543" w:rsidRDefault="00006543" w:rsidP="008F731E">
            <w:pPr>
              <w:spacing w:after="0" w:line="240" w:lineRule="auto"/>
              <w:rPr>
                <w:rFonts w:eastAsia="宋体"/>
                <w:sz w:val="18"/>
                <w:szCs w:val="18"/>
                <w:lang w:eastAsia="zh-CN"/>
              </w:rPr>
            </w:pPr>
            <w:r w:rsidRPr="00006543">
              <w:rPr>
                <w:rFonts w:eastAsia="宋体"/>
                <w:sz w:val="18"/>
                <w:szCs w:val="18"/>
                <w:lang w:eastAsia="zh-CN"/>
              </w:rPr>
              <w:t>0.693</w:t>
            </w:r>
          </w:p>
        </w:tc>
      </w:tr>
    </w:tbl>
    <w:p w14:paraId="4A06F4E7" w14:textId="3D1F2AA1" w:rsidR="00F6437C" w:rsidRDefault="00F6437C" w:rsidP="00DA54E7">
      <w:pPr>
        <w:rPr>
          <w:rFonts w:eastAsia="宋体"/>
          <w:lang w:eastAsia="zh-CN"/>
        </w:rPr>
      </w:pPr>
      <w:r w:rsidRPr="00A345E2">
        <w:rPr>
          <w:rFonts w:eastAsia="宋体"/>
          <w:b/>
          <w:bCs/>
          <w:lang w:eastAsia="zh-CN"/>
        </w:rPr>
        <w:t>Note:</w:t>
      </w:r>
      <w:r>
        <w:rPr>
          <w:rFonts w:eastAsia="宋体" w:hint="eastAsia"/>
          <w:b/>
          <w:bCs/>
          <w:lang w:eastAsia="zh-CN"/>
        </w:rPr>
        <w:t xml:space="preserve"> </w:t>
      </w:r>
      <w:r w:rsidRPr="008453FB">
        <w:rPr>
          <w:rFonts w:eastAsia="宋体"/>
          <w:lang w:eastAsia="zh-CN"/>
        </w:rPr>
        <w:t xml:space="preserve">Data are presented as regression coefficients (B) with 95% confidence intervals (CIs). HOMA-IR was log-transformed and analyzed as a continuous outcome. Each standardized QCT-derived parameter was entered separately into a multivariable linear regression model adjusted for age, sex, BMI, and diabetes duration. Regression coefficients indicate the change in log-transformed HOMA-IR per 1-standard-deviation increase in each QCT-derived parameter. </w:t>
      </w:r>
    </w:p>
    <w:p w14:paraId="7777B295" w14:textId="2D837341" w:rsidR="00ED6E79" w:rsidRPr="00ED6E79" w:rsidRDefault="00F6437C" w:rsidP="00DA54E7">
      <w:pPr>
        <w:rPr>
          <w:rFonts w:eastAsia="宋体" w:hint="eastAsia"/>
          <w:b/>
          <w:bCs/>
          <w:lang w:eastAsia="zh-CN"/>
        </w:rPr>
      </w:pPr>
      <w:r w:rsidRPr="00F6437C">
        <w:rPr>
          <w:rFonts w:eastAsia="宋体"/>
          <w:b/>
          <w:bCs/>
          <w:lang w:eastAsia="zh-CN"/>
        </w:rPr>
        <w:t>Abbreviations:</w:t>
      </w:r>
      <w:r w:rsidRPr="008453FB">
        <w:rPr>
          <w:rFonts w:eastAsia="宋体"/>
          <w:lang w:eastAsia="zh-CN"/>
        </w:rPr>
        <w:t xml:space="preserve"> B, regression coefficient; BMI, body mass index; CI, confidence interval; HOMA-IR, homeostasis model assessment of insulin resistance; IMAT, intermuscular adipose tissue; QCT, quantitative computed tomography; SFA, subcutaneous fat area; SMA-L3, skeletal muscle area at the third lumbar vertebra; SMI-L3, skeletal muscle index at the third lumbar vertebra; VFA, visceral fat area; V/S ratio, visceral-to-subcutaneous fat area ratio; vBMD, volumetric bone mineral density</w:t>
      </w:r>
      <w:r w:rsidR="00FB1285">
        <w:rPr>
          <w:rFonts w:eastAsia="宋体" w:hint="eastAsia"/>
          <w:lang w:eastAsia="zh-CN"/>
        </w:rPr>
        <w:t>.</w:t>
      </w:r>
    </w:p>
    <w:p w14:paraId="64382841" w14:textId="77777777" w:rsidR="002C6942" w:rsidRPr="00A345E2" w:rsidRDefault="002C6942">
      <w:pPr>
        <w:rPr>
          <w:rFonts w:eastAsia="宋体" w:hint="eastAsia"/>
          <w:lang w:eastAsia="zh-CN"/>
        </w:rPr>
      </w:pPr>
    </w:p>
    <w:sectPr w:rsidR="002C6942" w:rsidRPr="00A345E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FC3F4" w14:textId="77777777" w:rsidR="0090714E" w:rsidRDefault="0090714E" w:rsidP="001422E8">
      <w:pPr>
        <w:spacing w:after="0" w:line="240" w:lineRule="auto"/>
      </w:pPr>
      <w:r>
        <w:separator/>
      </w:r>
    </w:p>
  </w:endnote>
  <w:endnote w:type="continuationSeparator" w:id="0">
    <w:p w14:paraId="160E831F" w14:textId="77777777" w:rsidR="0090714E" w:rsidRDefault="0090714E" w:rsidP="0014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7D0FA" w14:textId="77777777" w:rsidR="0090714E" w:rsidRDefault="0090714E" w:rsidP="001422E8">
      <w:pPr>
        <w:spacing w:after="0" w:line="240" w:lineRule="auto"/>
      </w:pPr>
      <w:r>
        <w:separator/>
      </w:r>
    </w:p>
  </w:footnote>
  <w:footnote w:type="continuationSeparator" w:id="0">
    <w:p w14:paraId="07B4C42E" w14:textId="77777777" w:rsidR="0090714E" w:rsidRDefault="0090714E" w:rsidP="00142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3090346">
    <w:abstractNumId w:val="8"/>
  </w:num>
  <w:num w:numId="2" w16cid:durableId="249194909">
    <w:abstractNumId w:val="6"/>
  </w:num>
  <w:num w:numId="3" w16cid:durableId="977684032">
    <w:abstractNumId w:val="5"/>
  </w:num>
  <w:num w:numId="4" w16cid:durableId="1580603115">
    <w:abstractNumId w:val="4"/>
  </w:num>
  <w:num w:numId="5" w16cid:durableId="465513728">
    <w:abstractNumId w:val="7"/>
  </w:num>
  <w:num w:numId="6" w16cid:durableId="1159424611">
    <w:abstractNumId w:val="3"/>
  </w:num>
  <w:num w:numId="7" w16cid:durableId="841550775">
    <w:abstractNumId w:val="2"/>
  </w:num>
  <w:num w:numId="8" w16cid:durableId="1889416528">
    <w:abstractNumId w:val="1"/>
  </w:num>
  <w:num w:numId="9" w16cid:durableId="160407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543"/>
    <w:rsid w:val="00034616"/>
    <w:rsid w:val="0006063C"/>
    <w:rsid w:val="00060D1A"/>
    <w:rsid w:val="000A115E"/>
    <w:rsid w:val="001422E8"/>
    <w:rsid w:val="0015074B"/>
    <w:rsid w:val="001B4C18"/>
    <w:rsid w:val="001B7196"/>
    <w:rsid w:val="00214D5A"/>
    <w:rsid w:val="0029639D"/>
    <w:rsid w:val="002C6942"/>
    <w:rsid w:val="00326F90"/>
    <w:rsid w:val="003A19CB"/>
    <w:rsid w:val="004879C2"/>
    <w:rsid w:val="005164BC"/>
    <w:rsid w:val="005A136C"/>
    <w:rsid w:val="008453FB"/>
    <w:rsid w:val="008C02E4"/>
    <w:rsid w:val="0090714E"/>
    <w:rsid w:val="00933766"/>
    <w:rsid w:val="00A345E2"/>
    <w:rsid w:val="00AA1D8D"/>
    <w:rsid w:val="00AB0545"/>
    <w:rsid w:val="00B47730"/>
    <w:rsid w:val="00C36864"/>
    <w:rsid w:val="00C8074E"/>
    <w:rsid w:val="00CB0664"/>
    <w:rsid w:val="00D970CA"/>
    <w:rsid w:val="00DA54E7"/>
    <w:rsid w:val="00E20DC5"/>
    <w:rsid w:val="00E72C5C"/>
    <w:rsid w:val="00ED6E79"/>
    <w:rsid w:val="00F00F6E"/>
    <w:rsid w:val="00F6437C"/>
    <w:rsid w:val="00F857C4"/>
    <w:rsid w:val="00FB12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53B89B"/>
  <w14:defaultImageDpi w14:val="300"/>
  <w15:docId w15:val="{8B82C2EF-C618-4C72-AA98-66BE6E3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48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网格型1"/>
    <w:basedOn w:val="a3"/>
    <w:next w:val="aff1"/>
    <w:uiPriority w:val="59"/>
    <w:qFormat/>
    <w:rsid w:val="002C6942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rmal (Web)"/>
    <w:basedOn w:val="a1"/>
    <w:uiPriority w:val="99"/>
    <w:semiHidden/>
    <w:unhideWhenUsed/>
    <w:rsid w:val="00FB128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903</Words>
  <Characters>5418</Characters>
  <Application>Microsoft Office Word</Application>
  <DocSecurity>0</DocSecurity>
  <Lines>246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玫 梁</cp:lastModifiedBy>
  <cp:revision>2</cp:revision>
  <dcterms:created xsi:type="dcterms:W3CDTF">2026-07-02T12:57:00Z</dcterms:created>
  <dcterms:modified xsi:type="dcterms:W3CDTF">2026-07-02T12:57:00Z</dcterms:modified>
  <cp:category/>
</cp:coreProperties>
</file>