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0845F">
      <w:pPr>
        <w:pStyle w:val="31"/>
        <w:jc w:val="center"/>
        <w:pBdr>
          <w:bottom w:val="nil"/>
        </w:pBdr>
      </w:pPr>
      <w:r>
        <w:rPr>
          <w:color w:val="000000"/>
        </w:rPr>
        <w:t>Additional file 1: Supplementary methods and tables</w:t>
      </w:r>
    </w:p>
    <w:p w14:paraId="17E1E1E6">
      <w:pPr>
        <w:jc w:val="center"/>
      </w:pPr>
      <w:r>
        <w:rPr>
          <w:i/>
          <w:color w:val="000000"/>
          <w:sz w:val="20"/>
        </w:rPr>
        <w:t>SGLT2 inhibitors and cardiorenal outcomes across operationally mapped CKM stages 2–3 and stage 4</w:t>
      </w:r>
    </w:p>
    <w:p w14:paraId="323A44FE">
      <w:pPr>
        <w:pStyle w:val="3"/>
        <w:spacing w:before="160" w:after="80"/>
      </w:pPr>
      <w:r>
        <w:rPr>
          <w:rFonts w:ascii="Arial" w:hAnsi="Arial" w:eastAsia="Arial"/>
          <w:color w:val="000000"/>
        </w:rPr>
        <w:t>Description</w:t>
      </w:r>
    </w:p>
    <w:p w14:paraId="097BAE95">
      <w:r>
        <w:rPr>
          <w:color w:val="000000"/>
        </w:rPr>
        <w:t>This file contains the complete database search strategies; operational CKM mapping rules; extracted stage-group-specific effect estimates and source publications; detailed outcome definitions; risk-of-bias judgments; certainty-of-evidence assessment; comparison of REML and fixed-effect models; sensitivity analyses excluding SOLOIST-WHF; kidney endpoint-definition sensitivity analyses; and Egger regression results.</w:t>
      </w:r>
    </w:p>
    <w:p w14:paraId="057F8B01">
      <w:pPr>
        <w:pStyle w:val="3"/>
        <w:spacing w:before="160" w:after="80"/>
      </w:pPr>
      <w:r>
        <w:rPr>
          <w:rFonts w:ascii="Arial" w:hAnsi="Arial" w:eastAsia="Arial"/>
          <w:color w:val="000000"/>
        </w:rPr>
        <w:t>Supplementary Method S1. Complete database search strategies</w:t>
      </w:r>
    </w:p>
    <w:p w14:paraId="6FBD0BD6">
      <w:pPr>
        <w:pStyle w:val="4"/>
        <w:spacing w:before="160" w:after="80"/>
      </w:pPr>
      <w:r>
        <w:rPr>
          <w:rFonts w:ascii="Arial" w:hAnsi="Arial" w:eastAsia="Arial"/>
          <w:color w:val="000000"/>
        </w:rPr>
        <w:t>Search strategy for PubMed/MEDLINE</w:t>
      </w:r>
    </w:p>
    <w:tbl>
      <w:tblPr>
        <w:tblStyle w:val="3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3"/>
        <w:gridCol w:w="14089"/>
      </w:tblGrid>
      <w:tr w14:paraId="0E93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2" w:type="pct"/>
            <w:vAlign w:val="center"/>
            <w:shd w:val="clear" w:color="auto" w:fill="FFFFFF"/>
          </w:tcPr>
          <w:p w14:paraId="6B12E2E6">
            <w:pPr>
              <w:snapToGrid w:val="0"/>
              <w:spacing w:before="0" w:after="0" w:line="240" w:lineRule="auto"/>
              <w:ind w:left="0" w:leftChars="0" w:right="0" w:rightChars="0" w:firstLine="0" w:firstLineChars="0"/>
              <w:jc w:val="left"/>
              <w:rPr>
                <w:rFonts w:ascii="Arial" w:eastAsia="Arial"/>
                <w:b/>
                <w:sz w:val="15"/>
              </w:rPr>
            </w:pPr>
            <w:r>
              <w:rPr>
                <w:rFonts w:ascii="Arial" w:hAnsi="Arial" w:eastAsia="Arial"/>
                <w:b/>
                <w:sz w:val="15"/>
                <w:color w:val="000000"/>
              </w:rPr>
              <w:t>#</w:t>
            </w:r>
          </w:p>
        </w:tc>
        <w:tc>
          <w:tcPr>
            <w:tcW w:w="4867" w:type="pct"/>
            <w:vAlign w:val="center"/>
            <w:shd w:val="clear" w:color="auto" w:fill="FFFFFF"/>
          </w:tcPr>
          <w:p w14:paraId="53015CAF">
            <w:pPr>
              <w:snapToGrid w:val="0"/>
              <w:spacing w:before="0" w:after="0" w:line="240" w:lineRule="auto"/>
              <w:ind w:left="0" w:leftChars="0" w:right="0" w:rightChars="0" w:firstLine="0" w:firstLineChars="0"/>
              <w:jc w:val="left"/>
              <w:rPr>
                <w:rFonts w:ascii="Arial" w:eastAsia="Arial"/>
                <w:b/>
                <w:sz w:val="15"/>
              </w:rPr>
            </w:pPr>
            <w:r>
              <w:rPr>
                <w:rFonts w:ascii="Arial" w:hAnsi="Arial" w:eastAsia="Arial"/>
                <w:b/>
                <w:sz w:val="15"/>
                <w:color w:val="000000"/>
              </w:rPr>
              <w:t>Query</w:t>
            </w:r>
          </w:p>
        </w:tc>
      </w:tr>
      <w:tr w14:paraId="3411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50EAFC83">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w:t>
            </w:r>
          </w:p>
        </w:tc>
        <w:tc>
          <w:tcPr>
            <w:tcW w:w="4867" w:type="pct"/>
            <w:vAlign w:val="center"/>
            <w:shd w:val="clear" w:color="auto" w:fill="FFFFFF"/>
          </w:tcPr>
          <w:p w14:paraId="151D4BD3">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"Hypertension"[MeSH Terms] OR "blood pressure high"[Title/Abstract] OR "High Blood Pressure"[Title/Abstract] OR "High Blood Pressures"[Title/Abstract]</w:t>
            </w:r>
          </w:p>
        </w:tc>
      </w:tr>
      <w:tr w14:paraId="54FF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77041195">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2</w:t>
            </w:r>
          </w:p>
        </w:tc>
        <w:tc>
          <w:tcPr>
            <w:tcW w:w="4867" w:type="pct"/>
            <w:vAlign w:val="center"/>
            <w:shd w:val="clear" w:color="auto" w:fill="FFFFFF"/>
          </w:tcPr>
          <w:p w14:paraId="60764D9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"Dyslipidemias"[MeSH Terms] OR "dyslipid*"[Title/Abstract] OR "dyslipemia*"[Title/Abstract] OR "lipid disorder*"[Title/Abstract] OR "lipoprotein disorder*"[Title/Abstract] OR "hyperlipid*"[Title/Abstract] OR "hyperlipemia*"[Title/Abstract] OR "hypercholesterolemia"[Title/Abstract] OR "hypercholesterolaemia"[Title/Abstract] OR "high cholesterol"[Title/Abstract] OR "hypertriglyceridemia"[Title/Abstract] OR "hypertriglyceridaemia"[Title/Abstract] OR "high triglyceride*"[Title/Abstract]</w:t>
            </w:r>
          </w:p>
        </w:tc>
      </w:tr>
      <w:tr w14:paraId="7FF4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1BA843A2">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3</w:t>
            </w:r>
          </w:p>
        </w:tc>
        <w:tc>
          <w:tcPr>
            <w:tcW w:w="4867" w:type="pct"/>
            <w:vAlign w:val="center"/>
            <w:shd w:val="clear" w:color="auto" w:fill="FFFFFF"/>
          </w:tcPr>
          <w:p w14:paraId="03B34478">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"diabetes mellitus, type 2"[MeSH Terms] OR "Adult-Onset Diabetes Mellitus"[Title/Abstract] OR "NIDDM"[Title/Abstract] OR "Non-Insulin-Dependent Diabetes Mellitus"[Title/Abstract] OR "Maturity-Onset Diabetes"[Title/Abstract] OR "Type 2 Diabetes"[Title/Abstract]</w:t>
            </w:r>
          </w:p>
        </w:tc>
      </w:tr>
      <w:tr w14:paraId="3EF4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63F24322">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4</w:t>
            </w:r>
          </w:p>
        </w:tc>
        <w:tc>
          <w:tcPr>
            <w:tcW w:w="4867" w:type="pct"/>
            <w:vAlign w:val="center"/>
            <w:shd w:val="clear" w:color="auto" w:fill="FFFFFF"/>
          </w:tcPr>
          <w:p w14:paraId="27BE2547">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"Metabolic Syndrome"[MeSH Terms] OR "Metabolic X Syndrome"[Title/Abstract] OR "Cardiometabolic Syndrome"[Title/Abstract] OR "Insulin Resistance Syndrome X"[Title/Abstract]</w:t>
            </w:r>
          </w:p>
        </w:tc>
      </w:tr>
      <w:tr w14:paraId="2386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2C882F2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5</w:t>
            </w:r>
          </w:p>
        </w:tc>
        <w:tc>
          <w:tcPr>
            <w:tcW w:w="4867" w:type="pct"/>
            <w:vAlign w:val="center"/>
            <w:shd w:val="clear" w:color="auto" w:fill="FFFFFF"/>
          </w:tcPr>
          <w:p w14:paraId="79289EEE">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"renal insufficiency, chronic"[MeSH Terms] OR "chronic kidney disease*"[Title/Abstract] OR "chronic renal disease*"[Title/Abstract] OR "CKD"[Title/Abstract]</w:t>
            </w:r>
          </w:p>
        </w:tc>
      </w:tr>
      <w:tr w14:paraId="482F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12211678">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6</w:t>
            </w:r>
          </w:p>
        </w:tc>
        <w:tc>
          <w:tcPr>
            <w:tcW w:w="4867" w:type="pct"/>
            <w:vAlign w:val="center"/>
            <w:shd w:val="clear" w:color="auto" w:fill="FFFFFF"/>
          </w:tcPr>
          <w:p w14:paraId="0FE69DF0">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("cardiovascular-kidney-metabolic syndrome"[Title/Abstract] OR "CKM syndrome"[Title/Abstract] OR "cardiorenal metabolic syndrome"[Title/Abstract] OR "cardiometabolic renal syndrome"[Title/Abstract])</w:t>
            </w:r>
          </w:p>
        </w:tc>
      </w:tr>
      <w:tr w14:paraId="340D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02E58809">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7</w:t>
            </w:r>
          </w:p>
        </w:tc>
        <w:tc>
          <w:tcPr>
            <w:tcW w:w="4867" w:type="pct"/>
            <w:vAlign w:val="center"/>
            <w:shd w:val="clear" w:color="auto" w:fill="FFFFFF"/>
          </w:tcPr>
          <w:p w14:paraId="1043B971">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"Randomized Controlled Trial"[Publication Type] OR "Controlled Clinical Trial"[Publication Type] OR ("randomized"[Title/Abstract] AND "trial"[Title/Abstract]) OR ("randomly"[Title/Abstract] AND "assigned"[Title/Abstract]) OR "RCT"[Title/Abstract]</w:t>
            </w:r>
          </w:p>
        </w:tc>
      </w:tr>
      <w:tr w14:paraId="53C9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0F4122CB">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8</w:t>
            </w:r>
          </w:p>
        </w:tc>
        <w:tc>
          <w:tcPr>
            <w:tcW w:w="4867" w:type="pct"/>
            <w:vAlign w:val="center"/>
            <w:shd w:val="clear" w:color="auto" w:fill="FFFFFF"/>
          </w:tcPr>
          <w:p w14:paraId="6F0B6D3C">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"meta analysis as topic"[MeSH Terms] OR "meta analysis as topic"[MeSH Terms] OR "meta analysis"[Publication Type] OR "review"[Publication Type] OR "metaanalysis"[Title/Abstract]</w:t>
            </w:r>
          </w:p>
        </w:tc>
      </w:tr>
      <w:tr w14:paraId="12C9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786083B3">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9</w:t>
            </w:r>
          </w:p>
        </w:tc>
        <w:tc>
          <w:tcPr>
            <w:tcW w:w="4867" w:type="pct"/>
            <w:vAlign w:val="center"/>
            <w:shd w:val="clear" w:color="auto" w:fill="FFFFFF"/>
          </w:tcPr>
          <w:p w14:paraId="675D3EBE">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"Sodium-Glucose Transporter 2 Inhibitors"[MeSH Terms] OR "sglt2 inhibitor*"[Title/Abstract] OR "sglt 2 inhibitor*"[Title/Abstract] OR "canagliflozin"[Title/Abstract] OR "dapagliflozin"[Title/Abstract] OR "empagliflozin"[Title/Abstract] OR "ertugliflozin"[Title/Abstract] OR "ipragliflozin"[Title/Abstract] OR "luseogliflozin"[Title/Abstract] OR "tofogliflozin"[Title/Abstract] OR "sotagliflozin"[Title/Abstract]</w:t>
            </w:r>
          </w:p>
        </w:tc>
      </w:tr>
      <w:tr w14:paraId="7826D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3BB8211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10</w:t>
            </w:r>
          </w:p>
        </w:tc>
        <w:tc>
          <w:tcPr>
            <w:tcW w:w="4867" w:type="pct"/>
            <w:vAlign w:val="center"/>
            <w:shd w:val="clear" w:color="auto" w:fill="FFFFFF"/>
          </w:tcPr>
          <w:p w14:paraId="00FAB820">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 OR #2 OR #3 OR #4 OR #5 OR #6</w:t>
            </w:r>
          </w:p>
        </w:tc>
      </w:tr>
      <w:tr w14:paraId="470B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0927B4EB">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11</w:t>
            </w:r>
          </w:p>
        </w:tc>
        <w:tc>
          <w:tcPr>
            <w:tcW w:w="4867" w:type="pct"/>
            <w:vAlign w:val="center"/>
            <w:shd w:val="clear" w:color="auto" w:fill="FFFFFF"/>
          </w:tcPr>
          <w:p w14:paraId="31B2776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#7 AND #9 AND #10 NOT #8 </w:t>
            </w:r>
          </w:p>
        </w:tc>
      </w:tr>
    </w:tbl>
    <w:p w14:paraId="28343EED">
      <w:r>
        <w:rPr>
          <w:color w:val="000000"/>
        </w:rPr>
        <w:br w:type="page"/>
      </w:r>
    </w:p>
    <w:p w14:paraId="7C6BB2DB">
      <w:pPr>
        <w:pStyle w:val="4"/>
        <w:spacing w:before="160" w:after="80"/>
      </w:pPr>
      <w:r>
        <w:rPr>
          <w:rFonts w:ascii="Arial" w:hAnsi="Arial" w:eastAsia="Arial"/>
          <w:color w:val="000000"/>
        </w:rPr>
        <w:t>Search strategy for Web of Science Science Citation Index Expanded</w:t>
      </w:r>
    </w:p>
    <w:tbl>
      <w:tblPr>
        <w:tblStyle w:val="3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3"/>
        <w:gridCol w:w="14089"/>
      </w:tblGrid>
      <w:tr w14:paraId="59D5C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2" w:type="pct"/>
            <w:vAlign w:val="center"/>
            <w:shd w:val="clear" w:color="auto" w:fill="FFFFFF"/>
          </w:tcPr>
          <w:p w14:paraId="0463D3E3">
            <w:pPr>
              <w:snapToGrid w:val="0"/>
              <w:spacing w:before="0" w:after="0" w:line="240" w:lineRule="auto"/>
              <w:ind w:left="0" w:leftChars="0" w:right="0" w:rightChars="0" w:firstLine="0" w:firstLineChars="0"/>
              <w:jc w:val="left"/>
              <w:rPr>
                <w:rFonts w:ascii="Arial" w:eastAsia="Arial"/>
                <w:b/>
                <w:sz w:val="15"/>
              </w:rPr>
            </w:pPr>
            <w:r>
              <w:rPr>
                <w:rFonts w:ascii="Arial" w:hAnsi="Arial" w:eastAsia="Arial"/>
                <w:b/>
                <w:sz w:val="15"/>
                <w:color w:val="000000"/>
              </w:rPr>
              <w:t>#</w:t>
            </w:r>
          </w:p>
        </w:tc>
        <w:tc>
          <w:tcPr>
            <w:tcW w:w="4867" w:type="pct"/>
            <w:vAlign w:val="center"/>
            <w:shd w:val="clear" w:color="auto" w:fill="FFFFFF"/>
          </w:tcPr>
          <w:p w14:paraId="5779DB61">
            <w:pPr>
              <w:snapToGrid w:val="0"/>
              <w:spacing w:before="0" w:after="0" w:line="240" w:lineRule="auto"/>
              <w:ind w:left="0" w:leftChars="0" w:right="0" w:rightChars="0" w:firstLine="0" w:firstLineChars="0"/>
              <w:jc w:val="left"/>
              <w:rPr>
                <w:rFonts w:ascii="Arial" w:eastAsia="Arial"/>
                <w:b/>
                <w:sz w:val="15"/>
              </w:rPr>
            </w:pPr>
            <w:r>
              <w:rPr>
                <w:rFonts w:ascii="Arial" w:hAnsi="Arial" w:eastAsia="Arial"/>
                <w:b/>
                <w:sz w:val="15"/>
                <w:color w:val="000000"/>
              </w:rPr>
              <w:t>search</w:t>
            </w:r>
          </w:p>
        </w:tc>
      </w:tr>
      <w:tr w14:paraId="43BC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7E00A71E">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w:t>
            </w:r>
          </w:p>
        </w:tc>
        <w:tc>
          <w:tcPr>
            <w:tcW w:w="4867" w:type="pct"/>
            <w:vAlign w:val="center"/>
            <w:shd w:val="clear" w:color="auto" w:fill="FFFFFF"/>
          </w:tcPr>
          <w:p w14:paraId="245C699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TS=("cardiovascular-kidney-metabolic syndrome" OR "CKM syndrome" OR "cardiorenal metabolic syndrome" OR "cardiometabolic renal syndrome")    </w:t>
            </w:r>
          </w:p>
        </w:tc>
      </w:tr>
      <w:tr w14:paraId="221F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74325FE1">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2</w:t>
            </w:r>
          </w:p>
        </w:tc>
        <w:tc>
          <w:tcPr>
            <w:tcW w:w="4867" w:type="pct"/>
            <w:vAlign w:val="center"/>
            <w:shd w:val="clear" w:color="auto" w:fill="FFFFFF"/>
          </w:tcPr>
          <w:p w14:paraId="463371A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TS=("hypertension" OR "high blood pressure" OR "elevated blood pressure")    </w:t>
            </w:r>
          </w:p>
        </w:tc>
      </w:tr>
      <w:tr w14:paraId="49C75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76E6FBA4">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3</w:t>
            </w:r>
          </w:p>
        </w:tc>
        <w:tc>
          <w:tcPr>
            <w:tcW w:w="4867" w:type="pct"/>
            <w:vAlign w:val="center"/>
            <w:shd w:val="clear" w:color="auto" w:fill="FFFFFF"/>
          </w:tcPr>
          <w:p w14:paraId="0E125F39">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TS=("dyslipidemia" OR "dyslipidaemia" OR "hyperlipidemia" OR "hyperlipidaemia" OR "hypercholesterolemia" OR "hypercholesterolaemia" OR "high cholesterol" OR "hypertriglyceridemia" OR "hypertriglyceridaemia" OR "high triglyceride" OR "lipid disorder" OR "lipoprotein disorder")    </w:t>
            </w:r>
          </w:p>
        </w:tc>
      </w:tr>
      <w:tr w14:paraId="192D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5F0081A8">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4</w:t>
            </w:r>
          </w:p>
        </w:tc>
        <w:tc>
          <w:tcPr>
            <w:tcW w:w="4867" w:type="pct"/>
            <w:vAlign w:val="center"/>
            <w:shd w:val="clear" w:color="auto" w:fill="FFFFFF"/>
          </w:tcPr>
          <w:p w14:paraId="2C395F39">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TS=("type 2 diabetes" OR "T2DM" OR "type 2 diabetes mellitus" OR "non-insulin dependent diabetes" OR "NIDDM" OR "adult-onset diabetes")    </w:t>
            </w:r>
          </w:p>
        </w:tc>
      </w:tr>
      <w:tr w14:paraId="19E5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282EC127">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5</w:t>
            </w:r>
          </w:p>
        </w:tc>
        <w:tc>
          <w:tcPr>
            <w:tcW w:w="4867" w:type="pct"/>
            <w:vAlign w:val="center"/>
            <w:shd w:val="clear" w:color="auto" w:fill="FFFFFF"/>
          </w:tcPr>
          <w:p w14:paraId="7B99FE1C">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TS=("metabolic syndrome" OR "insulin resistance syndrome" OR "cardiometabolic syndrome" OR "syndrome X")    </w:t>
            </w:r>
          </w:p>
        </w:tc>
      </w:tr>
      <w:tr w14:paraId="7BCA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73AFFF27">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6</w:t>
            </w:r>
          </w:p>
        </w:tc>
        <w:tc>
          <w:tcPr>
            <w:tcW w:w="4867" w:type="pct"/>
            <w:vAlign w:val="center"/>
            <w:shd w:val="clear" w:color="auto" w:fill="FFFFFF"/>
          </w:tcPr>
          <w:p w14:paraId="0F4234A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TS=("chronic kidney disease" OR "chronic renal disease" OR "CKD" OR "chronic renal insufficiency" OR "renal insufficiency, chronic")    </w:t>
            </w:r>
          </w:p>
        </w:tc>
      </w:tr>
      <w:tr w14:paraId="3BD7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3BE3C0B1">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7</w:t>
            </w:r>
          </w:p>
        </w:tc>
        <w:tc>
          <w:tcPr>
            <w:tcW w:w="4867" w:type="pct"/>
            <w:vAlign w:val="center"/>
            <w:shd w:val="clear" w:color="auto" w:fill="FFFFFF"/>
          </w:tcPr>
          <w:p w14:paraId="76FA1603">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TS=("SGLT2 inhibitor" OR "SGLT-2 inhibitor" OR "sodium-glucose cotransporter 2 inhibitor" OR "canagliflozin" OR "dapagliflozin" OR "empagliflozin" OR "ertugliflozin" OR "ipragliflozin" OR "luseogliflozin" OR "tofogliflozin" OR "sotagliflozin" OR "gliflozin")    </w:t>
            </w:r>
          </w:p>
        </w:tc>
      </w:tr>
      <w:tr w14:paraId="1600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391788F9">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8</w:t>
            </w:r>
          </w:p>
        </w:tc>
        <w:tc>
          <w:tcPr>
            <w:tcW w:w="4867" w:type="pct"/>
            <w:vAlign w:val="center"/>
            <w:shd w:val="clear" w:color="auto" w:fill="FFFFFF"/>
          </w:tcPr>
          <w:p w14:paraId="68E09890">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TS=(randomized OR randomised OR "randomly assigned" OR "random allocation" OR "clinical trial" OR RCT)    </w:t>
            </w:r>
          </w:p>
        </w:tc>
      </w:tr>
      <w:tr w14:paraId="2348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070F9B25">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9</w:t>
            </w:r>
          </w:p>
        </w:tc>
        <w:tc>
          <w:tcPr>
            <w:tcW w:w="4867" w:type="pct"/>
            <w:vAlign w:val="center"/>
            <w:shd w:val="clear" w:color="auto" w:fill="FFFFFF"/>
          </w:tcPr>
          <w:p w14:paraId="7805E7E5">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TS=("meta-analysis" OR "meta analysis" OR "systematic review" OR "overview" OR "review" OR "pooled analysis" OR "evidence synthesis") OR DT=(Review)    </w:t>
            </w:r>
          </w:p>
        </w:tc>
      </w:tr>
      <w:tr w14:paraId="2E9C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1460AE87">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10</w:t>
            </w:r>
          </w:p>
        </w:tc>
        <w:tc>
          <w:tcPr>
            <w:tcW w:w="4867" w:type="pct"/>
            <w:vAlign w:val="center"/>
            <w:shd w:val="clear" w:color="auto" w:fill="FFFFFF"/>
          </w:tcPr>
          <w:p w14:paraId="4A49C5C1">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#1 OR #2 OR #3 OR #4 OR #5 OR #6    </w:t>
            </w:r>
          </w:p>
        </w:tc>
      </w:tr>
      <w:tr w14:paraId="1A1B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7BDFFBDB">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11</w:t>
            </w:r>
          </w:p>
        </w:tc>
        <w:tc>
          <w:tcPr>
            <w:tcW w:w="4867" w:type="pct"/>
            <w:vAlign w:val="center"/>
            <w:shd w:val="clear" w:color="auto" w:fill="FFFFFF"/>
          </w:tcPr>
          <w:p w14:paraId="48389705">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#10 AND #8 AND #7    </w:t>
            </w:r>
          </w:p>
        </w:tc>
      </w:tr>
      <w:tr w14:paraId="76D7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2431E6FC">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12</w:t>
            </w:r>
          </w:p>
        </w:tc>
        <w:tc>
          <w:tcPr>
            <w:tcW w:w="4867" w:type="pct"/>
            <w:vAlign w:val="center"/>
            <w:shd w:val="clear" w:color="auto" w:fill="FFFFFF"/>
          </w:tcPr>
          <w:p w14:paraId="178975C2">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 xml:space="preserve">#11 NOT #9    </w:t>
            </w:r>
          </w:p>
        </w:tc>
      </w:tr>
    </w:tbl>
    <w:p w14:paraId="6963F04A">
      <w:r>
        <w:rPr>
          <w:color w:val="000000"/>
        </w:rPr>
        <w:br w:type="page"/>
      </w:r>
    </w:p>
    <w:p w14:paraId="5D31950F">
      <w:pPr>
        <w:pStyle w:val="4"/>
        <w:spacing w:before="160" w:after="80"/>
      </w:pPr>
      <w:r>
        <w:rPr>
          <w:rFonts w:ascii="Arial" w:hAnsi="Arial" w:eastAsia="Arial"/>
          <w:color w:val="000000"/>
        </w:rPr>
        <w:t>Search strategy for Cochrane Central Register of Controlled Trials</w:t>
      </w:r>
    </w:p>
    <w:tbl>
      <w:tblPr>
        <w:tblStyle w:val="33"/>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1"/>
        <w:gridCol w:w="14035"/>
      </w:tblGrid>
      <w:tr w14:paraId="6E85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49" w:type="pct"/>
            <w:vAlign w:val="center"/>
            <w:shd w:val="clear" w:color="auto" w:fill="FFFFFF"/>
          </w:tcPr>
          <w:p w14:paraId="338ADC04">
            <w:pPr>
              <w:numPr>
                <w:numId w:val="0"/>
              </w:numPr>
              <w:snapToGrid w:val="0"/>
              <w:spacing w:before="0" w:after="0" w:line="240" w:lineRule="auto"/>
              <w:ind w:leftChars="0" w:right="0" w:rightChars="0"/>
              <w:jc w:val="left"/>
              <w:rPr>
                <w:rFonts w:ascii="Arial" w:eastAsia="Arial"/>
                <w:b/>
                <w:sz w:val="15"/>
              </w:rPr>
            </w:pPr>
            <w:r>
              <w:rPr>
                <w:rFonts w:ascii="Arial" w:hAnsi="Arial" w:eastAsia="Arial"/>
                <w:b/>
                <w:sz w:val="15"/>
                <w:color w:val="000000"/>
              </w:rPr>
              <w:t>#</w:t>
            </w:r>
          </w:p>
        </w:tc>
        <w:tc>
          <w:tcPr>
            <w:tcW w:w="4850" w:type="pct"/>
            <w:vAlign w:val="center"/>
            <w:shd w:val="clear" w:color="auto" w:fill="FFFFFF"/>
          </w:tcPr>
          <w:p w14:paraId="2ABE0699">
            <w:pPr>
              <w:numPr>
                <w:numId w:val="0"/>
              </w:numPr>
              <w:snapToGrid w:val="0"/>
              <w:spacing w:before="0" w:after="0" w:line="240" w:lineRule="auto"/>
              <w:ind w:leftChars="0" w:right="0" w:rightChars="0"/>
              <w:jc w:val="left"/>
              <w:rPr>
                <w:rFonts w:ascii="Arial" w:eastAsia="Arial"/>
                <w:b/>
                <w:sz w:val="15"/>
              </w:rPr>
            </w:pPr>
            <w:r>
              <w:rPr>
                <w:rFonts w:ascii="Arial" w:hAnsi="Arial" w:eastAsia="Arial"/>
                <w:b/>
                <w:sz w:val="15"/>
                <w:color w:val="000000"/>
              </w:rPr>
              <w:t>search</w:t>
            </w:r>
          </w:p>
        </w:tc>
      </w:tr>
      <w:tr w14:paraId="5912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4CAD2D3F">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w:t>
            </w:r>
          </w:p>
        </w:tc>
        <w:tc>
          <w:tcPr>
            <w:tcW w:w="4850" w:type="pct"/>
            <w:vAlign w:val="center"/>
            <w:shd w:val="clear" w:color="auto" w:fill="FFFFFF"/>
          </w:tcPr>
          <w:p w14:paraId="3CF1385C">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"Sodium-Glucose Transporter 2 Inhibitors"]</w:t>
            </w:r>
          </w:p>
        </w:tc>
      </w:tr>
      <w:tr w14:paraId="3C8C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6F221FD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w:t>
            </w:r>
          </w:p>
        </w:tc>
        <w:tc>
          <w:tcPr>
            <w:tcW w:w="4850" w:type="pct"/>
            <w:vAlign w:val="center"/>
            <w:shd w:val="clear" w:color="auto" w:fill="FFFFFF"/>
          </w:tcPr>
          <w:p w14:paraId="069BF6F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(SGLT2 inhibitor*):ti,ab,kw OR (SGLT-2 inhibitor*):ti,ab,kw OR (gliflozin*):ti,ab,kw</w:t>
            </w:r>
          </w:p>
        </w:tc>
      </w:tr>
      <w:tr w14:paraId="146F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6B6DD373">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w:t>
            </w:r>
          </w:p>
        </w:tc>
        <w:tc>
          <w:tcPr>
            <w:tcW w:w="4850" w:type="pct"/>
            <w:vAlign w:val="center"/>
            <w:shd w:val="clear" w:color="auto" w:fill="FFFFFF"/>
          </w:tcPr>
          <w:p w14:paraId="32D68BDE">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(canagliflozin):ti,ab,kw OR (dapagliflozin):ti,ab,kw OR (empagliflozin):ti,ab,kw OR (ertugliflozin):ti,ab,kw OR (ipragliflozin):ti,ab,kw</w:t>
            </w:r>
          </w:p>
        </w:tc>
      </w:tr>
      <w:tr w14:paraId="4AE0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609A2781">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4</w:t>
            </w:r>
          </w:p>
        </w:tc>
        <w:tc>
          <w:tcPr>
            <w:tcW w:w="4850" w:type="pct"/>
            <w:vAlign w:val="center"/>
            <w:shd w:val="clear" w:color="auto" w:fill="FFFFFF"/>
          </w:tcPr>
          <w:p w14:paraId="278A149B">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(luseogliflozin):ti,ab,kw OR (tofogliflozin):ti,ab,kw OR (sotagliflozin):ti,ab,kw</w:t>
            </w:r>
          </w:p>
        </w:tc>
      </w:tr>
      <w:tr w14:paraId="49F3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21B0A3BF">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5</w:t>
            </w:r>
          </w:p>
        </w:tc>
        <w:tc>
          <w:tcPr>
            <w:tcW w:w="4850" w:type="pct"/>
            <w:vAlign w:val="center"/>
            <w:shd w:val="clear" w:color="auto" w:fill="FFFFFF"/>
          </w:tcPr>
          <w:p w14:paraId="1EF663A2">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 OR #2 OR #3 OR #4</w:t>
            </w:r>
          </w:p>
        </w:tc>
      </w:tr>
      <w:tr w14:paraId="5E60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48784AA0">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6</w:t>
            </w:r>
          </w:p>
        </w:tc>
        <w:tc>
          <w:tcPr>
            <w:tcW w:w="4850" w:type="pct"/>
            <w:vAlign w:val="center"/>
            <w:shd w:val="clear" w:color="auto" w:fill="FFFFFF"/>
          </w:tcPr>
          <w:p w14:paraId="6CF9C070">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Hypertension]</w:t>
            </w:r>
          </w:p>
        </w:tc>
      </w:tr>
      <w:tr w14:paraId="0B0C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4ADA3C86">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7</w:t>
            </w:r>
          </w:p>
        </w:tc>
        <w:tc>
          <w:tcPr>
            <w:tcW w:w="4850" w:type="pct"/>
            <w:vAlign w:val="center"/>
            <w:shd w:val="clear" w:color="auto" w:fill="FFFFFF"/>
          </w:tcPr>
          <w:p w14:paraId="3D51101D">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("High Blood Pressure"):ti,ab,kw OR ("High Blood Pressures"):ti,ab,kw</w:t>
            </w:r>
          </w:p>
        </w:tc>
      </w:tr>
      <w:tr w14:paraId="364A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461ECD6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8</w:t>
            </w:r>
          </w:p>
        </w:tc>
        <w:tc>
          <w:tcPr>
            <w:tcW w:w="4850" w:type="pct"/>
            <w:vAlign w:val="center"/>
            <w:shd w:val="clear" w:color="auto" w:fill="FFFFFF"/>
          </w:tcPr>
          <w:p w14:paraId="7144D4DC">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#6 OR #7</w:t>
            </w:r>
          </w:p>
        </w:tc>
      </w:tr>
      <w:tr w14:paraId="11BA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3A9C942D">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9</w:t>
            </w:r>
          </w:p>
        </w:tc>
        <w:tc>
          <w:tcPr>
            <w:tcW w:w="4850" w:type="pct"/>
            <w:vAlign w:val="center"/>
            <w:shd w:val="clear" w:color="auto" w:fill="FFFFFF"/>
          </w:tcPr>
          <w:p w14:paraId="0B0AA665">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Dyslipidemias]</w:t>
            </w:r>
          </w:p>
        </w:tc>
      </w:tr>
      <w:tr w14:paraId="1EBF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0CCDB80F">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10</w:t>
            </w:r>
          </w:p>
        </w:tc>
        <w:tc>
          <w:tcPr>
            <w:tcW w:w="4850" w:type="pct"/>
            <w:vAlign w:val="center"/>
            <w:shd w:val="clear" w:color="auto" w:fill="FFFFFF"/>
          </w:tcPr>
          <w:p w14:paraId="182014EF">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(dyslipid*):ti,ab,kw OR (dyslipemia*):ti,ab,kw OR (lipid NEXT disorder*):ti,ab,kw OR (lipoprotein NEXT disorder*):ti,ab,kw</w:t>
            </w:r>
          </w:p>
        </w:tc>
      </w:tr>
      <w:tr w14:paraId="7F4E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287EEC74">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11</w:t>
            </w:r>
          </w:p>
        </w:tc>
        <w:tc>
          <w:tcPr>
            <w:tcW w:w="4850" w:type="pct"/>
            <w:vAlign w:val="center"/>
            <w:shd w:val="clear" w:color="auto" w:fill="FFFFFF"/>
          </w:tcPr>
          <w:p w14:paraId="30D4C390">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(hyperlipid*):ti,ab,kw OR (hyperlipemia*):ti,ab,kw OR (hypercholesterolemia):ti,ab,kw OR (hypercholesterolaemia):ti,ab,kw OR ("high cholesterol"):ti,ab,kw</w:t>
            </w:r>
          </w:p>
        </w:tc>
      </w:tr>
      <w:tr w14:paraId="2894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5A1569F0">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12</w:t>
            </w:r>
          </w:p>
        </w:tc>
        <w:tc>
          <w:tcPr>
            <w:tcW w:w="4850" w:type="pct"/>
            <w:vAlign w:val="center"/>
            <w:shd w:val="clear" w:color="auto" w:fill="FFFFFF"/>
          </w:tcPr>
          <w:p w14:paraId="5D4A513E">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(hypertriglyceridemia):ti,ab,kw OR (hypertriglyceridaemia):ti,ab,kw OR (high NEXT triglyceride*):ti,ab,kw</w:t>
            </w:r>
          </w:p>
        </w:tc>
      </w:tr>
      <w:tr w14:paraId="624C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785A6F98">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13</w:t>
            </w:r>
          </w:p>
        </w:tc>
        <w:tc>
          <w:tcPr>
            <w:tcW w:w="4850" w:type="pct"/>
            <w:vAlign w:val="center"/>
            <w:shd w:val="clear" w:color="auto" w:fill="FFFFFF"/>
          </w:tcPr>
          <w:p w14:paraId="01A3332E">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#9 OR #10 OR #11 OR #12</w:t>
            </w:r>
          </w:p>
        </w:tc>
      </w:tr>
      <w:tr w14:paraId="4C20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6A9AF877">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14</w:t>
            </w:r>
          </w:p>
        </w:tc>
        <w:tc>
          <w:tcPr>
            <w:tcW w:w="4850" w:type="pct"/>
            <w:vAlign w:val="center"/>
            <w:shd w:val="clear" w:color="auto" w:fill="FFFFFF"/>
          </w:tcPr>
          <w:p w14:paraId="57056EC5">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"Diabetes Mellitus, Type 2"]</w:t>
            </w:r>
            <w:r>
              <w:rPr>
                <w:rFonts w:ascii="Arial" w:hAnsi="Arial" w:eastAsia="Arial"/>
                <w:sz w:val="15"/>
                <w:color w:val="000000"/>
              </w:rPr>
              <w:tab/>
            </w:r>
          </w:p>
        </w:tc>
      </w:tr>
      <w:tr w14:paraId="5E3A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5DD806A5">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15</w:t>
            </w:r>
          </w:p>
        </w:tc>
        <w:tc>
          <w:tcPr>
            <w:tcW w:w="4850" w:type="pct"/>
            <w:vAlign w:val="center"/>
            <w:shd w:val="clear" w:color="auto" w:fill="FFFFFF"/>
          </w:tcPr>
          <w:p w14:paraId="6EAFC887">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("Adult-Onset Diabetes Mellitus"):ti,ab,kw OR (NIDDM):ti,ab,kw OR ("Non-Insulin-Dependent Diabetes Mellitus"):ti,ab,kw</w:t>
            </w:r>
          </w:p>
        </w:tc>
      </w:tr>
      <w:tr w14:paraId="7917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2522DA32">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16</w:t>
            </w:r>
          </w:p>
        </w:tc>
        <w:tc>
          <w:tcPr>
            <w:tcW w:w="4850" w:type="pct"/>
            <w:vAlign w:val="center"/>
            <w:shd w:val="clear" w:color="auto" w:fill="FFFFFF"/>
          </w:tcPr>
          <w:p w14:paraId="552CE11D">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("Maturity-Onset Diabetes"):ti,ab,kw OR ("Type 2 Diabetes"):ti,ab,kw OR (T2DM):ti,ab,kw</w:t>
            </w:r>
          </w:p>
        </w:tc>
      </w:tr>
      <w:tr w14:paraId="730C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035C87A6">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17</w:t>
            </w:r>
          </w:p>
        </w:tc>
        <w:tc>
          <w:tcPr>
            <w:tcW w:w="4850" w:type="pct"/>
            <w:vAlign w:val="center"/>
            <w:shd w:val="clear" w:color="auto" w:fill="FFFFFF"/>
          </w:tcPr>
          <w:p w14:paraId="254917C5">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#14 OR #15 OR #16</w:t>
            </w:r>
          </w:p>
        </w:tc>
      </w:tr>
      <w:tr w14:paraId="7D1D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7F3313DA">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18</w:t>
            </w:r>
          </w:p>
        </w:tc>
        <w:tc>
          <w:tcPr>
            <w:tcW w:w="4850" w:type="pct"/>
            <w:vAlign w:val="center"/>
            <w:shd w:val="clear" w:color="auto" w:fill="FFFFFF"/>
          </w:tcPr>
          <w:p w14:paraId="05CDBF0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"Metabolic Syndrome"]</w:t>
            </w:r>
          </w:p>
        </w:tc>
      </w:tr>
      <w:tr w14:paraId="28B2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22A87BDD">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19</w:t>
            </w:r>
          </w:p>
        </w:tc>
        <w:tc>
          <w:tcPr>
            <w:tcW w:w="4850" w:type="pct"/>
            <w:vAlign w:val="center"/>
            <w:shd w:val="clear" w:color="auto" w:fill="FFFFFF"/>
          </w:tcPr>
          <w:p w14:paraId="0442EB11">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("Metabolic X Syndrome"):ti,ab,kw OR ("Cardiometabolic Syndrome"):ti,ab,kw OR ("Insulin Resistance Syndrome X"):ti,ab,kw</w:t>
            </w:r>
          </w:p>
        </w:tc>
      </w:tr>
      <w:tr w14:paraId="595E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4D020A6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20</w:t>
            </w:r>
          </w:p>
        </w:tc>
        <w:tc>
          <w:tcPr>
            <w:tcW w:w="4850" w:type="pct"/>
            <w:vAlign w:val="center"/>
            <w:shd w:val="clear" w:color="auto" w:fill="FFFFFF"/>
          </w:tcPr>
          <w:p w14:paraId="0EB74211">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#18 OR #19</w:t>
            </w:r>
          </w:p>
        </w:tc>
      </w:tr>
      <w:tr w14:paraId="2D65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57568035">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21</w:t>
            </w:r>
          </w:p>
        </w:tc>
        <w:tc>
          <w:tcPr>
            <w:tcW w:w="4850" w:type="pct"/>
            <w:vAlign w:val="center"/>
            <w:shd w:val="clear" w:color="auto" w:fill="FFFFFF"/>
          </w:tcPr>
          <w:p w14:paraId="2A40A9ED">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"Renal Insufficiency, Chronic"]</w:t>
            </w:r>
          </w:p>
        </w:tc>
      </w:tr>
      <w:tr w14:paraId="52C55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790EEAEF">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22</w:t>
            </w:r>
          </w:p>
        </w:tc>
        <w:tc>
          <w:tcPr>
            <w:tcW w:w="4850" w:type="pct"/>
            <w:vAlign w:val="center"/>
            <w:shd w:val="clear" w:color="auto" w:fill="FFFFFF"/>
          </w:tcPr>
          <w:p w14:paraId="67441618">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(Chronic NEXT Kidney NEXT Disease*):ti,ab,kw OR (Chronic NEXT Renal NEXT Disease*):ti,ab,kw OR (CKD):ti,ab,kw</w:t>
            </w:r>
          </w:p>
        </w:tc>
      </w:tr>
      <w:tr w14:paraId="3BD9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733479C1">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23</w:t>
            </w:r>
          </w:p>
        </w:tc>
        <w:tc>
          <w:tcPr>
            <w:tcW w:w="4850" w:type="pct"/>
            <w:vAlign w:val="center"/>
            <w:shd w:val="clear" w:color="auto" w:fill="FFFFFF"/>
          </w:tcPr>
          <w:p w14:paraId="31839C43">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#21 OR #22</w:t>
            </w:r>
          </w:p>
        </w:tc>
      </w:tr>
      <w:tr w14:paraId="2F1C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1A43528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24</w:t>
            </w:r>
          </w:p>
        </w:tc>
        <w:tc>
          <w:tcPr>
            <w:tcW w:w="4850" w:type="pct"/>
            <w:vAlign w:val="center"/>
            <w:shd w:val="clear" w:color="auto" w:fill="FFFFFF"/>
          </w:tcPr>
          <w:p w14:paraId="5967EA2D">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("cardiovascular-kidney-metabolic syndrome"):ti,ab,kw OR ("CKM syndrome"):ti,ab,kw OR ("cardiorenal metabolic syndrome"):ti,ab,kw OR ("cardiometabolic renal syndrome"):ti,ab,kw</w:t>
            </w:r>
          </w:p>
        </w:tc>
      </w:tr>
      <w:tr w14:paraId="394C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733C139D">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25</w:t>
            </w:r>
          </w:p>
        </w:tc>
        <w:tc>
          <w:tcPr>
            <w:tcW w:w="4850" w:type="pct"/>
            <w:vAlign w:val="center"/>
            <w:shd w:val="clear" w:color="auto" w:fill="FFFFFF"/>
          </w:tcPr>
          <w:p w14:paraId="51D8B1C4">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#8 OR #13 OR #17 OR #20 OR #23 OR #24</w:t>
            </w:r>
          </w:p>
        </w:tc>
      </w:tr>
      <w:tr w14:paraId="3C67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674A1E2D">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26</w:t>
            </w:r>
          </w:p>
        </w:tc>
        <w:tc>
          <w:tcPr>
            <w:tcW w:w="4850" w:type="pct"/>
            <w:vAlign w:val="center"/>
            <w:shd w:val="clear" w:color="auto" w:fill="FFFFFF"/>
          </w:tcPr>
          <w:p w14:paraId="41501BA1">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"Randomized Controlled Trial"]</w:t>
            </w:r>
          </w:p>
        </w:tc>
      </w:tr>
      <w:tr w14:paraId="1FCF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2EFFD07B">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27</w:t>
            </w:r>
          </w:p>
        </w:tc>
        <w:tc>
          <w:tcPr>
            <w:tcW w:w="4850" w:type="pct"/>
            <w:vAlign w:val="center"/>
            <w:shd w:val="clear" w:color="auto" w:fill="FFFFFF"/>
          </w:tcPr>
          <w:p w14:paraId="2AAABE4C">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"Controlled Clinical Trial"]</w:t>
            </w:r>
          </w:p>
        </w:tc>
      </w:tr>
      <w:tr w14:paraId="5525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57AE4CEE">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28</w:t>
            </w:r>
          </w:p>
        </w:tc>
        <w:tc>
          <w:tcPr>
            <w:tcW w:w="4850" w:type="pct"/>
            <w:vAlign w:val="center"/>
            <w:shd w:val="clear" w:color="auto" w:fill="FFFFFF"/>
          </w:tcPr>
          <w:p w14:paraId="4CD95A4F">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"Randomized Controlled Trials as Topic"]</w:t>
            </w:r>
          </w:p>
        </w:tc>
      </w:tr>
      <w:tr w14:paraId="2E82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6871A9AE">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29</w:t>
            </w:r>
          </w:p>
        </w:tc>
        <w:tc>
          <w:tcPr>
            <w:tcW w:w="4850" w:type="pct"/>
            <w:vAlign w:val="center"/>
            <w:shd w:val="clear" w:color="auto" w:fill="FFFFFF"/>
          </w:tcPr>
          <w:p w14:paraId="071C9B8B">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(randomized):ti,ab,kw OR (randomised):ti,ab,kw</w:t>
            </w:r>
          </w:p>
        </w:tc>
      </w:tr>
      <w:tr w14:paraId="2E4B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58616B53">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30</w:t>
            </w:r>
          </w:p>
        </w:tc>
        <w:tc>
          <w:tcPr>
            <w:tcW w:w="4850" w:type="pct"/>
            <w:vAlign w:val="center"/>
            <w:shd w:val="clear" w:color="auto" w:fill="FFFFFF"/>
          </w:tcPr>
          <w:p w14:paraId="3F986D2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("randomly assigned"):ti,ab,kw OR ("random allocation"):ti,ab,kw</w:t>
            </w:r>
          </w:p>
        </w:tc>
      </w:tr>
      <w:tr w14:paraId="03B3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032BEF6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31</w:t>
            </w:r>
          </w:p>
        </w:tc>
        <w:tc>
          <w:tcPr>
            <w:tcW w:w="4850" w:type="pct"/>
            <w:vAlign w:val="center"/>
            <w:shd w:val="clear" w:color="auto" w:fill="FFFFFF"/>
          </w:tcPr>
          <w:p w14:paraId="65280D7F">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(RCT):ti,ab,kw OR ("clinical trial"):ti,ab,kw OR ("controlled trial"):ti,ab,kw</w:t>
            </w:r>
          </w:p>
        </w:tc>
      </w:tr>
      <w:tr w14:paraId="7A53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468E35D7">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32</w:t>
            </w:r>
          </w:p>
        </w:tc>
        <w:tc>
          <w:tcPr>
            <w:tcW w:w="4850" w:type="pct"/>
            <w:vAlign w:val="center"/>
            <w:shd w:val="clear" w:color="auto" w:fill="FFFFFF"/>
          </w:tcPr>
          <w:p w14:paraId="7131A0A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(singl*):ti,ab,kw OR (doubl*):ti,ab,kw OR (trebl*):ti,ab,kw OR (tripl*):ti,ab,kw</w:t>
            </w:r>
          </w:p>
        </w:tc>
      </w:tr>
      <w:tr w14:paraId="5541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208709B6">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33</w:t>
            </w:r>
          </w:p>
        </w:tc>
        <w:tc>
          <w:tcPr>
            <w:tcW w:w="4850" w:type="pct"/>
            <w:vAlign w:val="center"/>
            <w:shd w:val="clear" w:color="auto" w:fill="FFFFFF"/>
          </w:tcPr>
          <w:p w14:paraId="25553B66">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(trial*):ti,ab,kw OR (group*):ti,ab,kw</w:t>
            </w:r>
          </w:p>
        </w:tc>
      </w:tr>
      <w:tr w14:paraId="5E9A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5719C0BA">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34</w:t>
            </w:r>
          </w:p>
        </w:tc>
        <w:tc>
          <w:tcPr>
            <w:tcW w:w="4850" w:type="pct"/>
            <w:vAlign w:val="center"/>
            <w:shd w:val="clear" w:color="auto" w:fill="FFFFFF"/>
          </w:tcPr>
          <w:p w14:paraId="36D328B0">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#26 OR #27 OR #28 OR #29 OR #30</w:t>
            </w:r>
          </w:p>
        </w:tc>
      </w:tr>
      <w:tr w14:paraId="3280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16842A21">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35</w:t>
            </w:r>
          </w:p>
        </w:tc>
        <w:tc>
          <w:tcPr>
            <w:tcW w:w="4850" w:type="pct"/>
            <w:vAlign w:val="center"/>
            <w:shd w:val="clear" w:color="auto" w:fill="FFFFFF"/>
          </w:tcPr>
          <w:p w14:paraId="052B6E58">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#31 OR #32 OR #33</w:t>
            </w:r>
          </w:p>
        </w:tc>
      </w:tr>
      <w:tr w14:paraId="0782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157E127E">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36</w:t>
            </w:r>
          </w:p>
        </w:tc>
        <w:tc>
          <w:tcPr>
            <w:tcW w:w="4850" w:type="pct"/>
            <w:vAlign w:val="center"/>
            <w:shd w:val="clear" w:color="auto" w:fill="FFFFFF"/>
          </w:tcPr>
          <w:p w14:paraId="14A61AB4">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#34 OR #35</w:t>
            </w:r>
          </w:p>
        </w:tc>
      </w:tr>
      <w:tr w14:paraId="7410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6489BFDC">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37</w:t>
            </w:r>
          </w:p>
        </w:tc>
        <w:tc>
          <w:tcPr>
            <w:tcW w:w="4850" w:type="pct"/>
            <w:vAlign w:val="center"/>
            <w:shd w:val="clear" w:color="auto" w:fill="FFFFFF"/>
          </w:tcPr>
          <w:p w14:paraId="010B3300">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"Meta-Analysis"]</w:t>
            </w:r>
          </w:p>
        </w:tc>
      </w:tr>
      <w:tr w14:paraId="145B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623AE6D2">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38</w:t>
            </w:r>
          </w:p>
        </w:tc>
        <w:tc>
          <w:tcPr>
            <w:tcW w:w="4850" w:type="pct"/>
            <w:vAlign w:val="center"/>
            <w:shd w:val="clear" w:color="auto" w:fill="FFFFFF"/>
          </w:tcPr>
          <w:p w14:paraId="46BA2652">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[mh Review]</w:t>
            </w:r>
          </w:p>
        </w:tc>
      </w:tr>
      <w:tr w14:paraId="023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66C96742">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39</w:t>
            </w:r>
          </w:p>
        </w:tc>
        <w:tc>
          <w:tcPr>
            <w:tcW w:w="4850" w:type="pct"/>
            <w:vAlign w:val="center"/>
            <w:shd w:val="clear" w:color="auto" w:fill="FFFFFF"/>
          </w:tcPr>
          <w:p w14:paraId="51FBF7A0">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("meta analysis"):ti,ab,kw OR ("meta-analysis"):ti,ab,kw OR ("systematic review"):ti,ab,kw</w:t>
            </w:r>
          </w:p>
        </w:tc>
      </w:tr>
      <w:tr w14:paraId="1D5E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1CD07839">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40</w:t>
            </w:r>
          </w:p>
        </w:tc>
        <w:tc>
          <w:tcPr>
            <w:tcW w:w="4850" w:type="pct"/>
            <w:vAlign w:val="center"/>
            <w:shd w:val="clear" w:color="auto" w:fill="FFFFFF"/>
          </w:tcPr>
          <w:p w14:paraId="18855CE0">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(review):pt</w:t>
            </w:r>
          </w:p>
        </w:tc>
      </w:tr>
      <w:tr w14:paraId="1BC1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2E791F42">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41</w:t>
            </w:r>
          </w:p>
        </w:tc>
        <w:tc>
          <w:tcPr>
            <w:tcW w:w="4850" w:type="pct"/>
            <w:vAlign w:val="center"/>
            <w:shd w:val="clear" w:color="auto" w:fill="FFFFFF"/>
          </w:tcPr>
          <w:p w14:paraId="55AB7E4D">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#37 OR #38 OR #39 OR #40</w:t>
            </w:r>
            <w:r>
              <w:rPr>
                <w:rFonts w:ascii="Arial" w:hAnsi="Arial" w:eastAsia="Arial"/>
                <w:sz w:val="15"/>
                <w:color w:val="000000"/>
              </w:rPr>
              <w:tab/>
            </w:r>
          </w:p>
        </w:tc>
      </w:tr>
      <w:tr w14:paraId="784C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3D3FC115">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42</w:t>
            </w:r>
          </w:p>
        </w:tc>
        <w:tc>
          <w:tcPr>
            <w:tcW w:w="4850" w:type="pct"/>
            <w:vAlign w:val="center"/>
            <w:shd w:val="clear" w:color="auto" w:fill="FFFFFF"/>
          </w:tcPr>
          <w:p w14:paraId="01DEBA2A">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#5 AND #25 AND #36</w:t>
            </w:r>
          </w:p>
        </w:tc>
      </w:tr>
      <w:tr w14:paraId="6462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9" w:type="pct"/>
            <w:vAlign w:val="center"/>
            <w:shd w:val="clear" w:color="auto" w:fill="FFFFFF"/>
          </w:tcPr>
          <w:p w14:paraId="746BE865">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43</w:t>
            </w:r>
          </w:p>
        </w:tc>
        <w:tc>
          <w:tcPr>
            <w:tcW w:w="4850" w:type="pct"/>
            <w:vAlign w:val="center"/>
            <w:shd w:val="clear" w:color="auto" w:fill="FFFFFF"/>
          </w:tcPr>
          <w:p w14:paraId="294ED78C">
            <w:pPr>
              <w:numPr>
                <w:numId w:val="0"/>
              </w:numPr>
              <w:snapToGrid w:val="0"/>
              <w:spacing w:before="0" w:after="0" w:line="240" w:lineRule="auto"/>
              <w:ind w:leftChars="0" w:right="0" w:rightChars="0"/>
              <w:jc w:val="left"/>
              <w:rPr>
                <w:rFonts w:ascii="Arial" w:eastAsia="Arial"/>
                <w:sz w:val="15"/>
              </w:rPr>
            </w:pPr>
            <w:r>
              <w:rPr>
                <w:rFonts w:ascii="Arial" w:hAnsi="Arial" w:eastAsia="Arial"/>
                <w:sz w:val="15"/>
                <w:color w:val="000000"/>
              </w:rPr>
              <w:t>#42 NOT #41</w:t>
            </w:r>
          </w:p>
        </w:tc>
      </w:tr>
    </w:tbl>
    <w:p w14:paraId="5C3E7685">
      <w:r>
        <w:rPr>
          <w:color w:val="000000"/>
        </w:rPr>
        <w:br w:type="page"/>
      </w:r>
    </w:p>
    <w:p w14:paraId="60EE2FC8">
      <w:pPr>
        <w:pStyle w:val="4"/>
        <w:spacing w:before="160" w:after="80"/>
      </w:pPr>
      <w:r>
        <w:rPr>
          <w:rFonts w:ascii="Arial" w:hAnsi="Arial" w:eastAsia="Arial"/>
          <w:color w:val="000000"/>
        </w:rPr>
        <w:t>Search strategy for Embase</w:t>
      </w:r>
    </w:p>
    <w:tbl>
      <w:tblPr>
        <w:tblStyle w:val="3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3"/>
        <w:gridCol w:w="14089"/>
      </w:tblGrid>
      <w:tr w14:paraId="50B6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2" w:type="pct"/>
            <w:vAlign w:val="center"/>
            <w:shd w:val="clear" w:color="auto" w:fill="FFFFFF"/>
          </w:tcPr>
          <w:p w14:paraId="3DEF0B98">
            <w:pPr>
              <w:snapToGrid w:val="0"/>
              <w:spacing w:before="0" w:after="0" w:line="240" w:lineRule="auto"/>
              <w:ind w:left="0" w:leftChars="0" w:right="0" w:rightChars="0" w:firstLine="0" w:firstLineChars="0"/>
              <w:jc w:val="left"/>
              <w:rPr>
                <w:rFonts w:ascii="Arial" w:eastAsia="Arial"/>
                <w:b/>
                <w:sz w:val="15"/>
              </w:rPr>
            </w:pPr>
            <w:bookmarkStart w:id="0" w:name="_GoBack" w:colFirst="0" w:colLast="1"/>
            <w:r>
              <w:rPr>
                <w:rFonts w:ascii="Arial" w:hAnsi="Arial" w:eastAsia="Arial"/>
                <w:b/>
                <w:sz w:val="15"/>
                <w:color w:val="000000"/>
              </w:rPr>
              <w:t>#</w:t>
            </w:r>
          </w:p>
        </w:tc>
        <w:tc>
          <w:tcPr>
            <w:tcW w:w="4867" w:type="pct"/>
            <w:vAlign w:val="center"/>
            <w:shd w:val="clear" w:color="auto" w:fill="FFFFFF"/>
          </w:tcPr>
          <w:p w14:paraId="4430255C">
            <w:pPr>
              <w:snapToGrid w:val="0"/>
              <w:spacing w:before="0" w:after="0" w:line="240" w:lineRule="auto"/>
              <w:ind w:left="0" w:leftChars="0" w:right="0" w:rightChars="0" w:firstLine="0" w:firstLineChars="0"/>
              <w:jc w:val="left"/>
              <w:rPr>
                <w:rFonts w:ascii="Arial" w:eastAsia="Arial"/>
                <w:b/>
                <w:sz w:val="15"/>
              </w:rPr>
            </w:pPr>
            <w:r>
              <w:rPr>
                <w:rFonts w:ascii="Arial" w:hAnsi="Arial" w:eastAsia="Arial"/>
                <w:b/>
                <w:sz w:val="15"/>
                <w:color w:val="000000"/>
              </w:rPr>
              <w:t>search</w:t>
            </w:r>
          </w:p>
        </w:tc>
      </w:tr>
      <w:tr w14:paraId="06BC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3CE8AFFF">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w:t>
            </w:r>
          </w:p>
        </w:tc>
        <w:tc>
          <w:tcPr>
            <w:tcW w:w="4867" w:type="pct"/>
            <w:vAlign w:val="center"/>
            <w:shd w:val="clear" w:color="auto" w:fill="FFFFFF"/>
          </w:tcPr>
          <w:p w14:paraId="343F5488">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'sglt2 inhibitor*':ti,ab,kw OR 'sglt-2 inhibitor*':ti,ab,kw OR 'gliflozin*':ti,ab,kw</w:t>
            </w:r>
          </w:p>
        </w:tc>
      </w:tr>
      <w:tr w14:paraId="4F60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7F759434">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2</w:t>
            </w:r>
          </w:p>
        </w:tc>
        <w:tc>
          <w:tcPr>
            <w:tcW w:w="4867" w:type="pct"/>
            <w:vAlign w:val="center"/>
            <w:shd w:val="clear" w:color="auto" w:fill="FFFFFF"/>
          </w:tcPr>
          <w:p w14:paraId="0C2D06B8">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canagliflozin:ti,ab,kw OR dapagliflozin:ti,ab,kw OR empagliflozin:ti,ab,kw OR ertugliflozin:ti,ab,kw OR ipragliflozin:ti,ab,kw OR luseogliflozin:ti,ab,kw OR tofogliflozin:ti,ab,kw OR sotagliflozin:ti,ab,kw</w:t>
            </w:r>
          </w:p>
        </w:tc>
      </w:tr>
      <w:tr w14:paraId="296E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493F71A9">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3</w:t>
            </w:r>
          </w:p>
        </w:tc>
        <w:tc>
          <w:tcPr>
            <w:tcW w:w="4867" w:type="pct"/>
            <w:vAlign w:val="center"/>
            <w:shd w:val="clear" w:color="auto" w:fill="FFFFFF"/>
          </w:tcPr>
          <w:p w14:paraId="376436F9">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'sodium glucose cotransporter 2 inhibitor'/exp</w:t>
            </w:r>
          </w:p>
        </w:tc>
      </w:tr>
      <w:tr w14:paraId="33C2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16B4709B">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4</w:t>
            </w:r>
          </w:p>
        </w:tc>
        <w:tc>
          <w:tcPr>
            <w:tcW w:w="4867" w:type="pct"/>
            <w:vAlign w:val="center"/>
            <w:shd w:val="clear" w:color="auto" w:fill="FFFFFF"/>
          </w:tcPr>
          <w:p w14:paraId="4EE8A7CC">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 OR #2 OR #3</w:t>
            </w:r>
          </w:p>
        </w:tc>
      </w:tr>
      <w:tr w14:paraId="7C34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55CF64BB">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5</w:t>
            </w:r>
          </w:p>
        </w:tc>
        <w:tc>
          <w:tcPr>
            <w:tcW w:w="4867" w:type="pct"/>
            <w:vAlign w:val="center"/>
            <w:shd w:val="clear" w:color="auto" w:fill="FFFFFF"/>
          </w:tcPr>
          <w:p w14:paraId="02411B09">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'hypertension'/exp</w:t>
            </w:r>
          </w:p>
        </w:tc>
      </w:tr>
      <w:tr w14:paraId="7F61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5BECCD0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6</w:t>
            </w:r>
          </w:p>
        </w:tc>
        <w:tc>
          <w:tcPr>
            <w:tcW w:w="4867" w:type="pct"/>
            <w:vAlign w:val="center"/>
            <w:shd w:val="clear" w:color="auto" w:fill="FFFFFF"/>
          </w:tcPr>
          <w:p w14:paraId="26236AEE">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'high blood pressure':ti,ab,kw OR 'high blood pressures':ti,ab,kw</w:t>
            </w:r>
          </w:p>
        </w:tc>
      </w:tr>
      <w:tr w14:paraId="4A78E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1605588D">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7</w:t>
            </w:r>
          </w:p>
        </w:tc>
        <w:tc>
          <w:tcPr>
            <w:tcW w:w="4867" w:type="pct"/>
            <w:vAlign w:val="center"/>
            <w:shd w:val="clear" w:color="auto" w:fill="FFFFFF"/>
          </w:tcPr>
          <w:p w14:paraId="5A60AF07">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'dyslipidemia'/exp</w:t>
            </w:r>
          </w:p>
        </w:tc>
      </w:tr>
      <w:tr w14:paraId="0E6F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60FD6BE4">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8</w:t>
            </w:r>
          </w:p>
        </w:tc>
        <w:tc>
          <w:tcPr>
            <w:tcW w:w="4867" w:type="pct"/>
            <w:vAlign w:val="center"/>
            <w:shd w:val="clear" w:color="auto" w:fill="FFFFFF"/>
          </w:tcPr>
          <w:p w14:paraId="0BAD4060">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dyslipid*:ti,ab,kw OR dyslipemia*:ti,ab,kw OR 'lipid disorder*':ti,ab,kw OR 'lipoprotein disorder*':ti,ab,kw OR hyperlipid*:ti,ab,kw OR hyperlipemia*:ti,ab,kw OR hypercholesterolemia:ti,ab,kw OR hypercholesterolaemia:ti,ab,kw OR 'high cholesterol':ti,ab,kw OR hypertriglyceridemia:ti,ab,kw OR hypertriglyceridaemia:ti,ab,kw OR 'high triglyceride*':ti,ab,kw</w:t>
            </w:r>
          </w:p>
        </w:tc>
      </w:tr>
      <w:tr w14:paraId="0DA9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4624DB24">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9</w:t>
            </w:r>
          </w:p>
        </w:tc>
        <w:tc>
          <w:tcPr>
            <w:tcW w:w="4867" w:type="pct"/>
            <w:vAlign w:val="center"/>
            <w:shd w:val="clear" w:color="auto" w:fill="FFFFFF"/>
          </w:tcPr>
          <w:p w14:paraId="71FA2720">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'non insulin dependent diabetes mellitus'/exp</w:t>
            </w:r>
          </w:p>
        </w:tc>
      </w:tr>
      <w:tr w14:paraId="2C60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4F8EE31A">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10</w:t>
            </w:r>
          </w:p>
        </w:tc>
        <w:tc>
          <w:tcPr>
            <w:tcW w:w="4867" w:type="pct"/>
            <w:vAlign w:val="center"/>
            <w:shd w:val="clear" w:color="auto" w:fill="FFFFFF"/>
          </w:tcPr>
          <w:p w14:paraId="504E9CA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'type 2 diabetes':ti,ab,kw OR 't2dm':ti,ab,kw OR 'niddm':ti,ab,kw OR 'non-insulin-dependent diabetes mellitus':ti,ab,kw OR 'adult-onset diabetes mellitus':ti,ab,kw OR 'maturity-onset diabetes':ti,ab,kw</w:t>
            </w:r>
          </w:p>
        </w:tc>
      </w:tr>
      <w:tr w14:paraId="0185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22B93C50">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11</w:t>
            </w:r>
          </w:p>
        </w:tc>
        <w:tc>
          <w:tcPr>
            <w:tcW w:w="4867" w:type="pct"/>
            <w:vAlign w:val="center"/>
            <w:shd w:val="clear" w:color="auto" w:fill="FFFFFF"/>
          </w:tcPr>
          <w:p w14:paraId="7012F556">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'metabolic syndrome x'/exp</w:t>
            </w:r>
          </w:p>
        </w:tc>
      </w:tr>
      <w:tr w14:paraId="7C44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7AE6020D">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12</w:t>
            </w:r>
          </w:p>
        </w:tc>
        <w:tc>
          <w:tcPr>
            <w:tcW w:w="4867" w:type="pct"/>
            <w:vAlign w:val="center"/>
            <w:shd w:val="clear" w:color="auto" w:fill="FFFFFF"/>
          </w:tcPr>
          <w:p w14:paraId="2B9112FB">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'metabolic syndrome':ti,ab,kw OR 'metabolic x syndrome':ti,ab,kw OR 'cardiometabolic syndrome':ti,ab,kw OR 'insulin resistance syndrome x':ti,ab,kw</w:t>
            </w:r>
          </w:p>
        </w:tc>
      </w:tr>
      <w:tr w14:paraId="4417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58239BF3">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13</w:t>
            </w:r>
          </w:p>
        </w:tc>
        <w:tc>
          <w:tcPr>
            <w:tcW w:w="4867" w:type="pct"/>
            <w:vAlign w:val="center"/>
            <w:shd w:val="clear" w:color="auto" w:fill="FFFFFF"/>
          </w:tcPr>
          <w:p w14:paraId="5A21F981">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'chronic kidney disease'/exp</w:t>
            </w:r>
          </w:p>
        </w:tc>
      </w:tr>
      <w:tr w14:paraId="5703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3517448F">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14</w:t>
            </w:r>
          </w:p>
        </w:tc>
        <w:tc>
          <w:tcPr>
            <w:tcW w:w="4867" w:type="pct"/>
            <w:vAlign w:val="center"/>
            <w:shd w:val="clear" w:color="auto" w:fill="FFFFFF"/>
          </w:tcPr>
          <w:p w14:paraId="756C7FD1">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'chronic kidney disease*':ti,ab,kw OR 'chronic renal disease*':ti,ab,kw OR 'ckd':ti,ab,kw OR 'chronic renal insufficiency':ti,ab,kw</w:t>
            </w:r>
          </w:p>
        </w:tc>
      </w:tr>
      <w:tr w14:paraId="0306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6B684B39">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15</w:t>
            </w:r>
          </w:p>
        </w:tc>
        <w:tc>
          <w:tcPr>
            <w:tcW w:w="4867" w:type="pct"/>
            <w:vAlign w:val="center"/>
            <w:shd w:val="clear" w:color="auto" w:fill="FFFFFF"/>
          </w:tcPr>
          <w:p w14:paraId="7FFC7201">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'controlled clinical trial'/exp OR 'randomized controlled trial':ti,ab,kw OR 'clinical study'/exp OR 'randomization'/exp OR 'single blind procedure'/exp OR 'double blind procedure'/exp OR 'placebo'/exp OR singl* OR doubl* OR trebl* OR tripl* OR randomly</w:t>
            </w:r>
          </w:p>
        </w:tc>
      </w:tr>
      <w:tr w14:paraId="3BE2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3F886B15">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16</w:t>
            </w:r>
          </w:p>
        </w:tc>
        <w:tc>
          <w:tcPr>
            <w:tcW w:w="4867" w:type="pct"/>
            <w:vAlign w:val="center"/>
            <w:shd w:val="clear" w:color="auto" w:fill="FFFFFF"/>
          </w:tcPr>
          <w:p w14:paraId="198B6A5A">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review:it OR 'meta analysis':ti,ab,kw</w:t>
            </w:r>
          </w:p>
        </w:tc>
      </w:tr>
      <w:tr w14:paraId="1BE6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04BFA680">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17</w:t>
            </w:r>
          </w:p>
        </w:tc>
        <w:tc>
          <w:tcPr>
            <w:tcW w:w="4867" w:type="pct"/>
            <w:vAlign w:val="center"/>
            <w:shd w:val="clear" w:color="auto" w:fill="FFFFFF"/>
          </w:tcPr>
          <w:p w14:paraId="4AB51F5A">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'cardiovascular-kidney-metabolic syndrome':ti,ab,kw OR 'ckm syndrome':ti,ab,kw OR 'cardiorenal metabolic syndrome':ti,ab,kw OR 'cardiometabolic renal syndrome':ti,ab,kw</w:t>
            </w:r>
          </w:p>
        </w:tc>
      </w:tr>
      <w:tr w14:paraId="6B7B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38F9C5D5">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18</w:t>
            </w:r>
          </w:p>
        </w:tc>
        <w:tc>
          <w:tcPr>
            <w:tcW w:w="4867" w:type="pct"/>
            <w:vAlign w:val="center"/>
            <w:shd w:val="clear" w:color="auto" w:fill="FFFFFF"/>
          </w:tcPr>
          <w:p w14:paraId="338DC93D">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#5 OR #6 OR #7 OR #8 OR #9 OR #10 OR #11 OR #12 OR #13 OR #14 OR #17</w:t>
            </w:r>
          </w:p>
        </w:tc>
      </w:tr>
      <w:tr w14:paraId="32E9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3D7AEDA4">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19</w:t>
            </w:r>
          </w:p>
        </w:tc>
        <w:tc>
          <w:tcPr>
            <w:tcW w:w="4867" w:type="pct"/>
            <w:vAlign w:val="center"/>
            <w:shd w:val="clear" w:color="auto" w:fill="FFFFFF"/>
          </w:tcPr>
          <w:p w14:paraId="0881806A">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#4 AND #15 AND #18</w:t>
            </w:r>
          </w:p>
        </w:tc>
      </w:tr>
      <w:tr w14:paraId="5E2E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08B10424">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20</w:t>
            </w:r>
          </w:p>
        </w:tc>
        <w:tc>
          <w:tcPr>
            <w:tcW w:w="4867" w:type="pct"/>
            <w:vAlign w:val="center"/>
            <w:shd w:val="clear" w:color="auto" w:fill="FFFFFF"/>
          </w:tcPr>
          <w:p w14:paraId="0C7B916F">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'conference abstract'/it</w:t>
            </w:r>
          </w:p>
        </w:tc>
      </w:tr>
      <w:tr w14:paraId="1BDA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6BCFA893">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21</w:t>
            </w:r>
          </w:p>
        </w:tc>
        <w:tc>
          <w:tcPr>
            <w:tcW w:w="4867" w:type="pct"/>
            <w:vAlign w:val="center"/>
            <w:shd w:val="clear" w:color="auto" w:fill="FFFFFF"/>
          </w:tcPr>
          <w:p w14:paraId="36157A41">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#19 NOT #20</w:t>
            </w:r>
          </w:p>
        </w:tc>
      </w:tr>
      <w:tr w14:paraId="758E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 w:type="pct"/>
            <w:vAlign w:val="center"/>
            <w:shd w:val="clear" w:color="auto" w:fill="FFFFFF"/>
          </w:tcPr>
          <w:p w14:paraId="023C9A34">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22</w:t>
            </w:r>
          </w:p>
        </w:tc>
        <w:tc>
          <w:tcPr>
            <w:tcW w:w="4867" w:type="pct"/>
            <w:vAlign w:val="center"/>
            <w:shd w:val="clear" w:color="auto" w:fill="FFFFFF"/>
          </w:tcPr>
          <w:p w14:paraId="2362E704">
            <w:pPr>
              <w:snapToGrid w:val="0"/>
              <w:spacing w:before="0" w:after="0" w:line="240" w:lineRule="auto"/>
              <w:ind w:left="0" w:leftChars="0" w:right="0" w:rightChars="0" w:firstLine="0" w:firstLineChars="0"/>
              <w:jc w:val="left"/>
              <w:rPr>
                <w:rFonts w:ascii="Arial" w:eastAsia="Arial"/>
                <w:sz w:val="15"/>
              </w:rPr>
            </w:pPr>
            <w:r>
              <w:rPr>
                <w:rFonts w:ascii="Arial" w:hAnsi="Arial" w:eastAsia="Arial"/>
                <w:sz w:val="15"/>
                <w:color w:val="000000"/>
              </w:rPr>
              <w:t>#21 NOT #16</w:t>
            </w:r>
          </w:p>
        </w:tc>
      </w:tr>
      <w:bookmarkEnd w:id="0"/>
    </w:tbl>
    <w:p w14:paraId="1D5A94AC">
      <w:pPr>
        <w:pStyle w:val="3"/>
        <w:spacing w:before="160" w:after="80"/>
      </w:pPr>
      <w:r>
        <w:rPr>
          <w:rFonts w:ascii="Arial" w:hAnsi="Arial" w:eastAsia="Arial"/>
          <w:color w:val="000000"/>
        </w:rPr>
        <w:t>Supplementary Table S1. Operational CKM mapping rules and trial-level classifications</w:t>
      </w:r>
    </w:p>
    <w:p w14:paraId="4687DD30">
      <w:r>
        <w:rPr>
          <w:i/>
          <w:color w:val="000000"/>
        </w:rPr>
        <w:t>Operational mapping was based on trial eligibility criteria, baseline disease status, and formally published mutually exclusive subgroup definitions. The labels are analytical shorthand and do not represent formal patient-level CKM staging.</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564"/>
        <w:gridCol w:w="3564"/>
        <w:gridCol w:w="3564"/>
        <w:gridCol w:w="3564"/>
      </w:tblGrid>
      <w:tr w14:paraId="37C6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564" w:type="dxa"/>
            <w:vAlign w:val="center"/>
            <w:shd w:val="clear" w:color="auto" w:fill="FFFFFF"/>
          </w:tcPr>
          <w:p w14:paraId="76700481">
            <w:pPr>
              <w:spacing w:before="0" w:after="0" w:line="240" w:lineRule="auto"/>
            </w:pPr>
            <w:r>
              <w:rPr>
                <w:rFonts w:ascii="Arial" w:hAnsi="Arial" w:eastAsia="Arial"/>
                <w:b/>
                <w:sz w:val="16"/>
                <w:color w:val="000000"/>
              </w:rPr>
              <w:t>Study</w:t>
            </w:r>
          </w:p>
        </w:tc>
        <w:tc>
          <w:tcPr>
            <w:tcW w:w="3564" w:type="dxa"/>
            <w:vAlign w:val="center"/>
            <w:shd w:val="clear" w:color="auto" w:fill="FFFFFF"/>
          </w:tcPr>
          <w:p w14:paraId="17A9DD20">
            <w:pPr>
              <w:spacing w:before="0" w:after="0" w:line="240" w:lineRule="auto"/>
            </w:pPr>
            <w:r>
              <w:rPr>
                <w:rFonts w:ascii="Arial" w:hAnsi="Arial" w:eastAsia="Arial"/>
                <w:b/>
                <w:sz w:val="16"/>
                <w:color w:val="000000"/>
              </w:rPr>
              <w:t>CKM stage</w:t>
            </w:r>
          </w:p>
        </w:tc>
        <w:tc>
          <w:tcPr>
            <w:tcW w:w="3564" w:type="dxa"/>
            <w:vAlign w:val="center"/>
            <w:shd w:val="clear" w:color="auto" w:fill="FFFFFF"/>
          </w:tcPr>
          <w:p w14:paraId="644B78C4">
            <w:pPr>
              <w:spacing w:before="0" w:after="0" w:line="240" w:lineRule="auto"/>
            </w:pPr>
            <w:r>
              <w:rPr>
                <w:rFonts w:ascii="Arial" w:hAnsi="Arial" w:eastAsia="Arial"/>
                <w:b/>
                <w:sz w:val="16"/>
                <w:color w:val="000000"/>
              </w:rPr>
              <w:t>Mapping basis</w:t>
            </w:r>
          </w:p>
        </w:tc>
        <w:tc>
          <w:tcPr>
            <w:tcW w:w="3564" w:type="dxa"/>
            <w:vAlign w:val="center"/>
            <w:shd w:val="clear" w:color="auto" w:fill="FFFFFF"/>
          </w:tcPr>
          <w:p w14:paraId="295404EF">
            <w:pPr>
              <w:spacing w:before="0" w:after="0" w:line="240" w:lineRule="auto"/>
            </w:pPr>
            <w:r>
              <w:rPr>
                <w:rFonts w:ascii="Arial" w:hAnsi="Arial" w:eastAsia="Arial"/>
                <w:b/>
                <w:sz w:val="16"/>
                <w:color w:val="000000"/>
              </w:rPr>
              <w:t>Data source</w:t>
            </w:r>
          </w:p>
        </w:tc>
      </w:tr>
      <w:tr w14:paraId="0605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0F6D5E57">
            <w:pPr>
              <w:spacing w:before="0" w:after="0" w:line="240" w:lineRule="auto"/>
            </w:pPr>
            <w:r>
              <w:rPr>
                <w:rFonts w:ascii="Arial" w:hAnsi="Arial" w:eastAsia="Arial"/>
                <w:sz w:val="16"/>
                <w:color w:val="000000"/>
              </w:rPr>
              <w:t>CANVAS Program</w:t>
            </w:r>
          </w:p>
        </w:tc>
        <w:tc>
          <w:tcPr>
            <w:tcW w:w="3564" w:type="dxa"/>
            <w:vAlign w:val="center"/>
            <w:shd w:val="clear" w:color="auto" w:fill="FFFFFF"/>
          </w:tcPr>
          <w:p w14:paraId="729DE3D4">
            <w:pPr>
              <w:spacing w:before="0" w:after="0" w:line="240" w:lineRule="auto"/>
            </w:pPr>
            <w:r>
              <w:rPr>
                <w:rFonts w:ascii="Arial" w:hAnsi="Arial" w:eastAsia="Arial"/>
                <w:sz w:val="16"/>
                <w:color w:val="000000"/>
              </w:rPr>
              <w:t>CKM 2–3</w:t>
            </w:r>
          </w:p>
        </w:tc>
        <w:tc>
          <w:tcPr>
            <w:tcW w:w="3564" w:type="dxa"/>
            <w:vAlign w:val="center"/>
            <w:shd w:val="clear" w:color="auto" w:fill="FFFFFF"/>
          </w:tcPr>
          <w:p w14:paraId="0DBEF4A9">
            <w:pPr>
              <w:spacing w:before="0" w:after="0" w:line="240" w:lineRule="auto"/>
            </w:pPr>
            <w:r>
              <w:rPr>
                <w:rFonts w:ascii="Arial" w:hAnsi="Arial" w:eastAsia="Arial"/>
                <w:sz w:val="16"/>
                <w:color w:val="000000"/>
              </w:rPr>
              <w:t>Multiple risk factors without established cardiovascular disease</w:t>
            </w:r>
          </w:p>
        </w:tc>
        <w:tc>
          <w:tcPr>
            <w:tcW w:w="3564" w:type="dxa"/>
            <w:vAlign w:val="center"/>
            <w:shd w:val="clear" w:color="auto" w:fill="FFFFFF"/>
          </w:tcPr>
          <w:p w14:paraId="32DBC99A">
            <w:pPr>
              <w:spacing w:before="0" w:after="0" w:line="240" w:lineRule="auto"/>
            </w:pPr>
            <w:r>
              <w:rPr>
                <w:rFonts w:ascii="Arial" w:hAnsi="Arial" w:eastAsia="Arial"/>
                <w:sz w:val="16"/>
                <w:color w:val="000000"/>
              </w:rPr>
              <w:t>CANVAS subgroup data</w:t>
            </w:r>
          </w:p>
        </w:tc>
      </w:tr>
      <w:tr w14:paraId="385A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65C38C25">
            <w:pPr>
              <w:spacing w:before="0" w:after="0" w:line="240" w:lineRule="auto"/>
            </w:pPr>
            <w:r>
              <w:rPr>
                <w:rFonts w:ascii="Arial" w:hAnsi="Arial" w:eastAsia="Arial"/>
                <w:sz w:val="16"/>
                <w:color w:val="000000"/>
              </w:rPr>
              <w:t>CANVAS Program</w:t>
            </w:r>
          </w:p>
        </w:tc>
        <w:tc>
          <w:tcPr>
            <w:tcW w:w="3564" w:type="dxa"/>
            <w:vAlign w:val="center"/>
            <w:shd w:val="clear" w:color="auto" w:fill="FFFFFF"/>
          </w:tcPr>
          <w:p w14:paraId="69E0F096">
            <w:pPr>
              <w:spacing w:before="0" w:after="0" w:line="240" w:lineRule="auto"/>
            </w:pPr>
            <w:r>
              <w:rPr>
                <w:rFonts w:ascii="Arial" w:hAnsi="Arial" w:eastAsia="Arial"/>
                <w:sz w:val="16"/>
                <w:color w:val="000000"/>
              </w:rPr>
              <w:t>CKM 4</w:t>
            </w:r>
          </w:p>
        </w:tc>
        <w:tc>
          <w:tcPr>
            <w:tcW w:w="3564" w:type="dxa"/>
            <w:vAlign w:val="center"/>
            <w:shd w:val="clear" w:color="auto" w:fill="FFFFFF"/>
          </w:tcPr>
          <w:p w14:paraId="20ADA194">
            <w:pPr>
              <w:spacing w:before="0" w:after="0" w:line="240" w:lineRule="auto"/>
            </w:pPr>
            <w:r>
              <w:rPr>
                <w:rFonts w:ascii="Arial" w:hAnsi="Arial" w:eastAsia="Arial"/>
                <w:sz w:val="16"/>
                <w:color w:val="000000"/>
              </w:rPr>
              <w:t>Established cardiovascular disease</w:t>
            </w:r>
          </w:p>
        </w:tc>
        <w:tc>
          <w:tcPr>
            <w:tcW w:w="3564" w:type="dxa"/>
            <w:vAlign w:val="center"/>
            <w:shd w:val="clear" w:color="auto" w:fill="FFFFFF"/>
          </w:tcPr>
          <w:p w14:paraId="14CC8B26">
            <w:pPr>
              <w:spacing w:before="0" w:after="0" w:line="240" w:lineRule="auto"/>
            </w:pPr>
            <w:r>
              <w:rPr>
                <w:rFonts w:ascii="Arial" w:hAnsi="Arial" w:eastAsia="Arial"/>
                <w:sz w:val="16"/>
                <w:color w:val="000000"/>
              </w:rPr>
              <w:t>CANVAS subgroup data</w:t>
            </w:r>
          </w:p>
        </w:tc>
      </w:tr>
      <w:tr w14:paraId="472A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6EFDA98C">
            <w:pPr>
              <w:spacing w:before="0" w:after="0" w:line="240" w:lineRule="auto"/>
            </w:pPr>
            <w:r>
              <w:rPr>
                <w:rFonts w:ascii="Arial" w:hAnsi="Arial" w:eastAsia="Arial"/>
                <w:sz w:val="16"/>
                <w:color w:val="000000"/>
              </w:rPr>
              <w:t>CREDENCE</w:t>
            </w:r>
          </w:p>
        </w:tc>
        <w:tc>
          <w:tcPr>
            <w:tcW w:w="3564" w:type="dxa"/>
            <w:vAlign w:val="center"/>
            <w:shd w:val="clear" w:color="auto" w:fill="FFFFFF"/>
          </w:tcPr>
          <w:p w14:paraId="47B29F34">
            <w:pPr>
              <w:spacing w:before="0" w:after="0" w:line="240" w:lineRule="auto"/>
            </w:pPr>
            <w:r>
              <w:rPr>
                <w:rFonts w:ascii="Arial" w:hAnsi="Arial" w:eastAsia="Arial"/>
                <w:sz w:val="16"/>
                <w:color w:val="000000"/>
              </w:rPr>
              <w:t>CKM 2–3</w:t>
            </w:r>
          </w:p>
        </w:tc>
        <w:tc>
          <w:tcPr>
            <w:tcW w:w="3564" w:type="dxa"/>
            <w:vAlign w:val="center"/>
            <w:shd w:val="clear" w:color="auto" w:fill="FFFFFF"/>
          </w:tcPr>
          <w:p w14:paraId="2D5E6C08">
            <w:pPr>
              <w:spacing w:before="0" w:after="0" w:line="240" w:lineRule="auto"/>
            </w:pPr>
            <w:r>
              <w:rPr>
                <w:rFonts w:ascii="Arial" w:hAnsi="Arial" w:eastAsia="Arial"/>
                <w:sz w:val="16"/>
                <w:color w:val="000000"/>
              </w:rPr>
              <w:t>CKD without established cardiovascular disease</w:t>
            </w:r>
          </w:p>
        </w:tc>
        <w:tc>
          <w:tcPr>
            <w:tcW w:w="3564" w:type="dxa"/>
            <w:vAlign w:val="center"/>
            <w:shd w:val="clear" w:color="auto" w:fill="FFFFFF"/>
          </w:tcPr>
          <w:p w14:paraId="180C2C7D">
            <w:pPr>
              <w:spacing w:before="0" w:after="0" w:line="240" w:lineRule="auto"/>
            </w:pPr>
            <w:r>
              <w:rPr>
                <w:rFonts w:ascii="Arial" w:hAnsi="Arial" w:eastAsia="Arial"/>
                <w:sz w:val="16"/>
                <w:color w:val="000000"/>
              </w:rPr>
              <w:t>CREDENCE subgroup data</w:t>
            </w:r>
          </w:p>
        </w:tc>
      </w:tr>
      <w:tr w14:paraId="2D6C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55698674">
            <w:pPr>
              <w:spacing w:before="0" w:after="0" w:line="240" w:lineRule="auto"/>
            </w:pPr>
            <w:r>
              <w:rPr>
                <w:rFonts w:ascii="Arial" w:hAnsi="Arial" w:eastAsia="Arial"/>
                <w:sz w:val="16"/>
                <w:color w:val="000000"/>
              </w:rPr>
              <w:t>CREDENCE</w:t>
            </w:r>
          </w:p>
        </w:tc>
        <w:tc>
          <w:tcPr>
            <w:tcW w:w="3564" w:type="dxa"/>
            <w:vAlign w:val="center"/>
            <w:shd w:val="clear" w:color="auto" w:fill="FFFFFF"/>
          </w:tcPr>
          <w:p w14:paraId="6341E61A">
            <w:pPr>
              <w:spacing w:before="0" w:after="0" w:line="240" w:lineRule="auto"/>
            </w:pPr>
            <w:r>
              <w:rPr>
                <w:rFonts w:ascii="Arial" w:hAnsi="Arial" w:eastAsia="Arial"/>
                <w:sz w:val="16"/>
                <w:color w:val="000000"/>
              </w:rPr>
              <w:t>CKM 4</w:t>
            </w:r>
          </w:p>
        </w:tc>
        <w:tc>
          <w:tcPr>
            <w:tcW w:w="3564" w:type="dxa"/>
            <w:vAlign w:val="center"/>
            <w:shd w:val="clear" w:color="auto" w:fill="FFFFFF"/>
          </w:tcPr>
          <w:p w14:paraId="47AB2C8D">
            <w:pPr>
              <w:spacing w:before="0" w:after="0" w:line="240" w:lineRule="auto"/>
            </w:pPr>
            <w:r>
              <w:rPr>
                <w:rFonts w:ascii="Arial" w:hAnsi="Arial" w:eastAsia="Arial"/>
                <w:sz w:val="16"/>
                <w:color w:val="000000"/>
              </w:rPr>
              <w:t>CKD with established cardiovascular disease</w:t>
            </w:r>
          </w:p>
        </w:tc>
        <w:tc>
          <w:tcPr>
            <w:tcW w:w="3564" w:type="dxa"/>
            <w:vAlign w:val="center"/>
            <w:shd w:val="clear" w:color="auto" w:fill="FFFFFF"/>
          </w:tcPr>
          <w:p w14:paraId="6211091C">
            <w:pPr>
              <w:spacing w:before="0" w:after="0" w:line="240" w:lineRule="auto"/>
            </w:pPr>
            <w:r>
              <w:rPr>
                <w:rFonts w:ascii="Arial" w:hAnsi="Arial" w:eastAsia="Arial"/>
                <w:sz w:val="16"/>
                <w:color w:val="000000"/>
              </w:rPr>
              <w:t>CREDENCE subgroup data</w:t>
            </w:r>
          </w:p>
        </w:tc>
      </w:tr>
      <w:tr w14:paraId="4D55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5CC6F08E">
            <w:pPr>
              <w:spacing w:before="0" w:after="0" w:line="240" w:lineRule="auto"/>
            </w:pPr>
            <w:r>
              <w:rPr>
                <w:rFonts w:ascii="Arial" w:hAnsi="Arial" w:eastAsia="Arial"/>
                <w:sz w:val="16"/>
                <w:color w:val="000000"/>
              </w:rPr>
              <w:t>DAPA-CKD</w:t>
            </w:r>
          </w:p>
        </w:tc>
        <w:tc>
          <w:tcPr>
            <w:tcW w:w="3564" w:type="dxa"/>
            <w:vAlign w:val="center"/>
            <w:shd w:val="clear" w:color="auto" w:fill="FFFFFF"/>
          </w:tcPr>
          <w:p w14:paraId="5B9D47FD">
            <w:pPr>
              <w:spacing w:before="0" w:after="0" w:line="240" w:lineRule="auto"/>
            </w:pPr>
            <w:r>
              <w:rPr>
                <w:rFonts w:ascii="Arial" w:hAnsi="Arial" w:eastAsia="Arial"/>
                <w:sz w:val="16"/>
                <w:color w:val="000000"/>
              </w:rPr>
              <w:t>CKM 2–3</w:t>
            </w:r>
          </w:p>
        </w:tc>
        <w:tc>
          <w:tcPr>
            <w:tcW w:w="3564" w:type="dxa"/>
            <w:vAlign w:val="center"/>
            <w:shd w:val="clear" w:color="auto" w:fill="FFFFFF"/>
          </w:tcPr>
          <w:p w14:paraId="42B12741">
            <w:pPr>
              <w:spacing w:before="0" w:after="0" w:line="240" w:lineRule="auto"/>
            </w:pPr>
            <w:r>
              <w:rPr>
                <w:rFonts w:ascii="Arial" w:hAnsi="Arial" w:eastAsia="Arial"/>
                <w:sz w:val="16"/>
                <w:color w:val="000000"/>
              </w:rPr>
              <w:t>CKD without established cardiovascular disease</w:t>
            </w:r>
          </w:p>
        </w:tc>
        <w:tc>
          <w:tcPr>
            <w:tcW w:w="3564" w:type="dxa"/>
            <w:vAlign w:val="center"/>
            <w:shd w:val="clear" w:color="auto" w:fill="FFFFFF"/>
          </w:tcPr>
          <w:p w14:paraId="018CFE17">
            <w:pPr>
              <w:spacing w:before="0" w:after="0" w:line="240" w:lineRule="auto"/>
            </w:pPr>
            <w:r>
              <w:rPr>
                <w:rFonts w:ascii="Arial" w:hAnsi="Arial" w:eastAsia="Arial"/>
                <w:sz w:val="16"/>
                <w:color w:val="000000"/>
              </w:rPr>
              <w:t>DAPA-CKD subgroup data</w:t>
            </w:r>
          </w:p>
        </w:tc>
      </w:tr>
      <w:tr w14:paraId="4E20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42D5A7A6">
            <w:pPr>
              <w:spacing w:before="0" w:after="0" w:line="240" w:lineRule="auto"/>
            </w:pPr>
            <w:r>
              <w:rPr>
                <w:rFonts w:ascii="Arial" w:hAnsi="Arial" w:eastAsia="Arial"/>
                <w:sz w:val="16"/>
                <w:color w:val="000000"/>
              </w:rPr>
              <w:t>DAPA-CKD</w:t>
            </w:r>
          </w:p>
        </w:tc>
        <w:tc>
          <w:tcPr>
            <w:tcW w:w="3564" w:type="dxa"/>
            <w:vAlign w:val="center"/>
            <w:shd w:val="clear" w:color="auto" w:fill="FFFFFF"/>
          </w:tcPr>
          <w:p w14:paraId="09D9B9CC">
            <w:pPr>
              <w:spacing w:before="0" w:after="0" w:line="240" w:lineRule="auto"/>
            </w:pPr>
            <w:r>
              <w:rPr>
                <w:rFonts w:ascii="Arial" w:hAnsi="Arial" w:eastAsia="Arial"/>
                <w:sz w:val="16"/>
                <w:color w:val="000000"/>
              </w:rPr>
              <w:t>CKM 4</w:t>
            </w:r>
          </w:p>
        </w:tc>
        <w:tc>
          <w:tcPr>
            <w:tcW w:w="3564" w:type="dxa"/>
            <w:vAlign w:val="center"/>
            <w:shd w:val="clear" w:color="auto" w:fill="FFFFFF"/>
          </w:tcPr>
          <w:p w14:paraId="3281E7F2">
            <w:pPr>
              <w:spacing w:before="0" w:after="0" w:line="240" w:lineRule="auto"/>
            </w:pPr>
            <w:r>
              <w:rPr>
                <w:rFonts w:ascii="Arial" w:hAnsi="Arial" w:eastAsia="Arial"/>
                <w:sz w:val="16"/>
                <w:color w:val="000000"/>
              </w:rPr>
              <w:t>CKD with established cardiovascular disease</w:t>
            </w:r>
          </w:p>
        </w:tc>
        <w:tc>
          <w:tcPr>
            <w:tcW w:w="3564" w:type="dxa"/>
            <w:vAlign w:val="center"/>
            <w:shd w:val="clear" w:color="auto" w:fill="FFFFFF"/>
          </w:tcPr>
          <w:p w14:paraId="0B88B92B">
            <w:pPr>
              <w:spacing w:before="0" w:after="0" w:line="240" w:lineRule="auto"/>
            </w:pPr>
            <w:r>
              <w:rPr>
                <w:rFonts w:ascii="Arial" w:hAnsi="Arial" w:eastAsia="Arial"/>
                <w:sz w:val="16"/>
                <w:color w:val="000000"/>
              </w:rPr>
              <w:t>DAPA-CKD subgroup data</w:t>
            </w:r>
          </w:p>
        </w:tc>
      </w:tr>
      <w:tr w14:paraId="05E1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24CBAE75">
            <w:pPr>
              <w:spacing w:before="0" w:after="0" w:line="240" w:lineRule="auto"/>
            </w:pPr>
            <w:r>
              <w:rPr>
                <w:rFonts w:ascii="Arial" w:hAnsi="Arial" w:eastAsia="Arial"/>
                <w:sz w:val="16"/>
                <w:color w:val="000000"/>
              </w:rPr>
              <w:t>DAPA-HF</w:t>
            </w:r>
          </w:p>
        </w:tc>
        <w:tc>
          <w:tcPr>
            <w:tcW w:w="3564" w:type="dxa"/>
            <w:vAlign w:val="center"/>
            <w:shd w:val="clear" w:color="auto" w:fill="FFFFFF"/>
          </w:tcPr>
          <w:p w14:paraId="63F2733A">
            <w:pPr>
              <w:spacing w:before="0" w:after="0" w:line="240" w:lineRule="auto"/>
            </w:pPr>
            <w:r>
              <w:rPr>
                <w:rFonts w:ascii="Arial" w:hAnsi="Arial" w:eastAsia="Arial"/>
                <w:sz w:val="16"/>
                <w:color w:val="000000"/>
              </w:rPr>
              <w:t>CKM 4</w:t>
            </w:r>
          </w:p>
        </w:tc>
        <w:tc>
          <w:tcPr>
            <w:tcW w:w="3564" w:type="dxa"/>
            <w:vAlign w:val="center"/>
            <w:shd w:val="clear" w:color="auto" w:fill="FFFFFF"/>
          </w:tcPr>
          <w:p w14:paraId="1F249F72">
            <w:pPr>
              <w:spacing w:before="0" w:after="0" w:line="240" w:lineRule="auto"/>
            </w:pPr>
            <w:r>
              <w:rPr>
                <w:rFonts w:ascii="Arial" w:hAnsi="Arial" w:eastAsia="Arial"/>
                <w:sz w:val="16"/>
                <w:color w:val="000000"/>
              </w:rPr>
              <w:t>Symptomatic heart failure</w:t>
            </w:r>
          </w:p>
        </w:tc>
        <w:tc>
          <w:tcPr>
            <w:tcW w:w="3564" w:type="dxa"/>
            <w:vAlign w:val="center"/>
            <w:shd w:val="clear" w:color="auto" w:fill="FFFFFF"/>
          </w:tcPr>
          <w:p w14:paraId="347550A6">
            <w:pPr>
              <w:spacing w:before="0" w:after="0" w:line="240" w:lineRule="auto"/>
            </w:pPr>
            <w:r>
              <w:rPr>
                <w:rFonts w:ascii="Arial" w:hAnsi="Arial" w:eastAsia="Arial"/>
                <w:sz w:val="16"/>
                <w:color w:val="000000"/>
              </w:rPr>
              <w:t>Parent trial</w:t>
            </w:r>
          </w:p>
        </w:tc>
      </w:tr>
      <w:tr w14:paraId="62F9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577C396C">
            <w:pPr>
              <w:spacing w:before="0" w:after="0" w:line="240" w:lineRule="auto"/>
            </w:pPr>
            <w:r>
              <w:rPr>
                <w:rFonts w:ascii="Arial" w:hAnsi="Arial" w:eastAsia="Arial"/>
                <w:sz w:val="16"/>
                <w:color w:val="000000"/>
              </w:rPr>
              <w:t>DECLARE-TIMI 58</w:t>
            </w:r>
          </w:p>
        </w:tc>
        <w:tc>
          <w:tcPr>
            <w:tcW w:w="3564" w:type="dxa"/>
            <w:vAlign w:val="center"/>
            <w:shd w:val="clear" w:color="auto" w:fill="FFFFFF"/>
          </w:tcPr>
          <w:p w14:paraId="3123B75F">
            <w:pPr>
              <w:spacing w:before="0" w:after="0" w:line="240" w:lineRule="auto"/>
            </w:pPr>
            <w:r>
              <w:rPr>
                <w:rFonts w:ascii="Arial" w:hAnsi="Arial" w:eastAsia="Arial"/>
                <w:sz w:val="16"/>
                <w:color w:val="000000"/>
              </w:rPr>
              <w:t>CKM 2–3</w:t>
            </w:r>
          </w:p>
        </w:tc>
        <w:tc>
          <w:tcPr>
            <w:tcW w:w="3564" w:type="dxa"/>
            <w:vAlign w:val="center"/>
            <w:shd w:val="clear" w:color="auto" w:fill="FFFFFF"/>
          </w:tcPr>
          <w:p w14:paraId="78CF441C">
            <w:pPr>
              <w:spacing w:before="0" w:after="0" w:line="240" w:lineRule="auto"/>
            </w:pPr>
            <w:r>
              <w:rPr>
                <w:rFonts w:ascii="Arial" w:hAnsi="Arial" w:eastAsia="Arial"/>
                <w:sz w:val="16"/>
                <w:color w:val="000000"/>
              </w:rPr>
              <w:t>Multiple risk factors without established ASCVD</w:t>
            </w:r>
          </w:p>
        </w:tc>
        <w:tc>
          <w:tcPr>
            <w:tcW w:w="3564" w:type="dxa"/>
            <w:vAlign w:val="center"/>
            <w:shd w:val="clear" w:color="auto" w:fill="FFFFFF"/>
          </w:tcPr>
          <w:p w14:paraId="39D10CFD">
            <w:pPr>
              <w:spacing w:before="0" w:after="0" w:line="240" w:lineRule="auto"/>
            </w:pPr>
            <w:r>
              <w:rPr>
                <w:rFonts w:ascii="Arial" w:hAnsi="Arial" w:eastAsia="Arial"/>
                <w:sz w:val="16"/>
                <w:color w:val="000000"/>
              </w:rPr>
              <w:t>DECLARE-TIMI 58 subgroup data</w:t>
            </w:r>
          </w:p>
        </w:tc>
      </w:tr>
      <w:tr w14:paraId="1ABE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4FE5A521">
            <w:pPr>
              <w:spacing w:before="0" w:after="0" w:line="240" w:lineRule="auto"/>
            </w:pPr>
            <w:r>
              <w:rPr>
                <w:rFonts w:ascii="Arial" w:hAnsi="Arial" w:eastAsia="Arial"/>
                <w:sz w:val="16"/>
                <w:color w:val="000000"/>
              </w:rPr>
              <w:t>DECLARE-TIMI 58</w:t>
            </w:r>
          </w:p>
        </w:tc>
        <w:tc>
          <w:tcPr>
            <w:tcW w:w="3564" w:type="dxa"/>
            <w:vAlign w:val="center"/>
            <w:shd w:val="clear" w:color="auto" w:fill="FFFFFF"/>
          </w:tcPr>
          <w:p w14:paraId="1010A884">
            <w:pPr>
              <w:spacing w:before="0" w:after="0" w:line="240" w:lineRule="auto"/>
            </w:pPr>
            <w:r>
              <w:rPr>
                <w:rFonts w:ascii="Arial" w:hAnsi="Arial" w:eastAsia="Arial"/>
                <w:sz w:val="16"/>
                <w:color w:val="000000"/>
              </w:rPr>
              <w:t>CKM 4</w:t>
            </w:r>
          </w:p>
        </w:tc>
        <w:tc>
          <w:tcPr>
            <w:tcW w:w="3564" w:type="dxa"/>
            <w:vAlign w:val="center"/>
            <w:shd w:val="clear" w:color="auto" w:fill="FFFFFF"/>
          </w:tcPr>
          <w:p w14:paraId="52269F71">
            <w:pPr>
              <w:spacing w:before="0" w:after="0" w:line="240" w:lineRule="auto"/>
            </w:pPr>
            <w:r>
              <w:rPr>
                <w:rFonts w:ascii="Arial" w:hAnsi="Arial" w:eastAsia="Arial"/>
                <w:sz w:val="16"/>
                <w:color w:val="000000"/>
              </w:rPr>
              <w:t>Established ASCVD</w:t>
            </w:r>
          </w:p>
        </w:tc>
        <w:tc>
          <w:tcPr>
            <w:tcW w:w="3564" w:type="dxa"/>
            <w:vAlign w:val="center"/>
            <w:shd w:val="clear" w:color="auto" w:fill="FFFFFF"/>
          </w:tcPr>
          <w:p w14:paraId="43C8B86F">
            <w:pPr>
              <w:spacing w:before="0" w:after="0" w:line="240" w:lineRule="auto"/>
            </w:pPr>
            <w:r>
              <w:rPr>
                <w:rFonts w:ascii="Arial" w:hAnsi="Arial" w:eastAsia="Arial"/>
                <w:sz w:val="16"/>
                <w:color w:val="000000"/>
              </w:rPr>
              <w:t>DECLARE-TIMI 58 subgroup data</w:t>
            </w:r>
          </w:p>
        </w:tc>
      </w:tr>
      <w:tr w14:paraId="4394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60A80C31">
            <w:pPr>
              <w:spacing w:before="0" w:after="0" w:line="240" w:lineRule="auto"/>
            </w:pPr>
            <w:r>
              <w:rPr>
                <w:rFonts w:ascii="Arial" w:hAnsi="Arial" w:eastAsia="Arial"/>
                <w:sz w:val="16"/>
                <w:color w:val="000000"/>
              </w:rPr>
              <w:t>DELIVER</w:t>
            </w:r>
          </w:p>
        </w:tc>
        <w:tc>
          <w:tcPr>
            <w:tcW w:w="3564" w:type="dxa"/>
            <w:vAlign w:val="center"/>
            <w:shd w:val="clear" w:color="auto" w:fill="FFFFFF"/>
          </w:tcPr>
          <w:p w14:paraId="608E2110">
            <w:pPr>
              <w:spacing w:before="0" w:after="0" w:line="240" w:lineRule="auto"/>
            </w:pPr>
            <w:r>
              <w:rPr>
                <w:rFonts w:ascii="Arial" w:hAnsi="Arial" w:eastAsia="Arial"/>
                <w:sz w:val="16"/>
                <w:color w:val="000000"/>
              </w:rPr>
              <w:t>CKM 4</w:t>
            </w:r>
          </w:p>
        </w:tc>
        <w:tc>
          <w:tcPr>
            <w:tcW w:w="3564" w:type="dxa"/>
            <w:vAlign w:val="center"/>
            <w:shd w:val="clear" w:color="auto" w:fill="FFFFFF"/>
          </w:tcPr>
          <w:p w14:paraId="28773BC0">
            <w:pPr>
              <w:spacing w:before="0" w:after="0" w:line="240" w:lineRule="auto"/>
            </w:pPr>
            <w:r>
              <w:rPr>
                <w:rFonts w:ascii="Arial" w:hAnsi="Arial" w:eastAsia="Arial"/>
                <w:sz w:val="16"/>
                <w:color w:val="000000"/>
              </w:rPr>
              <w:t>Symptomatic heart failure</w:t>
            </w:r>
          </w:p>
        </w:tc>
        <w:tc>
          <w:tcPr>
            <w:tcW w:w="3564" w:type="dxa"/>
            <w:vAlign w:val="center"/>
            <w:shd w:val="clear" w:color="auto" w:fill="FFFFFF"/>
          </w:tcPr>
          <w:p w14:paraId="1834558A">
            <w:pPr>
              <w:spacing w:before="0" w:after="0" w:line="240" w:lineRule="auto"/>
            </w:pPr>
            <w:r>
              <w:rPr>
                <w:rFonts w:ascii="Arial" w:hAnsi="Arial" w:eastAsia="Arial"/>
                <w:sz w:val="16"/>
                <w:color w:val="000000"/>
              </w:rPr>
              <w:t>Parent trial</w:t>
            </w:r>
          </w:p>
        </w:tc>
      </w:tr>
      <w:tr w14:paraId="154D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181759F4">
            <w:pPr>
              <w:spacing w:before="0" w:after="0" w:line="240" w:lineRule="auto"/>
            </w:pPr>
            <w:r>
              <w:rPr>
                <w:rFonts w:ascii="Arial" w:hAnsi="Arial" w:eastAsia="Arial"/>
                <w:sz w:val="16"/>
                <w:color w:val="000000"/>
              </w:rPr>
              <w:t>EMPA-REG OUTCOME</w:t>
            </w:r>
          </w:p>
        </w:tc>
        <w:tc>
          <w:tcPr>
            <w:tcW w:w="3564" w:type="dxa"/>
            <w:vAlign w:val="center"/>
            <w:shd w:val="clear" w:color="auto" w:fill="FFFFFF"/>
          </w:tcPr>
          <w:p w14:paraId="70B7AFF0">
            <w:pPr>
              <w:spacing w:before="0" w:after="0" w:line="240" w:lineRule="auto"/>
            </w:pPr>
            <w:r>
              <w:rPr>
                <w:rFonts w:ascii="Arial" w:hAnsi="Arial" w:eastAsia="Arial"/>
                <w:sz w:val="16"/>
                <w:color w:val="000000"/>
              </w:rPr>
              <w:t>CKM 4</w:t>
            </w:r>
          </w:p>
        </w:tc>
        <w:tc>
          <w:tcPr>
            <w:tcW w:w="3564" w:type="dxa"/>
            <w:vAlign w:val="center"/>
            <w:shd w:val="clear" w:color="auto" w:fill="FFFFFF"/>
          </w:tcPr>
          <w:p w14:paraId="70352B61">
            <w:pPr>
              <w:spacing w:before="0" w:after="0" w:line="240" w:lineRule="auto"/>
            </w:pPr>
            <w:r>
              <w:rPr>
                <w:rFonts w:ascii="Arial" w:hAnsi="Arial" w:eastAsia="Arial"/>
                <w:sz w:val="16"/>
                <w:color w:val="000000"/>
              </w:rPr>
              <w:t>Established cardiovascular disease</w:t>
            </w:r>
          </w:p>
        </w:tc>
        <w:tc>
          <w:tcPr>
            <w:tcW w:w="3564" w:type="dxa"/>
            <w:vAlign w:val="center"/>
            <w:shd w:val="clear" w:color="auto" w:fill="FFFFFF"/>
          </w:tcPr>
          <w:p w14:paraId="166284B1">
            <w:pPr>
              <w:spacing w:before="0" w:after="0" w:line="240" w:lineRule="auto"/>
            </w:pPr>
            <w:r>
              <w:rPr>
                <w:rFonts w:ascii="Arial" w:hAnsi="Arial" w:eastAsia="Arial"/>
                <w:sz w:val="16"/>
                <w:color w:val="000000"/>
              </w:rPr>
              <w:t>Parent trial</w:t>
            </w:r>
          </w:p>
        </w:tc>
      </w:tr>
      <w:tr w14:paraId="2044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3600388E">
            <w:pPr>
              <w:spacing w:before="0" w:after="0" w:line="240" w:lineRule="auto"/>
            </w:pPr>
            <w:r>
              <w:rPr>
                <w:rFonts w:ascii="Arial" w:hAnsi="Arial" w:eastAsia="Arial"/>
                <w:sz w:val="16"/>
                <w:color w:val="000000"/>
              </w:rPr>
              <w:t>EMPEROR-Preserved</w:t>
            </w:r>
          </w:p>
        </w:tc>
        <w:tc>
          <w:tcPr>
            <w:tcW w:w="3564" w:type="dxa"/>
            <w:vAlign w:val="center"/>
            <w:shd w:val="clear" w:color="auto" w:fill="FFFFFF"/>
          </w:tcPr>
          <w:p w14:paraId="564B199F">
            <w:pPr>
              <w:spacing w:before="0" w:after="0" w:line="240" w:lineRule="auto"/>
            </w:pPr>
            <w:r>
              <w:rPr>
                <w:rFonts w:ascii="Arial" w:hAnsi="Arial" w:eastAsia="Arial"/>
                <w:sz w:val="16"/>
                <w:color w:val="000000"/>
              </w:rPr>
              <w:t>CKM 4</w:t>
            </w:r>
          </w:p>
        </w:tc>
        <w:tc>
          <w:tcPr>
            <w:tcW w:w="3564" w:type="dxa"/>
            <w:vAlign w:val="center"/>
            <w:shd w:val="clear" w:color="auto" w:fill="FFFFFF"/>
          </w:tcPr>
          <w:p w14:paraId="63545F06">
            <w:pPr>
              <w:spacing w:before="0" w:after="0" w:line="240" w:lineRule="auto"/>
            </w:pPr>
            <w:r>
              <w:rPr>
                <w:rFonts w:ascii="Arial" w:hAnsi="Arial" w:eastAsia="Arial"/>
                <w:sz w:val="16"/>
                <w:color w:val="000000"/>
              </w:rPr>
              <w:t>Symptomatic heart failure</w:t>
            </w:r>
          </w:p>
        </w:tc>
        <w:tc>
          <w:tcPr>
            <w:tcW w:w="3564" w:type="dxa"/>
            <w:vAlign w:val="center"/>
            <w:shd w:val="clear" w:color="auto" w:fill="FFFFFF"/>
          </w:tcPr>
          <w:p w14:paraId="6C7F5481">
            <w:pPr>
              <w:spacing w:before="0" w:after="0" w:line="240" w:lineRule="auto"/>
            </w:pPr>
            <w:r>
              <w:rPr>
                <w:rFonts w:ascii="Arial" w:hAnsi="Arial" w:eastAsia="Arial"/>
                <w:sz w:val="16"/>
                <w:color w:val="000000"/>
              </w:rPr>
              <w:t>Parent trial</w:t>
            </w:r>
          </w:p>
        </w:tc>
      </w:tr>
      <w:tr w14:paraId="753E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2DBC8685">
            <w:pPr>
              <w:spacing w:before="0" w:after="0" w:line="240" w:lineRule="auto"/>
            </w:pPr>
            <w:r>
              <w:rPr>
                <w:rFonts w:ascii="Arial" w:hAnsi="Arial" w:eastAsia="Arial"/>
                <w:sz w:val="16"/>
                <w:color w:val="000000"/>
              </w:rPr>
              <w:t>EMPEROR-Reduced</w:t>
            </w:r>
          </w:p>
        </w:tc>
        <w:tc>
          <w:tcPr>
            <w:tcW w:w="3564" w:type="dxa"/>
            <w:vAlign w:val="center"/>
            <w:shd w:val="clear" w:color="auto" w:fill="FFFFFF"/>
          </w:tcPr>
          <w:p w14:paraId="1BC73DA7">
            <w:pPr>
              <w:spacing w:before="0" w:after="0" w:line="240" w:lineRule="auto"/>
            </w:pPr>
            <w:r>
              <w:rPr>
                <w:rFonts w:ascii="Arial" w:hAnsi="Arial" w:eastAsia="Arial"/>
                <w:sz w:val="16"/>
                <w:color w:val="000000"/>
              </w:rPr>
              <w:t>CKM 4</w:t>
            </w:r>
          </w:p>
        </w:tc>
        <w:tc>
          <w:tcPr>
            <w:tcW w:w="3564" w:type="dxa"/>
            <w:vAlign w:val="center"/>
            <w:shd w:val="clear" w:color="auto" w:fill="FFFFFF"/>
          </w:tcPr>
          <w:p w14:paraId="301307A7">
            <w:pPr>
              <w:spacing w:before="0" w:after="0" w:line="240" w:lineRule="auto"/>
            </w:pPr>
            <w:r>
              <w:rPr>
                <w:rFonts w:ascii="Arial" w:hAnsi="Arial" w:eastAsia="Arial"/>
                <w:sz w:val="16"/>
                <w:color w:val="000000"/>
              </w:rPr>
              <w:t>Symptomatic heart failure</w:t>
            </w:r>
          </w:p>
        </w:tc>
        <w:tc>
          <w:tcPr>
            <w:tcW w:w="3564" w:type="dxa"/>
            <w:vAlign w:val="center"/>
            <w:shd w:val="clear" w:color="auto" w:fill="FFFFFF"/>
          </w:tcPr>
          <w:p w14:paraId="396AA08D">
            <w:pPr>
              <w:spacing w:before="0" w:after="0" w:line="240" w:lineRule="auto"/>
            </w:pPr>
            <w:r>
              <w:rPr>
                <w:rFonts w:ascii="Arial" w:hAnsi="Arial" w:eastAsia="Arial"/>
                <w:sz w:val="16"/>
                <w:color w:val="000000"/>
              </w:rPr>
              <w:t>Parent trial</w:t>
            </w:r>
          </w:p>
        </w:tc>
      </w:tr>
      <w:tr w14:paraId="61FF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5D3CBC1F">
            <w:pPr>
              <w:spacing w:before="0" w:after="0" w:line="240" w:lineRule="auto"/>
            </w:pPr>
            <w:r>
              <w:rPr>
                <w:rFonts w:ascii="Arial" w:hAnsi="Arial" w:eastAsia="Arial"/>
                <w:sz w:val="16"/>
                <w:color w:val="000000"/>
              </w:rPr>
              <w:t>VERTIS CV</w:t>
            </w:r>
          </w:p>
        </w:tc>
        <w:tc>
          <w:tcPr>
            <w:tcW w:w="3564" w:type="dxa"/>
            <w:vAlign w:val="center"/>
            <w:shd w:val="clear" w:color="auto" w:fill="FFFFFF"/>
          </w:tcPr>
          <w:p w14:paraId="5A5A832B">
            <w:pPr>
              <w:spacing w:before="0" w:after="0" w:line="240" w:lineRule="auto"/>
            </w:pPr>
            <w:r>
              <w:rPr>
                <w:rFonts w:ascii="Arial" w:hAnsi="Arial" w:eastAsia="Arial"/>
                <w:sz w:val="16"/>
                <w:color w:val="000000"/>
              </w:rPr>
              <w:t>CKM 4</w:t>
            </w:r>
          </w:p>
        </w:tc>
        <w:tc>
          <w:tcPr>
            <w:tcW w:w="3564" w:type="dxa"/>
            <w:vAlign w:val="center"/>
            <w:shd w:val="clear" w:color="auto" w:fill="FFFFFF"/>
          </w:tcPr>
          <w:p w14:paraId="6CE8574F">
            <w:pPr>
              <w:spacing w:before="0" w:after="0" w:line="240" w:lineRule="auto"/>
            </w:pPr>
            <w:r>
              <w:rPr>
                <w:rFonts w:ascii="Arial" w:hAnsi="Arial" w:eastAsia="Arial"/>
                <w:sz w:val="16"/>
                <w:color w:val="000000"/>
              </w:rPr>
              <w:t>Established cardiovascular disease</w:t>
            </w:r>
          </w:p>
        </w:tc>
        <w:tc>
          <w:tcPr>
            <w:tcW w:w="3564" w:type="dxa"/>
            <w:vAlign w:val="center"/>
            <w:shd w:val="clear" w:color="auto" w:fill="FFFFFF"/>
          </w:tcPr>
          <w:p w14:paraId="3EDC9384">
            <w:pPr>
              <w:spacing w:before="0" w:after="0" w:line="240" w:lineRule="auto"/>
            </w:pPr>
            <w:r>
              <w:rPr>
                <w:rFonts w:ascii="Arial" w:hAnsi="Arial" w:eastAsia="Arial"/>
                <w:sz w:val="16"/>
                <w:color w:val="000000"/>
              </w:rPr>
              <w:t>Parent trial</w:t>
            </w:r>
          </w:p>
        </w:tc>
      </w:tr>
      <w:tr w14:paraId="6217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564" w:type="dxa"/>
            <w:vAlign w:val="center"/>
            <w:shd w:val="clear" w:color="auto" w:fill="FFFFFF"/>
          </w:tcPr>
          <w:p w14:paraId="08BBD9AD">
            <w:pPr>
              <w:spacing w:before="0" w:after="0" w:line="240" w:lineRule="auto"/>
            </w:pPr>
            <w:r>
              <w:rPr>
                <w:rFonts w:ascii="Arial" w:hAnsi="Arial" w:eastAsia="Arial"/>
                <w:sz w:val="16"/>
                <w:color w:val="000000"/>
              </w:rPr>
              <w:t>SOLOIST-WHF</w:t>
            </w:r>
          </w:p>
        </w:tc>
        <w:tc>
          <w:tcPr>
            <w:tcW w:w="3564" w:type="dxa"/>
            <w:vAlign w:val="center"/>
            <w:shd w:val="clear" w:color="auto" w:fill="FFFFFF"/>
          </w:tcPr>
          <w:p w14:paraId="244153B3">
            <w:pPr>
              <w:spacing w:before="0" w:after="0" w:line="240" w:lineRule="auto"/>
            </w:pPr>
            <w:r>
              <w:rPr>
                <w:rFonts w:ascii="Arial" w:hAnsi="Arial" w:eastAsia="Arial"/>
                <w:sz w:val="16"/>
                <w:color w:val="000000"/>
              </w:rPr>
              <w:t>CKM 4</w:t>
            </w:r>
          </w:p>
        </w:tc>
        <w:tc>
          <w:tcPr>
            <w:tcW w:w="3564" w:type="dxa"/>
            <w:vAlign w:val="center"/>
            <w:shd w:val="clear" w:color="auto" w:fill="FFFFFF"/>
          </w:tcPr>
          <w:p w14:paraId="79F485DE">
            <w:pPr>
              <w:spacing w:before="0" w:after="0" w:line="240" w:lineRule="auto"/>
            </w:pPr>
            <w:r>
              <w:rPr>
                <w:rFonts w:ascii="Arial" w:hAnsi="Arial" w:eastAsia="Arial"/>
                <w:sz w:val="16"/>
                <w:color w:val="000000"/>
              </w:rPr>
              <w:t>Recent worsening heart failure</w:t>
            </w:r>
          </w:p>
        </w:tc>
        <w:tc>
          <w:tcPr>
            <w:tcW w:w="3564" w:type="dxa"/>
            <w:vAlign w:val="center"/>
            <w:shd w:val="clear" w:color="auto" w:fill="FFFFFF"/>
          </w:tcPr>
          <w:p w14:paraId="79C3C51F">
            <w:pPr>
              <w:spacing w:before="0" w:after="0" w:line="240" w:lineRule="auto"/>
            </w:pPr>
            <w:r>
              <w:rPr>
                <w:rFonts w:ascii="Arial" w:hAnsi="Arial" w:eastAsia="Arial"/>
                <w:sz w:val="16"/>
                <w:color w:val="000000"/>
              </w:rPr>
              <w:t>Parent trial</w:t>
            </w:r>
          </w:p>
        </w:tc>
      </w:tr>
      <w:tr w14:paraId="2D6A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56" w:type="dxa"/>
            <w:gridSpan w:val="4"/>
            <w:vAlign w:val="center"/>
            <w:shd w:val="clear" w:color="auto" w:fill="FFFFFF"/>
          </w:tcPr>
          <w:p w14:paraId="5E875780">
            <w:pPr>
              <w:spacing w:after="0" w:line="240" w:lineRule="auto"/>
              <w:jc w:val="left"/>
            </w:pPr>
            <w:r>
              <w:rPr>
                <w:rFonts w:ascii="Arial" w:hAnsi="Arial" w:eastAsia="Arial"/>
                <w:b w:val="0"/>
                <w:color w:val="000000"/>
                <w:sz w:val="17"/>
              </w:rPr>
              <w:t>Table note: CKM stages 2–3 comprised multiple-risk-factor or CKD populations without established cardiovascular disease. CKM stage 4 comprised established ASCVD/CVD, symptomatic heart failure, recent worsening heart failure, or CKD accompanied by established cardiovascular disease.</w:t>
            </w:r>
          </w:p>
        </w:tc>
      </w:tr>
    </w:tbl>
    <w:p w14:paraId="68BBCFB2">
      <w:r>
        <w:rPr>
          <w:color w:val="000000"/>
        </w:rPr>
        <w:br w:type="page"/>
      </w:r>
    </w:p>
    <w:p w14:paraId="3CDCF849">
      <w:pPr>
        <w:pStyle w:val="3"/>
        <w:spacing w:before="160" w:after="80"/>
      </w:pPr>
      <w:r>
        <w:rPr>
          <w:rFonts w:ascii="Arial" w:hAnsi="Arial" w:eastAsia="Arial"/>
          <w:color w:val="000000"/>
        </w:rPr>
        <w:t>Supplementary Table S2. Extracted stage-group-specific effect estimates and source publications</w:t>
      </w:r>
    </w:p>
    <w:p w14:paraId="28F10B5C">
      <w:pPr>
        <w:pStyle w:val="5"/>
        <w:spacing w:before="160" w:after="80"/>
      </w:pPr>
      <w:r>
        <w:rPr>
          <w:rFonts w:ascii="Arial" w:hAnsi="Arial" w:eastAsia="Arial"/>
          <w:color w:val="000000"/>
        </w:rPr>
        <w:t>Panel A. Composite heart failure endpoint</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8"/>
        <w:gridCol w:w="1814"/>
        <w:gridCol w:w="850"/>
        <w:gridCol w:w="1020"/>
        <w:gridCol w:w="1020"/>
        <w:gridCol w:w="4535"/>
      </w:tblGrid>
      <w:tr w14:paraId="43E6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68" w:type="dxa"/>
            <w:vAlign w:val="center"/>
            <w:shd w:val="clear" w:color="auto" w:fill="FFFFFF"/>
          </w:tcPr>
          <w:p w14:paraId="40AEF686">
            <w:pPr>
              <w:spacing w:before="0" w:after="0" w:line="240" w:lineRule="auto"/>
              <w:jc w:val="center"/>
            </w:pPr>
            <w:r>
              <w:rPr>
                <w:rFonts w:ascii="Arial" w:hAnsi="Arial" w:eastAsia="Arial"/>
                <w:b/>
                <w:color w:val="000000"/>
                <w:sz w:val="16"/>
              </w:rPr>
              <w:t>Study</w:t>
            </w:r>
          </w:p>
        </w:tc>
        <w:tc>
          <w:tcPr>
            <w:tcW w:w="1814" w:type="dxa"/>
            <w:vAlign w:val="center"/>
            <w:shd w:val="clear" w:color="auto" w:fill="FFFFFF"/>
          </w:tcPr>
          <w:p w14:paraId="541A4F03">
            <w:pPr>
              <w:spacing w:before="0" w:after="0" w:line="240" w:lineRule="auto"/>
              <w:jc w:val="center"/>
            </w:pPr>
            <w:r>
              <w:rPr>
                <w:rFonts w:ascii="Arial" w:hAnsi="Arial" w:eastAsia="Arial"/>
                <w:b/>
                <w:color w:val="000000"/>
                <w:sz w:val="16"/>
              </w:rPr>
              <w:t>CKM stage group</w:t>
            </w:r>
          </w:p>
        </w:tc>
        <w:tc>
          <w:tcPr>
            <w:tcW w:w="850" w:type="dxa"/>
            <w:vAlign w:val="center"/>
            <w:shd w:val="clear" w:color="auto" w:fill="FFFFFF"/>
          </w:tcPr>
          <w:p w14:paraId="670B8E30">
            <w:pPr>
              <w:spacing w:before="0" w:after="0" w:line="240" w:lineRule="auto"/>
              <w:jc w:val="center"/>
            </w:pPr>
            <w:r>
              <w:rPr>
                <w:rFonts w:ascii="Arial" w:hAnsi="Arial" w:eastAsia="Arial"/>
                <w:b/>
                <w:color w:val="000000"/>
                <w:sz w:val="16"/>
              </w:rPr>
              <w:t>HR</w:t>
            </w:r>
          </w:p>
        </w:tc>
        <w:tc>
          <w:tcPr>
            <w:tcW w:w="1020" w:type="dxa"/>
            <w:vAlign w:val="center"/>
            <w:shd w:val="clear" w:color="auto" w:fill="FFFFFF"/>
          </w:tcPr>
          <w:p w14:paraId="730BBF4E">
            <w:pPr>
              <w:spacing w:before="0" w:after="0" w:line="240" w:lineRule="auto"/>
              <w:jc w:val="center"/>
            </w:pPr>
            <w:r>
              <w:rPr>
                <w:rFonts w:ascii="Arial" w:hAnsi="Arial" w:eastAsia="Arial"/>
                <w:b/>
                <w:color w:val="000000"/>
                <w:sz w:val="16"/>
              </w:rPr>
              <w:t>Lower 95% CI</w:t>
            </w:r>
          </w:p>
        </w:tc>
        <w:tc>
          <w:tcPr>
            <w:tcW w:w="1020" w:type="dxa"/>
            <w:vAlign w:val="center"/>
            <w:shd w:val="clear" w:color="auto" w:fill="FFFFFF"/>
          </w:tcPr>
          <w:p w14:paraId="65DE05F0">
            <w:pPr>
              <w:spacing w:before="0" w:after="0" w:line="240" w:lineRule="auto"/>
              <w:jc w:val="center"/>
            </w:pPr>
            <w:r>
              <w:rPr>
                <w:rFonts w:ascii="Arial" w:hAnsi="Arial" w:eastAsia="Arial"/>
                <w:b/>
                <w:color w:val="000000"/>
                <w:sz w:val="16"/>
              </w:rPr>
              <w:t>Upper 95% CI</w:t>
            </w:r>
          </w:p>
        </w:tc>
        <w:tc>
          <w:tcPr>
            <w:tcW w:w="4535" w:type="dxa"/>
            <w:vAlign w:val="center"/>
            <w:shd w:val="clear" w:color="auto" w:fill="FFFFFF"/>
          </w:tcPr>
          <w:p w14:paraId="0435808F">
            <w:pPr>
              <w:spacing w:before="0" w:after="0" w:line="240" w:lineRule="auto"/>
              <w:jc w:val="center"/>
            </w:pPr>
            <w:r>
              <w:rPr>
                <w:rFonts w:ascii="Arial" w:hAnsi="Arial" w:eastAsia="Arial"/>
                <w:b/>
                <w:color w:val="000000"/>
                <w:sz w:val="16"/>
              </w:rPr>
              <w:t>Source publication</w:t>
            </w:r>
          </w:p>
        </w:tc>
      </w:tr>
      <w:tr w14:paraId="7B42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2B6EE546">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752A4017">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13FFC349">
            <w:pPr>
              <w:spacing w:before="0" w:after="0" w:line="240" w:lineRule="auto"/>
              <w:jc w:val="center"/>
            </w:pPr>
            <w:r>
              <w:rPr>
                <w:rFonts w:ascii="Arial" w:hAnsi="Arial" w:eastAsia="Arial"/>
                <w:b w:val="0"/>
                <w:color w:val="000000"/>
                <w:sz w:val="16"/>
              </w:rPr>
              <w:t>0.77</w:t>
            </w:r>
          </w:p>
        </w:tc>
        <w:tc>
          <w:tcPr>
            <w:tcW w:w="1020" w:type="dxa"/>
            <w:vAlign w:val="center"/>
            <w:shd w:val="clear" w:color="auto" w:fill="FFFFFF"/>
          </w:tcPr>
          <w:p w14:paraId="7E9082A7">
            <w:pPr>
              <w:spacing w:before="0" w:after="0" w:line="240" w:lineRule="auto"/>
              <w:jc w:val="center"/>
            </w:pPr>
            <w:r>
              <w:rPr>
                <w:rFonts w:ascii="Arial" w:hAnsi="Arial" w:eastAsia="Arial"/>
                <w:b w:val="0"/>
                <w:color w:val="000000"/>
                <w:sz w:val="16"/>
              </w:rPr>
              <w:t>0.65</w:t>
            </w:r>
          </w:p>
        </w:tc>
        <w:tc>
          <w:tcPr>
            <w:tcW w:w="1020" w:type="dxa"/>
            <w:vAlign w:val="center"/>
            <w:shd w:val="clear" w:color="auto" w:fill="FFFFFF"/>
          </w:tcPr>
          <w:p w14:paraId="7E6ED15F">
            <w:pPr>
              <w:spacing w:before="0" w:after="0" w:line="240" w:lineRule="auto"/>
              <w:jc w:val="center"/>
            </w:pPr>
            <w:r>
              <w:rPr>
                <w:rFonts w:ascii="Arial" w:hAnsi="Arial" w:eastAsia="Arial"/>
                <w:b w:val="0"/>
                <w:color w:val="000000"/>
                <w:sz w:val="16"/>
              </w:rPr>
              <w:t>0.92</w:t>
            </w:r>
          </w:p>
        </w:tc>
        <w:tc>
          <w:tcPr>
            <w:tcW w:w="4535" w:type="dxa"/>
            <w:vAlign w:val="center"/>
            <w:shd w:val="clear" w:color="auto" w:fill="FFFFFF"/>
          </w:tcPr>
          <w:p w14:paraId="22E5A09B">
            <w:pPr>
              <w:spacing w:before="0" w:after="0" w:line="240" w:lineRule="auto"/>
              <w:jc w:val="left"/>
            </w:pPr>
            <w:r>
              <w:rPr>
                <w:rFonts w:ascii="Arial" w:hAnsi="Arial" w:eastAsia="Arial"/>
                <w:b w:val="0"/>
                <w:color w:val="000000"/>
                <w:sz w:val="16"/>
              </w:rPr>
              <w:t>Mahaffey et al., Circulation 2018</w:t>
            </w:r>
          </w:p>
        </w:tc>
      </w:tr>
      <w:tr w14:paraId="7456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631F0639">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311F9306">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727C360B">
            <w:pPr>
              <w:spacing w:before="0" w:after="0" w:line="240" w:lineRule="auto"/>
              <w:jc w:val="center"/>
            </w:pPr>
            <w:r>
              <w:rPr>
                <w:rFonts w:ascii="Arial" w:hAnsi="Arial" w:eastAsia="Arial"/>
                <w:b w:val="0"/>
                <w:color w:val="000000"/>
                <w:sz w:val="16"/>
              </w:rPr>
              <w:t>0.66</w:t>
            </w:r>
          </w:p>
        </w:tc>
        <w:tc>
          <w:tcPr>
            <w:tcW w:w="1020" w:type="dxa"/>
            <w:vAlign w:val="center"/>
            <w:shd w:val="clear" w:color="auto" w:fill="FFFFFF"/>
          </w:tcPr>
          <w:p w14:paraId="1E9DF4B4">
            <w:pPr>
              <w:spacing w:before="0" w:after="0" w:line="240" w:lineRule="auto"/>
              <w:jc w:val="center"/>
            </w:pPr>
            <w:r>
              <w:rPr>
                <w:rFonts w:ascii="Arial" w:hAnsi="Arial" w:eastAsia="Arial"/>
                <w:b w:val="0"/>
                <w:color w:val="000000"/>
                <w:sz w:val="16"/>
              </w:rPr>
              <w:t>0.52</w:t>
            </w:r>
          </w:p>
        </w:tc>
        <w:tc>
          <w:tcPr>
            <w:tcW w:w="1020" w:type="dxa"/>
            <w:vAlign w:val="center"/>
            <w:shd w:val="clear" w:color="auto" w:fill="FFFFFF"/>
          </w:tcPr>
          <w:p w14:paraId="54AE8B73">
            <w:pPr>
              <w:spacing w:before="0" w:after="0" w:line="240" w:lineRule="auto"/>
              <w:jc w:val="center"/>
            </w:pPr>
            <w:r>
              <w:rPr>
                <w:rFonts w:ascii="Arial" w:hAnsi="Arial" w:eastAsia="Arial"/>
                <w:b w:val="0"/>
                <w:color w:val="000000"/>
                <w:sz w:val="16"/>
              </w:rPr>
              <w:t>0.83</w:t>
            </w:r>
          </w:p>
        </w:tc>
        <w:tc>
          <w:tcPr>
            <w:tcW w:w="4535" w:type="dxa"/>
            <w:vAlign w:val="center"/>
            <w:shd w:val="clear" w:color="auto" w:fill="FFFFFF"/>
          </w:tcPr>
          <w:p w14:paraId="0A2A2728">
            <w:pPr>
              <w:spacing w:before="0" w:after="0" w:line="240" w:lineRule="auto"/>
              <w:jc w:val="left"/>
            </w:pPr>
            <w:r>
              <w:rPr>
                <w:rFonts w:ascii="Arial" w:hAnsi="Arial" w:eastAsia="Arial"/>
                <w:b w:val="0"/>
                <w:color w:val="000000"/>
                <w:sz w:val="16"/>
              </w:rPr>
              <w:t>Mahaffey et al., Circulation 2019</w:t>
            </w:r>
          </w:p>
        </w:tc>
      </w:tr>
      <w:tr w14:paraId="5CEE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33B4E06">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0DD76DEE">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3420F7F2">
            <w:pPr>
              <w:spacing w:before="0" w:after="0" w:line="240" w:lineRule="auto"/>
              <w:jc w:val="center"/>
            </w:pPr>
            <w:r>
              <w:rPr>
                <w:rFonts w:ascii="Arial" w:hAnsi="Arial" w:eastAsia="Arial"/>
                <w:b w:val="0"/>
                <w:color w:val="000000"/>
                <w:sz w:val="16"/>
              </w:rPr>
              <w:t>0.70</w:t>
            </w:r>
          </w:p>
        </w:tc>
        <w:tc>
          <w:tcPr>
            <w:tcW w:w="1020" w:type="dxa"/>
            <w:vAlign w:val="center"/>
            <w:shd w:val="clear" w:color="auto" w:fill="FFFFFF"/>
          </w:tcPr>
          <w:p w14:paraId="1D6D5B87">
            <w:pPr>
              <w:spacing w:before="0" w:after="0" w:line="240" w:lineRule="auto"/>
              <w:jc w:val="center"/>
            </w:pPr>
            <w:r>
              <w:rPr>
                <w:rFonts w:ascii="Arial" w:hAnsi="Arial" w:eastAsia="Arial"/>
                <w:b w:val="0"/>
                <w:color w:val="000000"/>
                <w:sz w:val="16"/>
              </w:rPr>
              <w:t>0.52</w:t>
            </w:r>
          </w:p>
        </w:tc>
        <w:tc>
          <w:tcPr>
            <w:tcW w:w="1020" w:type="dxa"/>
            <w:vAlign w:val="center"/>
            <w:shd w:val="clear" w:color="auto" w:fill="FFFFFF"/>
          </w:tcPr>
          <w:p w14:paraId="6F57EA05">
            <w:pPr>
              <w:spacing w:before="0" w:after="0" w:line="240" w:lineRule="auto"/>
              <w:jc w:val="center"/>
            </w:pPr>
            <w:r>
              <w:rPr>
                <w:rFonts w:ascii="Arial" w:hAnsi="Arial" w:eastAsia="Arial"/>
                <w:b w:val="0"/>
                <w:color w:val="000000"/>
                <w:sz w:val="16"/>
              </w:rPr>
              <w:t>0.94</w:t>
            </w:r>
          </w:p>
        </w:tc>
        <w:tc>
          <w:tcPr>
            <w:tcW w:w="4535" w:type="dxa"/>
            <w:vAlign w:val="center"/>
            <w:shd w:val="clear" w:color="auto" w:fill="FFFFFF"/>
          </w:tcPr>
          <w:p w14:paraId="6BDEB800">
            <w:pPr>
              <w:spacing w:before="0" w:after="0" w:line="240" w:lineRule="auto"/>
              <w:jc w:val="left"/>
            </w:pPr>
            <w:r>
              <w:rPr>
                <w:rFonts w:ascii="Arial" w:hAnsi="Arial" w:eastAsia="Arial"/>
                <w:b w:val="0"/>
                <w:color w:val="000000"/>
                <w:sz w:val="16"/>
              </w:rPr>
              <w:t>McMurray et al., Circulation 2021</w:t>
            </w:r>
          </w:p>
        </w:tc>
      </w:tr>
      <w:tr w14:paraId="7AC5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BFCA937">
            <w:pPr>
              <w:spacing w:before="0" w:after="0" w:line="240" w:lineRule="auto"/>
              <w:jc w:val="left"/>
            </w:pPr>
            <w:r>
              <w:rPr>
                <w:rFonts w:ascii="Arial" w:hAnsi="Arial" w:eastAsia="Arial"/>
                <w:b w:val="0"/>
                <w:color w:val="000000"/>
                <w:sz w:val="16"/>
              </w:rPr>
              <w:t>DAPA-HF</w:t>
            </w:r>
          </w:p>
        </w:tc>
        <w:tc>
          <w:tcPr>
            <w:tcW w:w="1814" w:type="dxa"/>
            <w:vAlign w:val="center"/>
            <w:shd w:val="clear" w:color="auto" w:fill="FFFFFF"/>
          </w:tcPr>
          <w:p w14:paraId="0E23153A">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34284843">
            <w:pPr>
              <w:spacing w:before="0" w:after="0" w:line="240" w:lineRule="auto"/>
              <w:jc w:val="center"/>
            </w:pPr>
            <w:r>
              <w:rPr>
                <w:rFonts w:ascii="Arial" w:hAnsi="Arial" w:eastAsia="Arial"/>
                <w:b w:val="0"/>
                <w:color w:val="000000"/>
                <w:sz w:val="16"/>
              </w:rPr>
              <w:t>0.75</w:t>
            </w:r>
          </w:p>
        </w:tc>
        <w:tc>
          <w:tcPr>
            <w:tcW w:w="1020" w:type="dxa"/>
            <w:vAlign w:val="center"/>
            <w:shd w:val="clear" w:color="auto" w:fill="FFFFFF"/>
          </w:tcPr>
          <w:p w14:paraId="6B726113">
            <w:pPr>
              <w:spacing w:before="0" w:after="0" w:line="240" w:lineRule="auto"/>
              <w:jc w:val="center"/>
            </w:pPr>
            <w:r>
              <w:rPr>
                <w:rFonts w:ascii="Arial" w:hAnsi="Arial" w:eastAsia="Arial"/>
                <w:b w:val="0"/>
                <w:color w:val="000000"/>
                <w:sz w:val="16"/>
              </w:rPr>
              <w:t>0.65</w:t>
            </w:r>
          </w:p>
        </w:tc>
        <w:tc>
          <w:tcPr>
            <w:tcW w:w="1020" w:type="dxa"/>
            <w:vAlign w:val="center"/>
            <w:shd w:val="clear" w:color="auto" w:fill="FFFFFF"/>
          </w:tcPr>
          <w:p w14:paraId="14CA36C7">
            <w:pPr>
              <w:spacing w:before="0" w:after="0" w:line="240" w:lineRule="auto"/>
              <w:jc w:val="center"/>
            </w:pPr>
            <w:r>
              <w:rPr>
                <w:rFonts w:ascii="Arial" w:hAnsi="Arial" w:eastAsia="Arial"/>
                <w:b w:val="0"/>
                <w:color w:val="000000"/>
                <w:sz w:val="16"/>
              </w:rPr>
              <w:t>0.85</w:t>
            </w:r>
          </w:p>
        </w:tc>
        <w:tc>
          <w:tcPr>
            <w:tcW w:w="4535" w:type="dxa"/>
            <w:vAlign w:val="center"/>
            <w:shd w:val="clear" w:color="auto" w:fill="FFFFFF"/>
          </w:tcPr>
          <w:p w14:paraId="6CAB0B3E">
            <w:pPr>
              <w:spacing w:before="0" w:after="0" w:line="240" w:lineRule="auto"/>
              <w:jc w:val="left"/>
            </w:pPr>
            <w:r>
              <w:rPr>
                <w:rFonts w:ascii="Arial" w:hAnsi="Arial" w:eastAsia="Arial"/>
                <w:b w:val="0"/>
                <w:color w:val="000000"/>
                <w:sz w:val="16"/>
              </w:rPr>
              <w:t>McMurray et al., N Engl J Med 2019</w:t>
            </w:r>
          </w:p>
        </w:tc>
      </w:tr>
      <w:tr w14:paraId="1852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AE153A1">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46A01BB9">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6573240B">
            <w:pPr>
              <w:spacing w:before="0" w:after="0" w:line="240" w:lineRule="auto"/>
              <w:jc w:val="center"/>
            </w:pPr>
            <w:r>
              <w:rPr>
                <w:rFonts w:ascii="Arial" w:hAnsi="Arial" w:eastAsia="Arial"/>
                <w:b w:val="0"/>
                <w:color w:val="000000"/>
                <w:sz w:val="16"/>
              </w:rPr>
              <w:t>0.83</w:t>
            </w:r>
          </w:p>
        </w:tc>
        <w:tc>
          <w:tcPr>
            <w:tcW w:w="1020" w:type="dxa"/>
            <w:vAlign w:val="center"/>
            <w:shd w:val="clear" w:color="auto" w:fill="FFFFFF"/>
          </w:tcPr>
          <w:p w14:paraId="6F31405A">
            <w:pPr>
              <w:spacing w:before="0" w:after="0" w:line="240" w:lineRule="auto"/>
              <w:jc w:val="center"/>
            </w:pPr>
            <w:r>
              <w:rPr>
                <w:rFonts w:ascii="Arial" w:hAnsi="Arial" w:eastAsia="Arial"/>
                <w:b w:val="0"/>
                <w:color w:val="000000"/>
                <w:sz w:val="16"/>
              </w:rPr>
              <w:t>0.71</w:t>
            </w:r>
          </w:p>
        </w:tc>
        <w:tc>
          <w:tcPr>
            <w:tcW w:w="1020" w:type="dxa"/>
            <w:vAlign w:val="center"/>
            <w:shd w:val="clear" w:color="auto" w:fill="FFFFFF"/>
          </w:tcPr>
          <w:p w14:paraId="79FD9392">
            <w:pPr>
              <w:spacing w:before="0" w:after="0" w:line="240" w:lineRule="auto"/>
              <w:jc w:val="center"/>
            </w:pPr>
            <w:r>
              <w:rPr>
                <w:rFonts w:ascii="Arial" w:hAnsi="Arial" w:eastAsia="Arial"/>
                <w:b w:val="0"/>
                <w:color w:val="000000"/>
                <w:sz w:val="16"/>
              </w:rPr>
              <w:t>0.98</w:t>
            </w:r>
          </w:p>
        </w:tc>
        <w:tc>
          <w:tcPr>
            <w:tcW w:w="4535" w:type="dxa"/>
            <w:vAlign w:val="center"/>
            <w:shd w:val="clear" w:color="auto" w:fill="FFFFFF"/>
          </w:tcPr>
          <w:p w14:paraId="7815E761">
            <w:pPr>
              <w:spacing w:before="0" w:after="0" w:line="240" w:lineRule="auto"/>
              <w:jc w:val="left"/>
            </w:pPr>
            <w:r>
              <w:rPr>
                <w:rFonts w:ascii="Arial" w:hAnsi="Arial" w:eastAsia="Arial"/>
                <w:b w:val="0"/>
                <w:color w:val="000000"/>
                <w:sz w:val="16"/>
              </w:rPr>
              <w:t>Wiviott et al., N Engl J Med 2019; published subgroup analysis</w:t>
            </w:r>
          </w:p>
        </w:tc>
      </w:tr>
      <w:tr w14:paraId="4E24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D1DB391">
            <w:pPr>
              <w:spacing w:before="0" w:after="0" w:line="240" w:lineRule="auto"/>
              <w:jc w:val="left"/>
            </w:pPr>
            <w:r>
              <w:rPr>
                <w:rFonts w:ascii="Arial" w:hAnsi="Arial" w:eastAsia="Arial"/>
                <w:b w:val="0"/>
                <w:color w:val="000000"/>
                <w:sz w:val="16"/>
              </w:rPr>
              <w:t>DELIVER</w:t>
            </w:r>
          </w:p>
        </w:tc>
        <w:tc>
          <w:tcPr>
            <w:tcW w:w="1814" w:type="dxa"/>
            <w:vAlign w:val="center"/>
            <w:shd w:val="clear" w:color="auto" w:fill="FFFFFF"/>
          </w:tcPr>
          <w:p w14:paraId="2F9E8967">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58AA2481">
            <w:pPr>
              <w:spacing w:before="0" w:after="0" w:line="240" w:lineRule="auto"/>
              <w:jc w:val="center"/>
            </w:pPr>
            <w:r>
              <w:rPr>
                <w:rFonts w:ascii="Arial" w:hAnsi="Arial" w:eastAsia="Arial"/>
                <w:b w:val="0"/>
                <w:color w:val="000000"/>
                <w:sz w:val="16"/>
              </w:rPr>
              <w:t>0.80</w:t>
            </w:r>
          </w:p>
        </w:tc>
        <w:tc>
          <w:tcPr>
            <w:tcW w:w="1020" w:type="dxa"/>
            <w:vAlign w:val="center"/>
            <w:shd w:val="clear" w:color="auto" w:fill="FFFFFF"/>
          </w:tcPr>
          <w:p w14:paraId="6EA1B5C5">
            <w:pPr>
              <w:spacing w:before="0" w:after="0" w:line="240" w:lineRule="auto"/>
              <w:jc w:val="center"/>
            </w:pPr>
            <w:r>
              <w:rPr>
                <w:rFonts w:ascii="Arial" w:hAnsi="Arial" w:eastAsia="Arial"/>
                <w:b w:val="0"/>
                <w:color w:val="000000"/>
                <w:sz w:val="16"/>
              </w:rPr>
              <w:t>0.71</w:t>
            </w:r>
          </w:p>
        </w:tc>
        <w:tc>
          <w:tcPr>
            <w:tcW w:w="1020" w:type="dxa"/>
            <w:vAlign w:val="center"/>
            <w:shd w:val="clear" w:color="auto" w:fill="FFFFFF"/>
          </w:tcPr>
          <w:p w14:paraId="7C4CCC99">
            <w:pPr>
              <w:spacing w:before="0" w:after="0" w:line="240" w:lineRule="auto"/>
              <w:jc w:val="center"/>
            </w:pPr>
            <w:r>
              <w:rPr>
                <w:rFonts w:ascii="Arial" w:hAnsi="Arial" w:eastAsia="Arial"/>
                <w:b w:val="0"/>
                <w:color w:val="000000"/>
                <w:sz w:val="16"/>
              </w:rPr>
              <w:t>0.91</w:t>
            </w:r>
          </w:p>
        </w:tc>
        <w:tc>
          <w:tcPr>
            <w:tcW w:w="4535" w:type="dxa"/>
            <w:vAlign w:val="center"/>
            <w:shd w:val="clear" w:color="auto" w:fill="FFFFFF"/>
          </w:tcPr>
          <w:p w14:paraId="6E56C4BA">
            <w:pPr>
              <w:spacing w:before="0" w:after="0" w:line="240" w:lineRule="auto"/>
              <w:jc w:val="left"/>
            </w:pPr>
            <w:r>
              <w:rPr>
                <w:rFonts w:ascii="Arial" w:hAnsi="Arial" w:eastAsia="Arial"/>
                <w:b w:val="0"/>
                <w:color w:val="000000"/>
                <w:sz w:val="16"/>
              </w:rPr>
              <w:t>Chatur et al., Circulation 2023</w:t>
            </w:r>
          </w:p>
        </w:tc>
      </w:tr>
      <w:tr w14:paraId="46B8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6EA94365">
            <w:pPr>
              <w:spacing w:before="0" w:after="0" w:line="240" w:lineRule="auto"/>
              <w:jc w:val="left"/>
            </w:pPr>
            <w:r>
              <w:rPr>
                <w:rFonts w:ascii="Arial" w:hAnsi="Arial" w:eastAsia="Arial"/>
                <w:b w:val="0"/>
                <w:color w:val="000000"/>
                <w:sz w:val="16"/>
              </w:rPr>
              <w:t>EMPA-REG OUTCOME</w:t>
            </w:r>
          </w:p>
        </w:tc>
        <w:tc>
          <w:tcPr>
            <w:tcW w:w="1814" w:type="dxa"/>
            <w:vAlign w:val="center"/>
            <w:shd w:val="clear" w:color="auto" w:fill="FFFFFF"/>
          </w:tcPr>
          <w:p w14:paraId="531D70E9">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540B526F">
            <w:pPr>
              <w:spacing w:before="0" w:after="0" w:line="240" w:lineRule="auto"/>
              <w:jc w:val="center"/>
            </w:pPr>
            <w:r>
              <w:rPr>
                <w:rFonts w:ascii="Arial" w:hAnsi="Arial" w:eastAsia="Arial"/>
                <w:b w:val="0"/>
                <w:color w:val="000000"/>
                <w:sz w:val="16"/>
              </w:rPr>
              <w:t>0.66</w:t>
            </w:r>
          </w:p>
        </w:tc>
        <w:tc>
          <w:tcPr>
            <w:tcW w:w="1020" w:type="dxa"/>
            <w:vAlign w:val="center"/>
            <w:shd w:val="clear" w:color="auto" w:fill="FFFFFF"/>
          </w:tcPr>
          <w:p w14:paraId="6C5B8436">
            <w:pPr>
              <w:spacing w:before="0" w:after="0" w:line="240" w:lineRule="auto"/>
              <w:jc w:val="center"/>
            </w:pPr>
            <w:r>
              <w:rPr>
                <w:rFonts w:ascii="Arial" w:hAnsi="Arial" w:eastAsia="Arial"/>
                <w:b w:val="0"/>
                <w:color w:val="000000"/>
                <w:sz w:val="16"/>
              </w:rPr>
              <w:t>0.55</w:t>
            </w:r>
          </w:p>
        </w:tc>
        <w:tc>
          <w:tcPr>
            <w:tcW w:w="1020" w:type="dxa"/>
            <w:vAlign w:val="center"/>
            <w:shd w:val="clear" w:color="auto" w:fill="FFFFFF"/>
          </w:tcPr>
          <w:p w14:paraId="594F3DAB">
            <w:pPr>
              <w:spacing w:before="0" w:after="0" w:line="240" w:lineRule="auto"/>
              <w:jc w:val="center"/>
            </w:pPr>
            <w:r>
              <w:rPr>
                <w:rFonts w:ascii="Arial" w:hAnsi="Arial" w:eastAsia="Arial"/>
                <w:b w:val="0"/>
                <w:color w:val="000000"/>
                <w:sz w:val="16"/>
              </w:rPr>
              <w:t>0.79</w:t>
            </w:r>
          </w:p>
        </w:tc>
        <w:tc>
          <w:tcPr>
            <w:tcW w:w="4535" w:type="dxa"/>
            <w:vAlign w:val="center"/>
            <w:shd w:val="clear" w:color="auto" w:fill="FFFFFF"/>
          </w:tcPr>
          <w:p w14:paraId="137810FB">
            <w:pPr>
              <w:spacing w:before="0" w:after="0" w:line="240" w:lineRule="auto"/>
              <w:jc w:val="left"/>
            </w:pPr>
            <w:r>
              <w:rPr>
                <w:rFonts w:ascii="Arial" w:hAnsi="Arial" w:eastAsia="Arial"/>
                <w:b w:val="0"/>
                <w:color w:val="000000"/>
                <w:sz w:val="16"/>
              </w:rPr>
              <w:t>Zinman et al., N Engl J Med 2015</w:t>
            </w:r>
          </w:p>
        </w:tc>
      </w:tr>
      <w:tr w14:paraId="5AB2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C6A39C9">
            <w:pPr>
              <w:spacing w:before="0" w:after="0" w:line="240" w:lineRule="auto"/>
              <w:jc w:val="left"/>
            </w:pPr>
            <w:r>
              <w:rPr>
                <w:rFonts w:ascii="Arial" w:hAnsi="Arial" w:eastAsia="Arial"/>
                <w:b w:val="0"/>
                <w:color w:val="000000"/>
                <w:sz w:val="16"/>
              </w:rPr>
              <w:t>EMPEROR-Preserved</w:t>
            </w:r>
          </w:p>
        </w:tc>
        <w:tc>
          <w:tcPr>
            <w:tcW w:w="1814" w:type="dxa"/>
            <w:vAlign w:val="center"/>
            <w:shd w:val="clear" w:color="auto" w:fill="FFFFFF"/>
          </w:tcPr>
          <w:p w14:paraId="6DEC1C64">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2BD81871">
            <w:pPr>
              <w:spacing w:before="0" w:after="0" w:line="240" w:lineRule="auto"/>
              <w:jc w:val="center"/>
            </w:pPr>
            <w:r>
              <w:rPr>
                <w:rFonts w:ascii="Arial" w:hAnsi="Arial" w:eastAsia="Arial"/>
                <w:b w:val="0"/>
                <w:color w:val="000000"/>
                <w:sz w:val="16"/>
              </w:rPr>
              <w:t>0.79</w:t>
            </w:r>
          </w:p>
        </w:tc>
        <w:tc>
          <w:tcPr>
            <w:tcW w:w="1020" w:type="dxa"/>
            <w:vAlign w:val="center"/>
            <w:shd w:val="clear" w:color="auto" w:fill="FFFFFF"/>
          </w:tcPr>
          <w:p w14:paraId="318DE85B">
            <w:pPr>
              <w:spacing w:before="0" w:after="0" w:line="240" w:lineRule="auto"/>
              <w:jc w:val="center"/>
            </w:pPr>
            <w:r>
              <w:rPr>
                <w:rFonts w:ascii="Arial" w:hAnsi="Arial" w:eastAsia="Arial"/>
                <w:b w:val="0"/>
                <w:color w:val="000000"/>
                <w:sz w:val="16"/>
              </w:rPr>
              <w:t>0.69</w:t>
            </w:r>
          </w:p>
        </w:tc>
        <w:tc>
          <w:tcPr>
            <w:tcW w:w="1020" w:type="dxa"/>
            <w:vAlign w:val="center"/>
            <w:shd w:val="clear" w:color="auto" w:fill="FFFFFF"/>
          </w:tcPr>
          <w:p w14:paraId="1E80D807">
            <w:pPr>
              <w:spacing w:before="0" w:after="0" w:line="240" w:lineRule="auto"/>
              <w:jc w:val="center"/>
            </w:pPr>
            <w:r>
              <w:rPr>
                <w:rFonts w:ascii="Arial" w:hAnsi="Arial" w:eastAsia="Arial"/>
                <w:b w:val="0"/>
                <w:color w:val="000000"/>
                <w:sz w:val="16"/>
              </w:rPr>
              <w:t>0.90</w:t>
            </w:r>
          </w:p>
        </w:tc>
        <w:tc>
          <w:tcPr>
            <w:tcW w:w="4535" w:type="dxa"/>
            <w:vAlign w:val="center"/>
            <w:shd w:val="clear" w:color="auto" w:fill="FFFFFF"/>
          </w:tcPr>
          <w:p w14:paraId="621ECBF3">
            <w:pPr>
              <w:spacing w:before="0" w:after="0" w:line="240" w:lineRule="auto"/>
              <w:jc w:val="left"/>
            </w:pPr>
            <w:r>
              <w:rPr>
                <w:rFonts w:ascii="Arial" w:hAnsi="Arial" w:eastAsia="Arial"/>
                <w:b w:val="0"/>
                <w:color w:val="000000"/>
                <w:sz w:val="16"/>
              </w:rPr>
              <w:t>Anker et al., N Engl J Med 2021</w:t>
            </w:r>
          </w:p>
        </w:tc>
      </w:tr>
      <w:tr w14:paraId="2545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7682E03">
            <w:pPr>
              <w:spacing w:before="0" w:after="0" w:line="240" w:lineRule="auto"/>
              <w:jc w:val="left"/>
            </w:pPr>
            <w:r>
              <w:rPr>
                <w:rFonts w:ascii="Arial" w:hAnsi="Arial" w:eastAsia="Arial"/>
                <w:b w:val="0"/>
                <w:color w:val="000000"/>
                <w:sz w:val="16"/>
              </w:rPr>
              <w:t>EMPEROR-Reduced</w:t>
            </w:r>
          </w:p>
        </w:tc>
        <w:tc>
          <w:tcPr>
            <w:tcW w:w="1814" w:type="dxa"/>
            <w:vAlign w:val="center"/>
            <w:shd w:val="clear" w:color="auto" w:fill="FFFFFF"/>
          </w:tcPr>
          <w:p w14:paraId="7F47C0B6">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274B5FF7">
            <w:pPr>
              <w:spacing w:before="0" w:after="0" w:line="240" w:lineRule="auto"/>
              <w:jc w:val="center"/>
            </w:pPr>
            <w:r>
              <w:rPr>
                <w:rFonts w:ascii="Arial" w:hAnsi="Arial" w:eastAsia="Arial"/>
                <w:b w:val="0"/>
                <w:color w:val="000000"/>
                <w:sz w:val="16"/>
              </w:rPr>
              <w:t>0.75</w:t>
            </w:r>
          </w:p>
        </w:tc>
        <w:tc>
          <w:tcPr>
            <w:tcW w:w="1020" w:type="dxa"/>
            <w:vAlign w:val="center"/>
            <w:shd w:val="clear" w:color="auto" w:fill="FFFFFF"/>
          </w:tcPr>
          <w:p w14:paraId="7739B454">
            <w:pPr>
              <w:spacing w:before="0" w:after="0" w:line="240" w:lineRule="auto"/>
              <w:jc w:val="center"/>
            </w:pPr>
            <w:r>
              <w:rPr>
                <w:rFonts w:ascii="Arial" w:hAnsi="Arial" w:eastAsia="Arial"/>
                <w:b w:val="0"/>
                <w:color w:val="000000"/>
                <w:sz w:val="16"/>
              </w:rPr>
              <w:t>0.65</w:t>
            </w:r>
          </w:p>
        </w:tc>
        <w:tc>
          <w:tcPr>
            <w:tcW w:w="1020" w:type="dxa"/>
            <w:vAlign w:val="center"/>
            <w:shd w:val="clear" w:color="auto" w:fill="FFFFFF"/>
          </w:tcPr>
          <w:p w14:paraId="0D2D5DFE">
            <w:pPr>
              <w:spacing w:before="0" w:after="0" w:line="240" w:lineRule="auto"/>
              <w:jc w:val="center"/>
            </w:pPr>
            <w:r>
              <w:rPr>
                <w:rFonts w:ascii="Arial" w:hAnsi="Arial" w:eastAsia="Arial"/>
                <w:b w:val="0"/>
                <w:color w:val="000000"/>
                <w:sz w:val="16"/>
              </w:rPr>
              <w:t>0.86</w:t>
            </w:r>
          </w:p>
        </w:tc>
        <w:tc>
          <w:tcPr>
            <w:tcW w:w="4535" w:type="dxa"/>
            <w:vAlign w:val="center"/>
            <w:shd w:val="clear" w:color="auto" w:fill="FFFFFF"/>
          </w:tcPr>
          <w:p w14:paraId="09D4D849">
            <w:pPr>
              <w:spacing w:before="0" w:after="0" w:line="240" w:lineRule="auto"/>
              <w:jc w:val="left"/>
            </w:pPr>
            <w:r>
              <w:rPr>
                <w:rFonts w:ascii="Arial" w:hAnsi="Arial" w:eastAsia="Arial"/>
                <w:b w:val="0"/>
                <w:color w:val="000000"/>
                <w:sz w:val="16"/>
              </w:rPr>
              <w:t>Packer et al., N Engl J Med 2020</w:t>
            </w:r>
          </w:p>
        </w:tc>
      </w:tr>
      <w:tr w14:paraId="7065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4179B8A">
            <w:pPr>
              <w:spacing w:before="0" w:after="0" w:line="240" w:lineRule="auto"/>
              <w:jc w:val="left"/>
            </w:pPr>
            <w:r>
              <w:rPr>
                <w:rFonts w:ascii="Arial" w:hAnsi="Arial" w:eastAsia="Arial"/>
                <w:b w:val="0"/>
                <w:color w:val="000000"/>
                <w:sz w:val="16"/>
              </w:rPr>
              <w:t>VERTIS CV</w:t>
            </w:r>
          </w:p>
        </w:tc>
        <w:tc>
          <w:tcPr>
            <w:tcW w:w="1814" w:type="dxa"/>
            <w:vAlign w:val="center"/>
            <w:shd w:val="clear" w:color="auto" w:fill="FFFFFF"/>
          </w:tcPr>
          <w:p w14:paraId="6292FE71">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5378A804">
            <w:pPr>
              <w:spacing w:before="0" w:after="0" w:line="240" w:lineRule="auto"/>
              <w:jc w:val="center"/>
            </w:pPr>
            <w:r>
              <w:rPr>
                <w:rFonts w:ascii="Arial" w:hAnsi="Arial" w:eastAsia="Arial"/>
                <w:b w:val="0"/>
                <w:color w:val="000000"/>
                <w:sz w:val="16"/>
              </w:rPr>
              <w:t>0.88</w:t>
            </w:r>
          </w:p>
        </w:tc>
        <w:tc>
          <w:tcPr>
            <w:tcW w:w="1020" w:type="dxa"/>
            <w:vAlign w:val="center"/>
            <w:shd w:val="clear" w:color="auto" w:fill="FFFFFF"/>
          </w:tcPr>
          <w:p w14:paraId="04AFC538">
            <w:pPr>
              <w:spacing w:before="0" w:after="0" w:line="240" w:lineRule="auto"/>
              <w:jc w:val="center"/>
            </w:pPr>
            <w:r>
              <w:rPr>
                <w:rFonts w:ascii="Arial" w:hAnsi="Arial" w:eastAsia="Arial"/>
                <w:b w:val="0"/>
                <w:color w:val="000000"/>
                <w:sz w:val="16"/>
              </w:rPr>
              <w:t>0.75</w:t>
            </w:r>
          </w:p>
        </w:tc>
        <w:tc>
          <w:tcPr>
            <w:tcW w:w="1020" w:type="dxa"/>
            <w:vAlign w:val="center"/>
            <w:shd w:val="clear" w:color="auto" w:fill="FFFFFF"/>
          </w:tcPr>
          <w:p w14:paraId="4267BEEC">
            <w:pPr>
              <w:spacing w:before="0" w:after="0" w:line="240" w:lineRule="auto"/>
              <w:jc w:val="center"/>
            </w:pPr>
            <w:r>
              <w:rPr>
                <w:rFonts w:ascii="Arial" w:hAnsi="Arial" w:eastAsia="Arial"/>
                <w:b w:val="0"/>
                <w:color w:val="000000"/>
                <w:sz w:val="16"/>
              </w:rPr>
              <w:t>1.03</w:t>
            </w:r>
          </w:p>
        </w:tc>
        <w:tc>
          <w:tcPr>
            <w:tcW w:w="4535" w:type="dxa"/>
            <w:vAlign w:val="center"/>
            <w:shd w:val="clear" w:color="auto" w:fill="FFFFFF"/>
          </w:tcPr>
          <w:p w14:paraId="05959540">
            <w:pPr>
              <w:spacing w:before="0" w:after="0" w:line="240" w:lineRule="auto"/>
              <w:jc w:val="left"/>
            </w:pPr>
            <w:r>
              <w:rPr>
                <w:rFonts w:ascii="Arial" w:hAnsi="Arial" w:eastAsia="Arial"/>
                <w:b w:val="0"/>
                <w:color w:val="000000"/>
                <w:sz w:val="16"/>
              </w:rPr>
              <w:t>Cannon et al., N Engl J Med 2020</w:t>
            </w:r>
          </w:p>
        </w:tc>
      </w:tr>
      <w:tr w14:paraId="256E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D707BFD">
            <w:pPr>
              <w:spacing w:before="0" w:after="0" w:line="240" w:lineRule="auto"/>
              <w:jc w:val="left"/>
            </w:pPr>
            <w:r>
              <w:rPr>
                <w:rFonts w:ascii="Arial" w:hAnsi="Arial" w:eastAsia="Arial"/>
                <w:b w:val="0"/>
                <w:color w:val="000000"/>
                <w:sz w:val="16"/>
              </w:rPr>
              <w:t>SOLOIST-WHF</w:t>
            </w:r>
          </w:p>
        </w:tc>
        <w:tc>
          <w:tcPr>
            <w:tcW w:w="1814" w:type="dxa"/>
            <w:vAlign w:val="center"/>
            <w:shd w:val="clear" w:color="auto" w:fill="FFFFFF"/>
          </w:tcPr>
          <w:p w14:paraId="2C182881">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47BB68C3">
            <w:pPr>
              <w:spacing w:before="0" w:after="0" w:line="240" w:lineRule="auto"/>
              <w:jc w:val="center"/>
            </w:pPr>
            <w:r>
              <w:rPr>
                <w:rFonts w:ascii="Arial" w:hAnsi="Arial" w:eastAsia="Arial"/>
                <w:b w:val="0"/>
                <w:color w:val="000000"/>
                <w:sz w:val="16"/>
              </w:rPr>
              <w:t>0.71</w:t>
            </w:r>
          </w:p>
        </w:tc>
        <w:tc>
          <w:tcPr>
            <w:tcW w:w="1020" w:type="dxa"/>
            <w:vAlign w:val="center"/>
            <w:shd w:val="clear" w:color="auto" w:fill="FFFFFF"/>
          </w:tcPr>
          <w:p w14:paraId="3026CEED">
            <w:pPr>
              <w:spacing w:before="0" w:after="0" w:line="240" w:lineRule="auto"/>
              <w:jc w:val="center"/>
            </w:pPr>
            <w:r>
              <w:rPr>
                <w:rFonts w:ascii="Arial" w:hAnsi="Arial" w:eastAsia="Arial"/>
                <w:b w:val="0"/>
                <w:color w:val="000000"/>
                <w:sz w:val="16"/>
              </w:rPr>
              <w:t>0.56</w:t>
            </w:r>
          </w:p>
        </w:tc>
        <w:tc>
          <w:tcPr>
            <w:tcW w:w="1020" w:type="dxa"/>
            <w:vAlign w:val="center"/>
            <w:shd w:val="clear" w:color="auto" w:fill="FFFFFF"/>
          </w:tcPr>
          <w:p w14:paraId="16D15C5C">
            <w:pPr>
              <w:spacing w:before="0" w:after="0" w:line="240" w:lineRule="auto"/>
              <w:jc w:val="center"/>
            </w:pPr>
            <w:r>
              <w:rPr>
                <w:rFonts w:ascii="Arial" w:hAnsi="Arial" w:eastAsia="Arial"/>
                <w:b w:val="0"/>
                <w:color w:val="000000"/>
                <w:sz w:val="16"/>
              </w:rPr>
              <w:t>0.89</w:t>
            </w:r>
          </w:p>
        </w:tc>
        <w:tc>
          <w:tcPr>
            <w:tcW w:w="4535" w:type="dxa"/>
            <w:vAlign w:val="center"/>
            <w:shd w:val="clear" w:color="auto" w:fill="FFFFFF"/>
          </w:tcPr>
          <w:p w14:paraId="69104518">
            <w:pPr>
              <w:spacing w:before="0" w:after="0" w:line="240" w:lineRule="auto"/>
              <w:jc w:val="left"/>
            </w:pPr>
            <w:r>
              <w:rPr>
                <w:rFonts w:ascii="Arial" w:hAnsi="Arial" w:eastAsia="Arial"/>
                <w:b w:val="0"/>
                <w:color w:val="000000"/>
                <w:sz w:val="16"/>
              </w:rPr>
              <w:t>Bhatt et al., N Engl J Med 2021</w:t>
            </w:r>
          </w:p>
        </w:tc>
      </w:tr>
      <w:tr w14:paraId="33AE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516679C">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2D3AF124">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1EC7BB62">
            <w:pPr>
              <w:spacing w:before="0" w:after="0" w:line="240" w:lineRule="auto"/>
              <w:jc w:val="center"/>
            </w:pPr>
            <w:r>
              <w:rPr>
                <w:rFonts w:ascii="Arial" w:hAnsi="Arial" w:eastAsia="Arial"/>
                <w:b w:val="0"/>
                <w:color w:val="000000"/>
                <w:sz w:val="16"/>
              </w:rPr>
              <w:t>0.83</w:t>
            </w:r>
          </w:p>
        </w:tc>
        <w:tc>
          <w:tcPr>
            <w:tcW w:w="1020" w:type="dxa"/>
            <w:vAlign w:val="center"/>
            <w:shd w:val="clear" w:color="auto" w:fill="FFFFFF"/>
          </w:tcPr>
          <w:p w14:paraId="1F982CF6">
            <w:pPr>
              <w:spacing w:before="0" w:after="0" w:line="240" w:lineRule="auto"/>
              <w:jc w:val="center"/>
            </w:pPr>
            <w:r>
              <w:rPr>
                <w:rFonts w:ascii="Arial" w:hAnsi="Arial" w:eastAsia="Arial"/>
                <w:b w:val="0"/>
                <w:color w:val="000000"/>
                <w:sz w:val="16"/>
              </w:rPr>
              <w:t>0.58</w:t>
            </w:r>
          </w:p>
        </w:tc>
        <w:tc>
          <w:tcPr>
            <w:tcW w:w="1020" w:type="dxa"/>
            <w:vAlign w:val="center"/>
            <w:shd w:val="clear" w:color="auto" w:fill="FFFFFF"/>
          </w:tcPr>
          <w:p w14:paraId="7DD4B504">
            <w:pPr>
              <w:spacing w:before="0" w:after="0" w:line="240" w:lineRule="auto"/>
              <w:jc w:val="center"/>
            </w:pPr>
            <w:r>
              <w:rPr>
                <w:rFonts w:ascii="Arial" w:hAnsi="Arial" w:eastAsia="Arial"/>
                <w:b w:val="0"/>
                <w:color w:val="000000"/>
                <w:sz w:val="16"/>
              </w:rPr>
              <w:t>1.19</w:t>
            </w:r>
          </w:p>
        </w:tc>
        <w:tc>
          <w:tcPr>
            <w:tcW w:w="4535" w:type="dxa"/>
            <w:vAlign w:val="center"/>
            <w:shd w:val="clear" w:color="auto" w:fill="FFFFFF"/>
          </w:tcPr>
          <w:p w14:paraId="7551950B">
            <w:pPr>
              <w:spacing w:before="0" w:after="0" w:line="240" w:lineRule="auto"/>
              <w:jc w:val="left"/>
            </w:pPr>
            <w:r>
              <w:rPr>
                <w:rFonts w:ascii="Arial" w:hAnsi="Arial" w:eastAsia="Arial"/>
                <w:b w:val="0"/>
                <w:color w:val="000000"/>
                <w:sz w:val="16"/>
              </w:rPr>
              <w:t>Mahaffey et al., Circulation 2018</w:t>
            </w:r>
          </w:p>
        </w:tc>
      </w:tr>
      <w:tr w14:paraId="2E5C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44D3F9A8">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0DE148C1">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6585BD32">
            <w:pPr>
              <w:spacing w:before="0" w:after="0" w:line="240" w:lineRule="auto"/>
              <w:jc w:val="center"/>
            </w:pPr>
            <w:r>
              <w:rPr>
                <w:rFonts w:ascii="Arial" w:hAnsi="Arial" w:eastAsia="Arial"/>
                <w:b w:val="0"/>
                <w:color w:val="000000"/>
                <w:sz w:val="16"/>
              </w:rPr>
              <w:t>0.74</w:t>
            </w:r>
          </w:p>
        </w:tc>
        <w:tc>
          <w:tcPr>
            <w:tcW w:w="1020" w:type="dxa"/>
            <w:vAlign w:val="center"/>
            <w:shd w:val="clear" w:color="auto" w:fill="FFFFFF"/>
          </w:tcPr>
          <w:p w14:paraId="7CBE77C0">
            <w:pPr>
              <w:spacing w:before="0" w:after="0" w:line="240" w:lineRule="auto"/>
              <w:jc w:val="center"/>
            </w:pPr>
            <w:r>
              <w:rPr>
                <w:rFonts w:ascii="Arial" w:hAnsi="Arial" w:eastAsia="Arial"/>
                <w:b w:val="0"/>
                <w:color w:val="000000"/>
                <w:sz w:val="16"/>
              </w:rPr>
              <w:t>0.54</w:t>
            </w:r>
          </w:p>
        </w:tc>
        <w:tc>
          <w:tcPr>
            <w:tcW w:w="1020" w:type="dxa"/>
            <w:vAlign w:val="center"/>
            <w:shd w:val="clear" w:color="auto" w:fill="FFFFFF"/>
          </w:tcPr>
          <w:p w14:paraId="2E22C6DD">
            <w:pPr>
              <w:spacing w:before="0" w:after="0" w:line="240" w:lineRule="auto"/>
              <w:jc w:val="center"/>
            </w:pPr>
            <w:r>
              <w:rPr>
                <w:rFonts w:ascii="Arial" w:hAnsi="Arial" w:eastAsia="Arial"/>
                <w:b w:val="0"/>
                <w:color w:val="000000"/>
                <w:sz w:val="16"/>
              </w:rPr>
              <w:t>1.03</w:t>
            </w:r>
          </w:p>
        </w:tc>
        <w:tc>
          <w:tcPr>
            <w:tcW w:w="4535" w:type="dxa"/>
            <w:vAlign w:val="center"/>
            <w:shd w:val="clear" w:color="auto" w:fill="FFFFFF"/>
          </w:tcPr>
          <w:p w14:paraId="16570753">
            <w:pPr>
              <w:spacing w:before="0" w:after="0" w:line="240" w:lineRule="auto"/>
              <w:jc w:val="left"/>
            </w:pPr>
            <w:r>
              <w:rPr>
                <w:rFonts w:ascii="Arial" w:hAnsi="Arial" w:eastAsia="Arial"/>
                <w:b w:val="0"/>
                <w:color w:val="000000"/>
                <w:sz w:val="16"/>
              </w:rPr>
              <w:t>Mahaffey et al., Circulation 2019</w:t>
            </w:r>
          </w:p>
        </w:tc>
      </w:tr>
      <w:tr w14:paraId="4E33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98382F6">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5B664E93">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045EC58A">
            <w:pPr>
              <w:spacing w:before="0" w:after="0" w:line="240" w:lineRule="auto"/>
              <w:jc w:val="center"/>
            </w:pPr>
            <w:r>
              <w:rPr>
                <w:rFonts w:ascii="Arial" w:hAnsi="Arial" w:eastAsia="Arial"/>
                <w:b w:val="0"/>
                <w:color w:val="000000"/>
                <w:sz w:val="16"/>
              </w:rPr>
              <w:t>0.67</w:t>
            </w:r>
          </w:p>
        </w:tc>
        <w:tc>
          <w:tcPr>
            <w:tcW w:w="1020" w:type="dxa"/>
            <w:vAlign w:val="center"/>
            <w:shd w:val="clear" w:color="auto" w:fill="FFFFFF"/>
          </w:tcPr>
          <w:p w14:paraId="5ADA54FE">
            <w:pPr>
              <w:spacing w:before="0" w:after="0" w:line="240" w:lineRule="auto"/>
              <w:jc w:val="center"/>
            </w:pPr>
            <w:r>
              <w:rPr>
                <w:rFonts w:ascii="Arial" w:hAnsi="Arial" w:eastAsia="Arial"/>
                <w:b w:val="0"/>
                <w:color w:val="000000"/>
                <w:sz w:val="16"/>
              </w:rPr>
              <w:t>0.40</w:t>
            </w:r>
          </w:p>
        </w:tc>
        <w:tc>
          <w:tcPr>
            <w:tcW w:w="1020" w:type="dxa"/>
            <w:vAlign w:val="center"/>
            <w:shd w:val="clear" w:color="auto" w:fill="FFFFFF"/>
          </w:tcPr>
          <w:p w14:paraId="5AEAD36F">
            <w:pPr>
              <w:spacing w:before="0" w:after="0" w:line="240" w:lineRule="auto"/>
              <w:jc w:val="center"/>
            </w:pPr>
            <w:r>
              <w:rPr>
                <w:rFonts w:ascii="Arial" w:hAnsi="Arial" w:eastAsia="Arial"/>
                <w:b w:val="0"/>
                <w:color w:val="000000"/>
                <w:sz w:val="16"/>
              </w:rPr>
              <w:t>1.13</w:t>
            </w:r>
          </w:p>
        </w:tc>
        <w:tc>
          <w:tcPr>
            <w:tcW w:w="4535" w:type="dxa"/>
            <w:vAlign w:val="center"/>
            <w:shd w:val="clear" w:color="auto" w:fill="FFFFFF"/>
          </w:tcPr>
          <w:p w14:paraId="456D2ECA">
            <w:pPr>
              <w:spacing w:before="0" w:after="0" w:line="240" w:lineRule="auto"/>
              <w:jc w:val="left"/>
            </w:pPr>
            <w:r>
              <w:rPr>
                <w:rFonts w:ascii="Arial" w:hAnsi="Arial" w:eastAsia="Arial"/>
                <w:b w:val="0"/>
                <w:color w:val="000000"/>
                <w:sz w:val="16"/>
              </w:rPr>
              <w:t>McMurray et al., Circulation 2021</w:t>
            </w:r>
          </w:p>
        </w:tc>
      </w:tr>
      <w:tr w14:paraId="588A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32EE7BF">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6DBD3A87">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3ABE5A81">
            <w:pPr>
              <w:spacing w:before="0" w:after="0" w:line="240" w:lineRule="auto"/>
              <w:jc w:val="center"/>
            </w:pPr>
            <w:r>
              <w:rPr>
                <w:rFonts w:ascii="Arial" w:hAnsi="Arial" w:eastAsia="Arial"/>
                <w:b w:val="0"/>
                <w:color w:val="000000"/>
                <w:sz w:val="16"/>
              </w:rPr>
              <w:t>0.84</w:t>
            </w:r>
          </w:p>
        </w:tc>
        <w:tc>
          <w:tcPr>
            <w:tcW w:w="1020" w:type="dxa"/>
            <w:vAlign w:val="center"/>
            <w:shd w:val="clear" w:color="auto" w:fill="FFFFFF"/>
          </w:tcPr>
          <w:p w14:paraId="6AE6DA8F">
            <w:pPr>
              <w:spacing w:before="0" w:after="0" w:line="240" w:lineRule="auto"/>
              <w:jc w:val="center"/>
            </w:pPr>
            <w:r>
              <w:rPr>
                <w:rFonts w:ascii="Arial" w:hAnsi="Arial" w:eastAsia="Arial"/>
                <w:b w:val="0"/>
                <w:color w:val="000000"/>
                <w:sz w:val="16"/>
              </w:rPr>
              <w:t>0.67</w:t>
            </w:r>
          </w:p>
        </w:tc>
        <w:tc>
          <w:tcPr>
            <w:tcW w:w="1020" w:type="dxa"/>
            <w:vAlign w:val="center"/>
            <w:shd w:val="clear" w:color="auto" w:fill="FFFFFF"/>
          </w:tcPr>
          <w:p w14:paraId="689814DF">
            <w:pPr>
              <w:spacing w:before="0" w:after="0" w:line="240" w:lineRule="auto"/>
              <w:jc w:val="center"/>
            </w:pPr>
            <w:r>
              <w:rPr>
                <w:rFonts w:ascii="Arial" w:hAnsi="Arial" w:eastAsia="Arial"/>
                <w:b w:val="0"/>
                <w:color w:val="000000"/>
                <w:sz w:val="16"/>
              </w:rPr>
              <w:t>1.04</w:t>
            </w:r>
          </w:p>
        </w:tc>
        <w:tc>
          <w:tcPr>
            <w:tcW w:w="4535" w:type="dxa"/>
            <w:vAlign w:val="center"/>
            <w:shd w:val="clear" w:color="auto" w:fill="FFFFFF"/>
          </w:tcPr>
          <w:p w14:paraId="5D8EEA7D">
            <w:pPr>
              <w:spacing w:before="0" w:after="0" w:line="240" w:lineRule="auto"/>
              <w:jc w:val="left"/>
            </w:pPr>
            <w:r>
              <w:rPr>
                <w:rFonts w:ascii="Arial" w:hAnsi="Arial" w:eastAsia="Arial"/>
                <w:b w:val="0"/>
                <w:color w:val="000000"/>
                <w:sz w:val="16"/>
              </w:rPr>
              <w:t>Wiviott et al., N Engl J Med 2019; published subgroup analysis</w:t>
            </w:r>
          </w:p>
        </w:tc>
      </w:tr>
    </w:tbl>
    <w:p w14:paraId="2AA4A627">
      <w:pPr>
        <w:spacing w:after="80"/>
      </w:pPr>
      <w:r>
        <w:rPr>
          <w:rFonts w:ascii="Arial" w:hAnsi="Arial" w:eastAsia="Arial"/>
          <w:i/>
          <w:color w:val="000000"/>
          <w:sz w:val="16"/>
        </w:rPr>
        <w:t>DELIVER uses the formally reported cardiovascular death or first hospitalization for heart failure estimate (HR 0.80, 95% CI 0.71-0.91), selected for compatibility with the prespecified composite heart failure endpoint.</w:t>
      </w:r>
    </w:p>
    <w:p w14:paraId="3AADE528">
      <w:r>
        <w:rPr>
          <w:color w:val="000000"/>
        </w:rPr>
        <w:br w:type="page"/>
      </w:r>
    </w:p>
    <w:p w14:paraId="0F4D0205">
      <w:pPr>
        <w:pStyle w:val="5"/>
        <w:spacing w:before="160" w:after="80"/>
      </w:pPr>
      <w:r>
        <w:rPr>
          <w:rFonts w:ascii="Arial" w:hAnsi="Arial" w:eastAsia="Arial"/>
          <w:color w:val="000000"/>
        </w:rPr>
        <w:t>Panel B. Major adverse cardiovascular events</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8"/>
        <w:gridCol w:w="1814"/>
        <w:gridCol w:w="850"/>
        <w:gridCol w:w="1020"/>
        <w:gridCol w:w="1020"/>
        <w:gridCol w:w="4535"/>
      </w:tblGrid>
      <w:tr w14:paraId="324D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68" w:type="dxa"/>
            <w:vAlign w:val="center"/>
            <w:shd w:val="clear" w:color="auto" w:fill="FFFFFF"/>
          </w:tcPr>
          <w:p w14:paraId="180F4EBA">
            <w:pPr>
              <w:spacing w:before="0" w:after="0" w:line="240" w:lineRule="auto"/>
              <w:jc w:val="center"/>
            </w:pPr>
            <w:r>
              <w:rPr>
                <w:rFonts w:ascii="Arial" w:hAnsi="Arial" w:eastAsia="Arial"/>
                <w:b/>
                <w:color w:val="000000"/>
                <w:sz w:val="16"/>
              </w:rPr>
              <w:t>Study</w:t>
            </w:r>
          </w:p>
        </w:tc>
        <w:tc>
          <w:tcPr>
            <w:tcW w:w="1814" w:type="dxa"/>
            <w:vAlign w:val="center"/>
            <w:shd w:val="clear" w:color="auto" w:fill="FFFFFF"/>
          </w:tcPr>
          <w:p w14:paraId="71CE336B">
            <w:pPr>
              <w:spacing w:before="0" w:after="0" w:line="240" w:lineRule="auto"/>
              <w:jc w:val="center"/>
            </w:pPr>
            <w:r>
              <w:rPr>
                <w:rFonts w:ascii="Arial" w:hAnsi="Arial" w:eastAsia="Arial"/>
                <w:b/>
                <w:color w:val="000000"/>
                <w:sz w:val="16"/>
              </w:rPr>
              <w:t>CKM stage group</w:t>
            </w:r>
          </w:p>
        </w:tc>
        <w:tc>
          <w:tcPr>
            <w:tcW w:w="850" w:type="dxa"/>
            <w:vAlign w:val="center"/>
            <w:shd w:val="clear" w:color="auto" w:fill="FFFFFF"/>
          </w:tcPr>
          <w:p w14:paraId="5623541B">
            <w:pPr>
              <w:spacing w:before="0" w:after="0" w:line="240" w:lineRule="auto"/>
              <w:jc w:val="center"/>
            </w:pPr>
            <w:r>
              <w:rPr>
                <w:rFonts w:ascii="Arial" w:hAnsi="Arial" w:eastAsia="Arial"/>
                <w:b/>
                <w:color w:val="000000"/>
                <w:sz w:val="16"/>
              </w:rPr>
              <w:t>HR</w:t>
            </w:r>
          </w:p>
        </w:tc>
        <w:tc>
          <w:tcPr>
            <w:tcW w:w="1020" w:type="dxa"/>
            <w:vAlign w:val="center"/>
            <w:shd w:val="clear" w:color="auto" w:fill="FFFFFF"/>
          </w:tcPr>
          <w:p w14:paraId="568E1DD4">
            <w:pPr>
              <w:spacing w:before="0" w:after="0" w:line="240" w:lineRule="auto"/>
              <w:jc w:val="center"/>
            </w:pPr>
            <w:r>
              <w:rPr>
                <w:rFonts w:ascii="Arial" w:hAnsi="Arial" w:eastAsia="Arial"/>
                <w:b/>
                <w:color w:val="000000"/>
                <w:sz w:val="16"/>
              </w:rPr>
              <w:t>Lower 95% CI</w:t>
            </w:r>
          </w:p>
        </w:tc>
        <w:tc>
          <w:tcPr>
            <w:tcW w:w="1020" w:type="dxa"/>
            <w:vAlign w:val="center"/>
            <w:shd w:val="clear" w:color="auto" w:fill="FFFFFF"/>
          </w:tcPr>
          <w:p w14:paraId="18ED4449">
            <w:pPr>
              <w:spacing w:before="0" w:after="0" w:line="240" w:lineRule="auto"/>
              <w:jc w:val="center"/>
            </w:pPr>
            <w:r>
              <w:rPr>
                <w:rFonts w:ascii="Arial" w:hAnsi="Arial" w:eastAsia="Arial"/>
                <w:b/>
                <w:color w:val="000000"/>
                <w:sz w:val="16"/>
              </w:rPr>
              <w:t>Upper 95% CI</w:t>
            </w:r>
          </w:p>
        </w:tc>
        <w:tc>
          <w:tcPr>
            <w:tcW w:w="4535" w:type="dxa"/>
            <w:vAlign w:val="center"/>
            <w:shd w:val="clear" w:color="auto" w:fill="FFFFFF"/>
          </w:tcPr>
          <w:p w14:paraId="55E4D501">
            <w:pPr>
              <w:spacing w:before="0" w:after="0" w:line="240" w:lineRule="auto"/>
              <w:jc w:val="center"/>
            </w:pPr>
            <w:r>
              <w:rPr>
                <w:rFonts w:ascii="Arial" w:hAnsi="Arial" w:eastAsia="Arial"/>
                <w:b/>
                <w:color w:val="000000"/>
                <w:sz w:val="16"/>
              </w:rPr>
              <w:t>Source publication</w:t>
            </w:r>
          </w:p>
        </w:tc>
      </w:tr>
      <w:tr w14:paraId="18C5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31E5B1F">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4C0AA39D">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285927EA">
            <w:pPr>
              <w:spacing w:before="0" w:after="0" w:line="240" w:lineRule="auto"/>
              <w:jc w:val="center"/>
            </w:pPr>
            <w:r>
              <w:rPr>
                <w:rFonts w:ascii="Arial" w:hAnsi="Arial" w:eastAsia="Arial"/>
                <w:b w:val="0"/>
                <w:color w:val="000000"/>
                <w:sz w:val="16"/>
              </w:rPr>
              <w:t>0.82</w:t>
            </w:r>
          </w:p>
        </w:tc>
        <w:tc>
          <w:tcPr>
            <w:tcW w:w="1020" w:type="dxa"/>
            <w:vAlign w:val="center"/>
            <w:shd w:val="clear" w:color="auto" w:fill="FFFFFF"/>
          </w:tcPr>
          <w:p w14:paraId="77E421BC">
            <w:pPr>
              <w:spacing w:before="0" w:after="0" w:line="240" w:lineRule="auto"/>
              <w:jc w:val="center"/>
            </w:pPr>
            <w:r>
              <w:rPr>
                <w:rFonts w:ascii="Arial" w:hAnsi="Arial" w:eastAsia="Arial"/>
                <w:b w:val="0"/>
                <w:color w:val="000000"/>
                <w:sz w:val="16"/>
              </w:rPr>
              <w:t>0.72</w:t>
            </w:r>
          </w:p>
        </w:tc>
        <w:tc>
          <w:tcPr>
            <w:tcW w:w="1020" w:type="dxa"/>
            <w:vAlign w:val="center"/>
            <w:shd w:val="clear" w:color="auto" w:fill="FFFFFF"/>
          </w:tcPr>
          <w:p w14:paraId="7CACA66B">
            <w:pPr>
              <w:spacing w:before="0" w:after="0" w:line="240" w:lineRule="auto"/>
              <w:jc w:val="center"/>
            </w:pPr>
            <w:r>
              <w:rPr>
                <w:rFonts w:ascii="Arial" w:hAnsi="Arial" w:eastAsia="Arial"/>
                <w:b w:val="0"/>
                <w:color w:val="000000"/>
                <w:sz w:val="16"/>
              </w:rPr>
              <w:t>0.95</w:t>
            </w:r>
          </w:p>
        </w:tc>
        <w:tc>
          <w:tcPr>
            <w:tcW w:w="4535" w:type="dxa"/>
            <w:vAlign w:val="center"/>
            <w:shd w:val="clear" w:color="auto" w:fill="FFFFFF"/>
          </w:tcPr>
          <w:p w14:paraId="1CEB4B35">
            <w:pPr>
              <w:spacing w:before="0" w:after="0" w:line="240" w:lineRule="auto"/>
              <w:jc w:val="left"/>
            </w:pPr>
            <w:r>
              <w:rPr>
                <w:rFonts w:ascii="Arial" w:hAnsi="Arial" w:eastAsia="Arial"/>
                <w:b w:val="0"/>
                <w:color w:val="000000"/>
                <w:sz w:val="16"/>
              </w:rPr>
              <w:t>Mahaffey et al., Circulation 2018</w:t>
            </w:r>
          </w:p>
        </w:tc>
      </w:tr>
      <w:tr w14:paraId="1B66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893C856">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12C369B3">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45106B55">
            <w:pPr>
              <w:spacing w:before="0" w:after="0" w:line="240" w:lineRule="auto"/>
              <w:jc w:val="center"/>
            </w:pPr>
            <w:r>
              <w:rPr>
                <w:rFonts w:ascii="Arial" w:hAnsi="Arial" w:eastAsia="Arial"/>
                <w:b w:val="0"/>
                <w:color w:val="000000"/>
                <w:sz w:val="16"/>
              </w:rPr>
              <w:t>0.85</w:t>
            </w:r>
          </w:p>
        </w:tc>
        <w:tc>
          <w:tcPr>
            <w:tcW w:w="1020" w:type="dxa"/>
            <w:vAlign w:val="center"/>
            <w:shd w:val="clear" w:color="auto" w:fill="FFFFFF"/>
          </w:tcPr>
          <w:p w14:paraId="0F794A71">
            <w:pPr>
              <w:spacing w:before="0" w:after="0" w:line="240" w:lineRule="auto"/>
              <w:jc w:val="center"/>
            </w:pPr>
            <w:r>
              <w:rPr>
                <w:rFonts w:ascii="Arial" w:hAnsi="Arial" w:eastAsia="Arial"/>
                <w:b w:val="0"/>
                <w:color w:val="000000"/>
                <w:sz w:val="16"/>
              </w:rPr>
              <w:t>0.69</w:t>
            </w:r>
          </w:p>
        </w:tc>
        <w:tc>
          <w:tcPr>
            <w:tcW w:w="1020" w:type="dxa"/>
            <w:vAlign w:val="center"/>
            <w:shd w:val="clear" w:color="auto" w:fill="FFFFFF"/>
          </w:tcPr>
          <w:p w14:paraId="4675EE10">
            <w:pPr>
              <w:spacing w:before="0" w:after="0" w:line="240" w:lineRule="auto"/>
              <w:jc w:val="center"/>
            </w:pPr>
            <w:r>
              <w:rPr>
                <w:rFonts w:ascii="Arial" w:hAnsi="Arial" w:eastAsia="Arial"/>
                <w:b w:val="0"/>
                <w:color w:val="000000"/>
                <w:sz w:val="16"/>
              </w:rPr>
              <w:t>1.06</w:t>
            </w:r>
          </w:p>
        </w:tc>
        <w:tc>
          <w:tcPr>
            <w:tcW w:w="4535" w:type="dxa"/>
            <w:vAlign w:val="center"/>
            <w:shd w:val="clear" w:color="auto" w:fill="FFFFFF"/>
          </w:tcPr>
          <w:p w14:paraId="424F926F">
            <w:pPr>
              <w:spacing w:before="0" w:after="0" w:line="240" w:lineRule="auto"/>
              <w:jc w:val="left"/>
            </w:pPr>
            <w:r>
              <w:rPr>
                <w:rFonts w:ascii="Arial" w:hAnsi="Arial" w:eastAsia="Arial"/>
                <w:b w:val="0"/>
                <w:color w:val="000000"/>
                <w:sz w:val="16"/>
              </w:rPr>
              <w:t>Mahaffey et al., Circulation 2019</w:t>
            </w:r>
          </w:p>
        </w:tc>
      </w:tr>
      <w:tr w14:paraId="1F9C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444D07E8">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177C32EC">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275049E1">
            <w:pPr>
              <w:spacing w:before="0" w:after="0" w:line="240" w:lineRule="auto"/>
              <w:jc w:val="center"/>
            </w:pPr>
            <w:r>
              <w:rPr>
                <w:rFonts w:ascii="Arial" w:hAnsi="Arial" w:eastAsia="Arial"/>
                <w:b w:val="0"/>
                <w:color w:val="000000"/>
                <w:sz w:val="16"/>
              </w:rPr>
              <w:t>0.94</w:t>
            </w:r>
          </w:p>
        </w:tc>
        <w:tc>
          <w:tcPr>
            <w:tcW w:w="1020" w:type="dxa"/>
            <w:vAlign w:val="center"/>
            <w:shd w:val="clear" w:color="auto" w:fill="FFFFFF"/>
          </w:tcPr>
          <w:p w14:paraId="36F7B5AE">
            <w:pPr>
              <w:spacing w:before="0" w:after="0" w:line="240" w:lineRule="auto"/>
              <w:jc w:val="center"/>
            </w:pPr>
            <w:r>
              <w:rPr>
                <w:rFonts w:ascii="Arial" w:hAnsi="Arial" w:eastAsia="Arial"/>
                <w:b w:val="0"/>
                <w:color w:val="000000"/>
                <w:sz w:val="16"/>
              </w:rPr>
              <w:t>0.71</w:t>
            </w:r>
          </w:p>
        </w:tc>
        <w:tc>
          <w:tcPr>
            <w:tcW w:w="1020" w:type="dxa"/>
            <w:vAlign w:val="center"/>
            <w:shd w:val="clear" w:color="auto" w:fill="FFFFFF"/>
          </w:tcPr>
          <w:p w14:paraId="0B0D6376">
            <w:pPr>
              <w:spacing w:before="0" w:after="0" w:line="240" w:lineRule="auto"/>
              <w:jc w:val="center"/>
            </w:pPr>
            <w:r>
              <w:rPr>
                <w:rFonts w:ascii="Arial" w:hAnsi="Arial" w:eastAsia="Arial"/>
                <w:b w:val="0"/>
                <w:color w:val="000000"/>
                <w:sz w:val="16"/>
              </w:rPr>
              <w:t>1.26</w:t>
            </w:r>
          </w:p>
        </w:tc>
        <w:tc>
          <w:tcPr>
            <w:tcW w:w="4535" w:type="dxa"/>
            <w:vAlign w:val="center"/>
            <w:shd w:val="clear" w:color="auto" w:fill="FFFFFF"/>
          </w:tcPr>
          <w:p w14:paraId="1535AB1C">
            <w:pPr>
              <w:spacing w:before="0" w:after="0" w:line="240" w:lineRule="auto"/>
              <w:jc w:val="left"/>
            </w:pPr>
            <w:r>
              <w:rPr>
                <w:rFonts w:ascii="Arial" w:hAnsi="Arial" w:eastAsia="Arial"/>
                <w:b w:val="0"/>
                <w:color w:val="000000"/>
                <w:sz w:val="16"/>
              </w:rPr>
              <w:t>McMurray et al., Circulation 2021</w:t>
            </w:r>
          </w:p>
        </w:tc>
      </w:tr>
      <w:tr w14:paraId="5642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4DB9BF47">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261007B5">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1961A34D">
            <w:pPr>
              <w:spacing w:before="0" w:after="0" w:line="240" w:lineRule="auto"/>
              <w:jc w:val="center"/>
            </w:pPr>
            <w:r>
              <w:rPr>
                <w:rFonts w:ascii="Arial" w:hAnsi="Arial" w:eastAsia="Arial"/>
                <w:b w:val="0"/>
                <w:color w:val="000000"/>
                <w:sz w:val="16"/>
              </w:rPr>
              <w:t>0.90</w:t>
            </w:r>
          </w:p>
        </w:tc>
        <w:tc>
          <w:tcPr>
            <w:tcW w:w="1020" w:type="dxa"/>
            <w:vAlign w:val="center"/>
            <w:shd w:val="clear" w:color="auto" w:fill="FFFFFF"/>
          </w:tcPr>
          <w:p w14:paraId="5BA1E99B">
            <w:pPr>
              <w:spacing w:before="0" w:after="0" w:line="240" w:lineRule="auto"/>
              <w:jc w:val="center"/>
            </w:pPr>
            <w:r>
              <w:rPr>
                <w:rFonts w:ascii="Arial" w:hAnsi="Arial" w:eastAsia="Arial"/>
                <w:b w:val="0"/>
                <w:color w:val="000000"/>
                <w:sz w:val="16"/>
              </w:rPr>
              <w:t>0.79</w:t>
            </w:r>
          </w:p>
        </w:tc>
        <w:tc>
          <w:tcPr>
            <w:tcW w:w="1020" w:type="dxa"/>
            <w:vAlign w:val="center"/>
            <w:shd w:val="clear" w:color="auto" w:fill="FFFFFF"/>
          </w:tcPr>
          <w:p w14:paraId="1733E35C">
            <w:pPr>
              <w:spacing w:before="0" w:after="0" w:line="240" w:lineRule="auto"/>
              <w:jc w:val="center"/>
            </w:pPr>
            <w:r>
              <w:rPr>
                <w:rFonts w:ascii="Arial" w:hAnsi="Arial" w:eastAsia="Arial"/>
                <w:b w:val="0"/>
                <w:color w:val="000000"/>
                <w:sz w:val="16"/>
              </w:rPr>
              <w:t>1.02</w:t>
            </w:r>
          </w:p>
        </w:tc>
        <w:tc>
          <w:tcPr>
            <w:tcW w:w="4535" w:type="dxa"/>
            <w:vAlign w:val="center"/>
            <w:shd w:val="clear" w:color="auto" w:fill="FFFFFF"/>
          </w:tcPr>
          <w:p w14:paraId="4253312F">
            <w:pPr>
              <w:spacing w:before="0" w:after="0" w:line="240" w:lineRule="auto"/>
              <w:jc w:val="left"/>
            </w:pPr>
            <w:r>
              <w:rPr>
                <w:rFonts w:ascii="Arial" w:hAnsi="Arial" w:eastAsia="Arial"/>
                <w:b w:val="0"/>
                <w:color w:val="000000"/>
                <w:sz w:val="16"/>
              </w:rPr>
              <w:t>Wiviott et al., N Engl J Med 2019; published subgroup analysis</w:t>
            </w:r>
          </w:p>
        </w:tc>
      </w:tr>
      <w:tr w14:paraId="26F8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4865705C">
            <w:pPr>
              <w:spacing w:before="0" w:after="0" w:line="240" w:lineRule="auto"/>
              <w:jc w:val="left"/>
            </w:pPr>
            <w:r>
              <w:rPr>
                <w:rFonts w:ascii="Arial" w:hAnsi="Arial" w:eastAsia="Arial"/>
                <w:b w:val="0"/>
                <w:color w:val="000000"/>
                <w:sz w:val="16"/>
              </w:rPr>
              <w:t>EMPA-REG OUTCOME</w:t>
            </w:r>
          </w:p>
        </w:tc>
        <w:tc>
          <w:tcPr>
            <w:tcW w:w="1814" w:type="dxa"/>
            <w:vAlign w:val="center"/>
            <w:shd w:val="clear" w:color="auto" w:fill="FFFFFF"/>
          </w:tcPr>
          <w:p w14:paraId="139BDE49">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7D5C317D">
            <w:pPr>
              <w:spacing w:before="0" w:after="0" w:line="240" w:lineRule="auto"/>
              <w:jc w:val="center"/>
            </w:pPr>
            <w:r>
              <w:rPr>
                <w:rFonts w:ascii="Arial" w:hAnsi="Arial" w:eastAsia="Arial"/>
                <w:b w:val="0"/>
                <w:color w:val="000000"/>
                <w:sz w:val="16"/>
              </w:rPr>
              <w:t>0.86</w:t>
            </w:r>
          </w:p>
        </w:tc>
        <w:tc>
          <w:tcPr>
            <w:tcW w:w="1020" w:type="dxa"/>
            <w:vAlign w:val="center"/>
            <w:shd w:val="clear" w:color="auto" w:fill="FFFFFF"/>
          </w:tcPr>
          <w:p w14:paraId="270B8B91">
            <w:pPr>
              <w:spacing w:before="0" w:after="0" w:line="240" w:lineRule="auto"/>
              <w:jc w:val="center"/>
            </w:pPr>
            <w:r>
              <w:rPr>
                <w:rFonts w:ascii="Arial" w:hAnsi="Arial" w:eastAsia="Arial"/>
                <w:b w:val="0"/>
                <w:color w:val="000000"/>
                <w:sz w:val="16"/>
              </w:rPr>
              <w:t>0.74</w:t>
            </w:r>
          </w:p>
        </w:tc>
        <w:tc>
          <w:tcPr>
            <w:tcW w:w="1020" w:type="dxa"/>
            <w:vAlign w:val="center"/>
            <w:shd w:val="clear" w:color="auto" w:fill="FFFFFF"/>
          </w:tcPr>
          <w:p w14:paraId="64BBAC63">
            <w:pPr>
              <w:spacing w:before="0" w:after="0" w:line="240" w:lineRule="auto"/>
              <w:jc w:val="center"/>
            </w:pPr>
            <w:r>
              <w:rPr>
                <w:rFonts w:ascii="Arial" w:hAnsi="Arial" w:eastAsia="Arial"/>
                <w:b w:val="0"/>
                <w:color w:val="000000"/>
                <w:sz w:val="16"/>
              </w:rPr>
              <w:t>0.99</w:t>
            </w:r>
          </w:p>
        </w:tc>
        <w:tc>
          <w:tcPr>
            <w:tcW w:w="4535" w:type="dxa"/>
            <w:vAlign w:val="center"/>
            <w:shd w:val="clear" w:color="auto" w:fill="FFFFFF"/>
          </w:tcPr>
          <w:p w14:paraId="08C43B40">
            <w:pPr>
              <w:spacing w:before="0" w:after="0" w:line="240" w:lineRule="auto"/>
              <w:jc w:val="left"/>
            </w:pPr>
            <w:r>
              <w:rPr>
                <w:rFonts w:ascii="Arial" w:hAnsi="Arial" w:eastAsia="Arial"/>
                <w:b w:val="0"/>
                <w:color w:val="000000"/>
                <w:sz w:val="16"/>
              </w:rPr>
              <w:t>Zinman et al., N Engl J Med 2015</w:t>
            </w:r>
          </w:p>
        </w:tc>
      </w:tr>
      <w:tr w14:paraId="045C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D7903E3">
            <w:pPr>
              <w:spacing w:before="0" w:after="0" w:line="240" w:lineRule="auto"/>
              <w:jc w:val="left"/>
            </w:pPr>
            <w:r>
              <w:rPr>
                <w:rFonts w:ascii="Arial" w:hAnsi="Arial" w:eastAsia="Arial"/>
                <w:b w:val="0"/>
                <w:color w:val="000000"/>
                <w:sz w:val="16"/>
              </w:rPr>
              <w:t>VERTIS CV</w:t>
            </w:r>
          </w:p>
        </w:tc>
        <w:tc>
          <w:tcPr>
            <w:tcW w:w="1814" w:type="dxa"/>
            <w:vAlign w:val="center"/>
            <w:shd w:val="clear" w:color="auto" w:fill="FFFFFF"/>
          </w:tcPr>
          <w:p w14:paraId="0B17D1A5">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02FB0D1F">
            <w:pPr>
              <w:spacing w:before="0" w:after="0" w:line="240" w:lineRule="auto"/>
              <w:jc w:val="center"/>
            </w:pPr>
            <w:r>
              <w:rPr>
                <w:rFonts w:ascii="Arial" w:hAnsi="Arial" w:eastAsia="Arial"/>
                <w:b w:val="0"/>
                <w:color w:val="000000"/>
                <w:sz w:val="16"/>
              </w:rPr>
              <w:t>0.97</w:t>
            </w:r>
          </w:p>
        </w:tc>
        <w:tc>
          <w:tcPr>
            <w:tcW w:w="1020" w:type="dxa"/>
            <w:vAlign w:val="center"/>
            <w:shd w:val="clear" w:color="auto" w:fill="FFFFFF"/>
          </w:tcPr>
          <w:p w14:paraId="67AAFBBC">
            <w:pPr>
              <w:spacing w:before="0" w:after="0" w:line="240" w:lineRule="auto"/>
              <w:jc w:val="center"/>
            </w:pPr>
            <w:r>
              <w:rPr>
                <w:rFonts w:ascii="Arial" w:hAnsi="Arial" w:eastAsia="Arial"/>
                <w:b w:val="0"/>
                <w:color w:val="000000"/>
                <w:sz w:val="16"/>
              </w:rPr>
              <w:t>0.85</w:t>
            </w:r>
          </w:p>
        </w:tc>
        <w:tc>
          <w:tcPr>
            <w:tcW w:w="1020" w:type="dxa"/>
            <w:vAlign w:val="center"/>
            <w:shd w:val="clear" w:color="auto" w:fill="FFFFFF"/>
          </w:tcPr>
          <w:p w14:paraId="3245D0A4">
            <w:pPr>
              <w:spacing w:before="0" w:after="0" w:line="240" w:lineRule="auto"/>
              <w:jc w:val="center"/>
            </w:pPr>
            <w:r>
              <w:rPr>
                <w:rFonts w:ascii="Arial" w:hAnsi="Arial" w:eastAsia="Arial"/>
                <w:b w:val="0"/>
                <w:color w:val="000000"/>
                <w:sz w:val="16"/>
              </w:rPr>
              <w:t>1.11</w:t>
            </w:r>
          </w:p>
        </w:tc>
        <w:tc>
          <w:tcPr>
            <w:tcW w:w="4535" w:type="dxa"/>
            <w:vAlign w:val="center"/>
            <w:shd w:val="clear" w:color="auto" w:fill="FFFFFF"/>
          </w:tcPr>
          <w:p w14:paraId="3094AEFC">
            <w:pPr>
              <w:spacing w:before="0" w:after="0" w:line="240" w:lineRule="auto"/>
              <w:jc w:val="left"/>
            </w:pPr>
            <w:r>
              <w:rPr>
                <w:rFonts w:ascii="Arial" w:hAnsi="Arial" w:eastAsia="Arial"/>
                <w:b w:val="0"/>
                <w:color w:val="000000"/>
                <w:sz w:val="16"/>
              </w:rPr>
              <w:t>Cannon et al., N Engl J Med 2020</w:t>
            </w:r>
          </w:p>
        </w:tc>
      </w:tr>
      <w:tr w14:paraId="291F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9AB0820">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3EE69261">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362C6319">
            <w:pPr>
              <w:spacing w:before="0" w:after="0" w:line="240" w:lineRule="auto"/>
              <w:jc w:val="center"/>
            </w:pPr>
            <w:r>
              <w:rPr>
                <w:rFonts w:ascii="Arial" w:hAnsi="Arial" w:eastAsia="Arial"/>
                <w:b w:val="0"/>
                <w:color w:val="000000"/>
                <w:sz w:val="16"/>
              </w:rPr>
              <w:t>0.98</w:t>
            </w:r>
          </w:p>
        </w:tc>
        <w:tc>
          <w:tcPr>
            <w:tcW w:w="1020" w:type="dxa"/>
            <w:vAlign w:val="center"/>
            <w:shd w:val="clear" w:color="auto" w:fill="FFFFFF"/>
          </w:tcPr>
          <w:p w14:paraId="3BD033BE">
            <w:pPr>
              <w:spacing w:before="0" w:after="0" w:line="240" w:lineRule="auto"/>
              <w:jc w:val="center"/>
            </w:pPr>
            <w:r>
              <w:rPr>
                <w:rFonts w:ascii="Arial" w:hAnsi="Arial" w:eastAsia="Arial"/>
                <w:b w:val="0"/>
                <w:color w:val="000000"/>
                <w:sz w:val="16"/>
              </w:rPr>
              <w:t>0.74</w:t>
            </w:r>
          </w:p>
        </w:tc>
        <w:tc>
          <w:tcPr>
            <w:tcW w:w="1020" w:type="dxa"/>
            <w:vAlign w:val="center"/>
            <w:shd w:val="clear" w:color="auto" w:fill="FFFFFF"/>
          </w:tcPr>
          <w:p w14:paraId="3C0DAEA7">
            <w:pPr>
              <w:spacing w:before="0" w:after="0" w:line="240" w:lineRule="auto"/>
              <w:jc w:val="center"/>
            </w:pPr>
            <w:r>
              <w:rPr>
                <w:rFonts w:ascii="Arial" w:hAnsi="Arial" w:eastAsia="Arial"/>
                <w:b w:val="0"/>
                <w:color w:val="000000"/>
                <w:sz w:val="16"/>
              </w:rPr>
              <w:t>1.30</w:t>
            </w:r>
          </w:p>
        </w:tc>
        <w:tc>
          <w:tcPr>
            <w:tcW w:w="4535" w:type="dxa"/>
            <w:vAlign w:val="center"/>
            <w:shd w:val="clear" w:color="auto" w:fill="FFFFFF"/>
          </w:tcPr>
          <w:p w14:paraId="2A4002C9">
            <w:pPr>
              <w:spacing w:before="0" w:after="0" w:line="240" w:lineRule="auto"/>
              <w:jc w:val="left"/>
            </w:pPr>
            <w:r>
              <w:rPr>
                <w:rFonts w:ascii="Arial" w:hAnsi="Arial" w:eastAsia="Arial"/>
                <w:b w:val="0"/>
                <w:color w:val="000000"/>
                <w:sz w:val="16"/>
              </w:rPr>
              <w:t>Mahaffey et al., Circulation 2018</w:t>
            </w:r>
          </w:p>
        </w:tc>
      </w:tr>
      <w:tr w14:paraId="4487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2A915375">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7CBCAAC0">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47177174">
            <w:pPr>
              <w:spacing w:before="0" w:after="0" w:line="240" w:lineRule="auto"/>
              <w:jc w:val="center"/>
            </w:pPr>
            <w:r>
              <w:rPr>
                <w:rFonts w:ascii="Arial" w:hAnsi="Arial" w:eastAsia="Arial"/>
                <w:b w:val="0"/>
                <w:color w:val="000000"/>
                <w:sz w:val="16"/>
              </w:rPr>
              <w:t>0.68</w:t>
            </w:r>
          </w:p>
        </w:tc>
        <w:tc>
          <w:tcPr>
            <w:tcW w:w="1020" w:type="dxa"/>
            <w:vAlign w:val="center"/>
            <w:shd w:val="clear" w:color="auto" w:fill="FFFFFF"/>
          </w:tcPr>
          <w:p w14:paraId="229B72F6">
            <w:pPr>
              <w:spacing w:before="0" w:after="0" w:line="240" w:lineRule="auto"/>
              <w:jc w:val="center"/>
            </w:pPr>
            <w:r>
              <w:rPr>
                <w:rFonts w:ascii="Arial" w:hAnsi="Arial" w:eastAsia="Arial"/>
                <w:b w:val="0"/>
                <w:color w:val="000000"/>
                <w:sz w:val="16"/>
              </w:rPr>
              <w:t>0.49</w:t>
            </w:r>
          </w:p>
        </w:tc>
        <w:tc>
          <w:tcPr>
            <w:tcW w:w="1020" w:type="dxa"/>
            <w:vAlign w:val="center"/>
            <w:shd w:val="clear" w:color="auto" w:fill="FFFFFF"/>
          </w:tcPr>
          <w:p w14:paraId="09252E36">
            <w:pPr>
              <w:spacing w:before="0" w:after="0" w:line="240" w:lineRule="auto"/>
              <w:jc w:val="center"/>
            </w:pPr>
            <w:r>
              <w:rPr>
                <w:rFonts w:ascii="Arial" w:hAnsi="Arial" w:eastAsia="Arial"/>
                <w:b w:val="0"/>
                <w:color w:val="000000"/>
                <w:sz w:val="16"/>
              </w:rPr>
              <w:t>0.94</w:t>
            </w:r>
          </w:p>
        </w:tc>
        <w:tc>
          <w:tcPr>
            <w:tcW w:w="4535" w:type="dxa"/>
            <w:vAlign w:val="center"/>
            <w:shd w:val="clear" w:color="auto" w:fill="FFFFFF"/>
          </w:tcPr>
          <w:p w14:paraId="6AA22079">
            <w:pPr>
              <w:spacing w:before="0" w:after="0" w:line="240" w:lineRule="auto"/>
              <w:jc w:val="left"/>
            </w:pPr>
            <w:r>
              <w:rPr>
                <w:rFonts w:ascii="Arial" w:hAnsi="Arial" w:eastAsia="Arial"/>
                <w:b w:val="0"/>
                <w:color w:val="000000"/>
                <w:sz w:val="16"/>
              </w:rPr>
              <w:t>Mahaffey et al., Circulation 2019</w:t>
            </w:r>
          </w:p>
        </w:tc>
      </w:tr>
      <w:tr w14:paraId="29B5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2C56620E">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0BDA913D">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0720CF29">
            <w:pPr>
              <w:spacing w:before="0" w:after="0" w:line="240" w:lineRule="auto"/>
              <w:jc w:val="center"/>
            </w:pPr>
            <w:r>
              <w:rPr>
                <w:rFonts w:ascii="Arial" w:hAnsi="Arial" w:eastAsia="Arial"/>
                <w:b w:val="0"/>
                <w:color w:val="000000"/>
                <w:sz w:val="16"/>
              </w:rPr>
              <w:t>0.83</w:t>
            </w:r>
          </w:p>
        </w:tc>
        <w:tc>
          <w:tcPr>
            <w:tcW w:w="1020" w:type="dxa"/>
            <w:vAlign w:val="center"/>
            <w:shd w:val="clear" w:color="auto" w:fill="FFFFFF"/>
          </w:tcPr>
          <w:p w14:paraId="5E205736">
            <w:pPr>
              <w:spacing w:before="0" w:after="0" w:line="240" w:lineRule="auto"/>
              <w:jc w:val="center"/>
            </w:pPr>
            <w:r>
              <w:rPr>
                <w:rFonts w:ascii="Arial" w:hAnsi="Arial" w:eastAsia="Arial"/>
                <w:b w:val="0"/>
                <w:color w:val="000000"/>
                <w:sz w:val="16"/>
              </w:rPr>
              <w:t>0.55</w:t>
            </w:r>
          </w:p>
        </w:tc>
        <w:tc>
          <w:tcPr>
            <w:tcW w:w="1020" w:type="dxa"/>
            <w:vAlign w:val="center"/>
            <w:shd w:val="clear" w:color="auto" w:fill="FFFFFF"/>
          </w:tcPr>
          <w:p w14:paraId="6D94D4FF">
            <w:pPr>
              <w:spacing w:before="0" w:after="0" w:line="240" w:lineRule="auto"/>
              <w:jc w:val="center"/>
            </w:pPr>
            <w:r>
              <w:rPr>
                <w:rFonts w:ascii="Arial" w:hAnsi="Arial" w:eastAsia="Arial"/>
                <w:b w:val="0"/>
                <w:color w:val="000000"/>
                <w:sz w:val="16"/>
              </w:rPr>
              <w:t>1.25</w:t>
            </w:r>
          </w:p>
        </w:tc>
        <w:tc>
          <w:tcPr>
            <w:tcW w:w="4535" w:type="dxa"/>
            <w:vAlign w:val="center"/>
            <w:shd w:val="clear" w:color="auto" w:fill="FFFFFF"/>
          </w:tcPr>
          <w:p w14:paraId="00143C4B">
            <w:pPr>
              <w:spacing w:before="0" w:after="0" w:line="240" w:lineRule="auto"/>
              <w:jc w:val="left"/>
            </w:pPr>
            <w:r>
              <w:rPr>
                <w:rFonts w:ascii="Arial" w:hAnsi="Arial" w:eastAsia="Arial"/>
                <w:b w:val="0"/>
                <w:color w:val="000000"/>
                <w:sz w:val="16"/>
              </w:rPr>
              <w:t>McMurray et al., Circulation 2021</w:t>
            </w:r>
          </w:p>
        </w:tc>
      </w:tr>
      <w:tr w14:paraId="4097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756D33C">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37B5DE7C">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7A3A01CA">
            <w:pPr>
              <w:spacing w:before="0" w:after="0" w:line="240" w:lineRule="auto"/>
              <w:jc w:val="center"/>
            </w:pPr>
            <w:r>
              <w:rPr>
                <w:rFonts w:ascii="Arial" w:hAnsi="Arial" w:eastAsia="Arial"/>
                <w:b w:val="0"/>
                <w:color w:val="000000"/>
                <w:sz w:val="16"/>
              </w:rPr>
              <w:t>1.01</w:t>
            </w:r>
          </w:p>
        </w:tc>
        <w:tc>
          <w:tcPr>
            <w:tcW w:w="1020" w:type="dxa"/>
            <w:vAlign w:val="center"/>
            <w:shd w:val="clear" w:color="auto" w:fill="FFFFFF"/>
          </w:tcPr>
          <w:p w14:paraId="53114BD9">
            <w:pPr>
              <w:spacing w:before="0" w:after="0" w:line="240" w:lineRule="auto"/>
              <w:jc w:val="center"/>
            </w:pPr>
            <w:r>
              <w:rPr>
                <w:rFonts w:ascii="Arial" w:hAnsi="Arial" w:eastAsia="Arial"/>
                <w:b w:val="0"/>
                <w:color w:val="000000"/>
                <w:sz w:val="16"/>
              </w:rPr>
              <w:t>0.86</w:t>
            </w:r>
          </w:p>
        </w:tc>
        <w:tc>
          <w:tcPr>
            <w:tcW w:w="1020" w:type="dxa"/>
            <w:vAlign w:val="center"/>
            <w:shd w:val="clear" w:color="auto" w:fill="FFFFFF"/>
          </w:tcPr>
          <w:p w14:paraId="10C0698D">
            <w:pPr>
              <w:spacing w:before="0" w:after="0" w:line="240" w:lineRule="auto"/>
              <w:jc w:val="center"/>
            </w:pPr>
            <w:r>
              <w:rPr>
                <w:rFonts w:ascii="Arial" w:hAnsi="Arial" w:eastAsia="Arial"/>
                <w:b w:val="0"/>
                <w:color w:val="000000"/>
                <w:sz w:val="16"/>
              </w:rPr>
              <w:t>1.20</w:t>
            </w:r>
          </w:p>
        </w:tc>
        <w:tc>
          <w:tcPr>
            <w:tcW w:w="4535" w:type="dxa"/>
            <w:vAlign w:val="center"/>
            <w:shd w:val="clear" w:color="auto" w:fill="FFFFFF"/>
          </w:tcPr>
          <w:p w14:paraId="154C3BDE">
            <w:pPr>
              <w:spacing w:before="0" w:after="0" w:line="240" w:lineRule="auto"/>
              <w:jc w:val="left"/>
            </w:pPr>
            <w:r>
              <w:rPr>
                <w:rFonts w:ascii="Arial" w:hAnsi="Arial" w:eastAsia="Arial"/>
                <w:b w:val="0"/>
                <w:color w:val="000000"/>
                <w:sz w:val="16"/>
              </w:rPr>
              <w:t>Wiviott et al., N Engl J Med 2019; published subgroup analysis</w:t>
            </w:r>
          </w:p>
        </w:tc>
      </w:tr>
    </w:tbl>
    <w:p w14:paraId="57AB127C">
      <w:r>
        <w:rPr>
          <w:color w:val="000000"/>
        </w:rPr>
        <w:br w:type="page"/>
      </w:r>
    </w:p>
    <w:p w14:paraId="51034C86">
      <w:pPr>
        <w:pStyle w:val="5"/>
        <w:spacing w:before="160" w:after="80"/>
      </w:pPr>
      <w:r>
        <w:rPr>
          <w:rFonts w:ascii="Arial" w:hAnsi="Arial" w:eastAsia="Arial"/>
          <w:color w:val="000000"/>
        </w:rPr>
        <w:t>Panel C. Hospitalization for heart failure</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8"/>
        <w:gridCol w:w="1814"/>
        <w:gridCol w:w="850"/>
        <w:gridCol w:w="1020"/>
        <w:gridCol w:w="1020"/>
        <w:gridCol w:w="4535"/>
      </w:tblGrid>
      <w:tr w14:paraId="3D8F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68" w:type="dxa"/>
            <w:vAlign w:val="center"/>
            <w:shd w:val="clear" w:color="auto" w:fill="FFFFFF"/>
          </w:tcPr>
          <w:p w14:paraId="4440E308">
            <w:pPr>
              <w:spacing w:before="0" w:after="0" w:line="240" w:lineRule="auto"/>
              <w:jc w:val="center"/>
            </w:pPr>
            <w:r>
              <w:rPr>
                <w:rFonts w:ascii="Arial" w:hAnsi="Arial" w:eastAsia="Arial"/>
                <w:b/>
                <w:color w:val="000000"/>
                <w:sz w:val="16"/>
              </w:rPr>
              <w:t>Study</w:t>
            </w:r>
          </w:p>
        </w:tc>
        <w:tc>
          <w:tcPr>
            <w:tcW w:w="1814" w:type="dxa"/>
            <w:vAlign w:val="center"/>
            <w:shd w:val="clear" w:color="auto" w:fill="FFFFFF"/>
          </w:tcPr>
          <w:p w14:paraId="504F400A">
            <w:pPr>
              <w:spacing w:before="0" w:after="0" w:line="240" w:lineRule="auto"/>
              <w:jc w:val="center"/>
            </w:pPr>
            <w:r>
              <w:rPr>
                <w:rFonts w:ascii="Arial" w:hAnsi="Arial" w:eastAsia="Arial"/>
                <w:b/>
                <w:color w:val="000000"/>
                <w:sz w:val="16"/>
              </w:rPr>
              <w:t>CKM stage group</w:t>
            </w:r>
          </w:p>
        </w:tc>
        <w:tc>
          <w:tcPr>
            <w:tcW w:w="850" w:type="dxa"/>
            <w:vAlign w:val="center"/>
            <w:shd w:val="clear" w:color="auto" w:fill="FFFFFF"/>
          </w:tcPr>
          <w:p w14:paraId="17B38ACF">
            <w:pPr>
              <w:spacing w:before="0" w:after="0" w:line="240" w:lineRule="auto"/>
              <w:jc w:val="center"/>
            </w:pPr>
            <w:r>
              <w:rPr>
                <w:rFonts w:ascii="Arial" w:hAnsi="Arial" w:eastAsia="Arial"/>
                <w:b/>
                <w:color w:val="000000"/>
                <w:sz w:val="16"/>
              </w:rPr>
              <w:t>HR</w:t>
            </w:r>
          </w:p>
        </w:tc>
        <w:tc>
          <w:tcPr>
            <w:tcW w:w="1020" w:type="dxa"/>
            <w:vAlign w:val="center"/>
            <w:shd w:val="clear" w:color="auto" w:fill="FFFFFF"/>
          </w:tcPr>
          <w:p w14:paraId="2D293A65">
            <w:pPr>
              <w:spacing w:before="0" w:after="0" w:line="240" w:lineRule="auto"/>
              <w:jc w:val="center"/>
            </w:pPr>
            <w:r>
              <w:rPr>
                <w:rFonts w:ascii="Arial" w:hAnsi="Arial" w:eastAsia="Arial"/>
                <w:b/>
                <w:color w:val="000000"/>
                <w:sz w:val="16"/>
              </w:rPr>
              <w:t>Lower 95% CI</w:t>
            </w:r>
          </w:p>
        </w:tc>
        <w:tc>
          <w:tcPr>
            <w:tcW w:w="1020" w:type="dxa"/>
            <w:vAlign w:val="center"/>
            <w:shd w:val="clear" w:color="auto" w:fill="FFFFFF"/>
          </w:tcPr>
          <w:p w14:paraId="50099ED1">
            <w:pPr>
              <w:spacing w:before="0" w:after="0" w:line="240" w:lineRule="auto"/>
              <w:jc w:val="center"/>
            </w:pPr>
            <w:r>
              <w:rPr>
                <w:rFonts w:ascii="Arial" w:hAnsi="Arial" w:eastAsia="Arial"/>
                <w:b/>
                <w:color w:val="000000"/>
                <w:sz w:val="16"/>
              </w:rPr>
              <w:t>Upper 95% CI</w:t>
            </w:r>
          </w:p>
        </w:tc>
        <w:tc>
          <w:tcPr>
            <w:tcW w:w="4535" w:type="dxa"/>
            <w:vAlign w:val="center"/>
            <w:shd w:val="clear" w:color="auto" w:fill="FFFFFF"/>
          </w:tcPr>
          <w:p w14:paraId="388FE822">
            <w:pPr>
              <w:spacing w:before="0" w:after="0" w:line="240" w:lineRule="auto"/>
              <w:jc w:val="center"/>
            </w:pPr>
            <w:r>
              <w:rPr>
                <w:rFonts w:ascii="Arial" w:hAnsi="Arial" w:eastAsia="Arial"/>
                <w:b/>
                <w:color w:val="000000"/>
                <w:sz w:val="16"/>
              </w:rPr>
              <w:t>Source publication</w:t>
            </w:r>
          </w:p>
        </w:tc>
      </w:tr>
      <w:tr w14:paraId="78AA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0A64627">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27F86EF1">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522AEE9F">
            <w:pPr>
              <w:spacing w:before="0" w:after="0" w:line="240" w:lineRule="auto"/>
              <w:jc w:val="center"/>
            </w:pPr>
            <w:r>
              <w:rPr>
                <w:rFonts w:ascii="Arial" w:hAnsi="Arial" w:eastAsia="Arial"/>
                <w:b w:val="0"/>
                <w:color w:val="000000"/>
                <w:sz w:val="16"/>
              </w:rPr>
              <w:t>0.68</w:t>
            </w:r>
          </w:p>
        </w:tc>
        <w:tc>
          <w:tcPr>
            <w:tcW w:w="1020" w:type="dxa"/>
            <w:vAlign w:val="center"/>
            <w:shd w:val="clear" w:color="auto" w:fill="FFFFFF"/>
          </w:tcPr>
          <w:p w14:paraId="2689A575">
            <w:pPr>
              <w:spacing w:before="0" w:after="0" w:line="240" w:lineRule="auto"/>
              <w:jc w:val="center"/>
            </w:pPr>
            <w:r>
              <w:rPr>
                <w:rFonts w:ascii="Arial" w:hAnsi="Arial" w:eastAsia="Arial"/>
                <w:b w:val="0"/>
                <w:color w:val="000000"/>
                <w:sz w:val="16"/>
              </w:rPr>
              <w:t>0.51</w:t>
            </w:r>
          </w:p>
        </w:tc>
        <w:tc>
          <w:tcPr>
            <w:tcW w:w="1020" w:type="dxa"/>
            <w:vAlign w:val="center"/>
            <w:shd w:val="clear" w:color="auto" w:fill="FFFFFF"/>
          </w:tcPr>
          <w:p w14:paraId="01CACD5E">
            <w:pPr>
              <w:spacing w:before="0" w:after="0" w:line="240" w:lineRule="auto"/>
              <w:jc w:val="center"/>
            </w:pPr>
            <w:r>
              <w:rPr>
                <w:rFonts w:ascii="Arial" w:hAnsi="Arial" w:eastAsia="Arial"/>
                <w:b w:val="0"/>
                <w:color w:val="000000"/>
                <w:sz w:val="16"/>
              </w:rPr>
              <w:t>0.90</w:t>
            </w:r>
          </w:p>
        </w:tc>
        <w:tc>
          <w:tcPr>
            <w:tcW w:w="4535" w:type="dxa"/>
            <w:vAlign w:val="center"/>
            <w:shd w:val="clear" w:color="auto" w:fill="FFFFFF"/>
          </w:tcPr>
          <w:p w14:paraId="41398C63">
            <w:pPr>
              <w:spacing w:before="0" w:after="0" w:line="240" w:lineRule="auto"/>
              <w:jc w:val="left"/>
            </w:pPr>
            <w:r>
              <w:rPr>
                <w:rFonts w:ascii="Arial" w:hAnsi="Arial" w:eastAsia="Arial"/>
                <w:b w:val="0"/>
                <w:color w:val="000000"/>
                <w:sz w:val="16"/>
              </w:rPr>
              <w:t>Mahaffey et al., Circulation 2018</w:t>
            </w:r>
          </w:p>
        </w:tc>
      </w:tr>
      <w:tr w14:paraId="414C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2230226">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62F484CC">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7928691A">
            <w:pPr>
              <w:spacing w:before="0" w:after="0" w:line="240" w:lineRule="auto"/>
              <w:jc w:val="center"/>
            </w:pPr>
            <w:r>
              <w:rPr>
                <w:rFonts w:ascii="Arial" w:hAnsi="Arial" w:eastAsia="Arial"/>
                <w:b w:val="0"/>
                <w:color w:val="000000"/>
                <w:sz w:val="16"/>
              </w:rPr>
              <w:t>0.61</w:t>
            </w:r>
          </w:p>
        </w:tc>
        <w:tc>
          <w:tcPr>
            <w:tcW w:w="1020" w:type="dxa"/>
            <w:vAlign w:val="center"/>
            <w:shd w:val="clear" w:color="auto" w:fill="FFFFFF"/>
          </w:tcPr>
          <w:p w14:paraId="2ADCCC28">
            <w:pPr>
              <w:spacing w:before="0" w:after="0" w:line="240" w:lineRule="auto"/>
              <w:jc w:val="center"/>
            </w:pPr>
            <w:r>
              <w:rPr>
                <w:rFonts w:ascii="Arial" w:hAnsi="Arial" w:eastAsia="Arial"/>
                <w:b w:val="0"/>
                <w:color w:val="000000"/>
                <w:sz w:val="16"/>
              </w:rPr>
              <w:t>0.44</w:t>
            </w:r>
          </w:p>
        </w:tc>
        <w:tc>
          <w:tcPr>
            <w:tcW w:w="1020" w:type="dxa"/>
            <w:vAlign w:val="center"/>
            <w:shd w:val="clear" w:color="auto" w:fill="FFFFFF"/>
          </w:tcPr>
          <w:p w14:paraId="79537EE5">
            <w:pPr>
              <w:spacing w:before="0" w:after="0" w:line="240" w:lineRule="auto"/>
              <w:jc w:val="center"/>
            </w:pPr>
            <w:r>
              <w:rPr>
                <w:rFonts w:ascii="Arial" w:hAnsi="Arial" w:eastAsia="Arial"/>
                <w:b w:val="0"/>
                <w:color w:val="000000"/>
                <w:sz w:val="16"/>
              </w:rPr>
              <w:t>0.85</w:t>
            </w:r>
          </w:p>
        </w:tc>
        <w:tc>
          <w:tcPr>
            <w:tcW w:w="4535" w:type="dxa"/>
            <w:vAlign w:val="center"/>
            <w:shd w:val="clear" w:color="auto" w:fill="FFFFFF"/>
          </w:tcPr>
          <w:p w14:paraId="1E43EC49">
            <w:pPr>
              <w:spacing w:before="0" w:after="0" w:line="240" w:lineRule="auto"/>
              <w:jc w:val="left"/>
            </w:pPr>
            <w:r>
              <w:rPr>
                <w:rFonts w:ascii="Arial" w:hAnsi="Arial" w:eastAsia="Arial"/>
                <w:b w:val="0"/>
                <w:color w:val="000000"/>
                <w:sz w:val="16"/>
              </w:rPr>
              <w:t>Mahaffey et al., Circulation 2019</w:t>
            </w:r>
          </w:p>
        </w:tc>
      </w:tr>
      <w:tr w14:paraId="2F50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5F1B0BD">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0862F7C9">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3C64EA5A">
            <w:pPr>
              <w:spacing w:before="0" w:after="0" w:line="240" w:lineRule="auto"/>
              <w:jc w:val="center"/>
            </w:pPr>
            <w:r>
              <w:rPr>
                <w:rFonts w:ascii="Arial" w:hAnsi="Arial" w:eastAsia="Arial"/>
                <w:b w:val="0"/>
                <w:color w:val="000000"/>
                <w:sz w:val="16"/>
              </w:rPr>
              <w:t>0.54</w:t>
            </w:r>
          </w:p>
        </w:tc>
        <w:tc>
          <w:tcPr>
            <w:tcW w:w="1020" w:type="dxa"/>
            <w:vAlign w:val="center"/>
            <w:shd w:val="clear" w:color="auto" w:fill="FFFFFF"/>
          </w:tcPr>
          <w:p w14:paraId="78FF49EE">
            <w:pPr>
              <w:spacing w:before="0" w:after="0" w:line="240" w:lineRule="auto"/>
              <w:jc w:val="center"/>
            </w:pPr>
            <w:r>
              <w:rPr>
                <w:rFonts w:ascii="Arial" w:hAnsi="Arial" w:eastAsia="Arial"/>
                <w:b w:val="0"/>
                <w:color w:val="000000"/>
                <w:sz w:val="16"/>
              </w:rPr>
              <w:t>0.35</w:t>
            </w:r>
          </w:p>
        </w:tc>
        <w:tc>
          <w:tcPr>
            <w:tcW w:w="1020" w:type="dxa"/>
            <w:vAlign w:val="center"/>
            <w:shd w:val="clear" w:color="auto" w:fill="FFFFFF"/>
          </w:tcPr>
          <w:p w14:paraId="052D99E0">
            <w:pPr>
              <w:spacing w:before="0" w:after="0" w:line="240" w:lineRule="auto"/>
              <w:jc w:val="center"/>
            </w:pPr>
            <w:r>
              <w:rPr>
                <w:rFonts w:ascii="Arial" w:hAnsi="Arial" w:eastAsia="Arial"/>
                <w:b w:val="0"/>
                <w:color w:val="000000"/>
                <w:sz w:val="16"/>
              </w:rPr>
              <w:t>0.82</w:t>
            </w:r>
          </w:p>
        </w:tc>
        <w:tc>
          <w:tcPr>
            <w:tcW w:w="4535" w:type="dxa"/>
            <w:vAlign w:val="center"/>
            <w:shd w:val="clear" w:color="auto" w:fill="FFFFFF"/>
          </w:tcPr>
          <w:p w14:paraId="4CBA5C99">
            <w:pPr>
              <w:spacing w:before="0" w:after="0" w:line="240" w:lineRule="auto"/>
              <w:jc w:val="left"/>
            </w:pPr>
            <w:r>
              <w:rPr>
                <w:rFonts w:ascii="Arial" w:hAnsi="Arial" w:eastAsia="Arial"/>
                <w:b w:val="0"/>
                <w:color w:val="000000"/>
                <w:sz w:val="16"/>
              </w:rPr>
              <w:t>McMurray et al., Circulation 2021</w:t>
            </w:r>
          </w:p>
        </w:tc>
      </w:tr>
      <w:tr w14:paraId="52C5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254AC4D">
            <w:pPr>
              <w:spacing w:before="0" w:after="0" w:line="240" w:lineRule="auto"/>
              <w:jc w:val="left"/>
            </w:pPr>
            <w:r>
              <w:rPr>
                <w:rFonts w:ascii="Arial" w:hAnsi="Arial" w:eastAsia="Arial"/>
                <w:b w:val="0"/>
                <w:color w:val="000000"/>
                <w:sz w:val="16"/>
              </w:rPr>
              <w:t>DAPA-HF</w:t>
            </w:r>
          </w:p>
        </w:tc>
        <w:tc>
          <w:tcPr>
            <w:tcW w:w="1814" w:type="dxa"/>
            <w:vAlign w:val="center"/>
            <w:shd w:val="clear" w:color="auto" w:fill="FFFFFF"/>
          </w:tcPr>
          <w:p w14:paraId="737D4C01">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76798095">
            <w:pPr>
              <w:spacing w:before="0" w:after="0" w:line="240" w:lineRule="auto"/>
              <w:jc w:val="center"/>
            </w:pPr>
            <w:r>
              <w:rPr>
                <w:rFonts w:ascii="Arial" w:hAnsi="Arial" w:eastAsia="Arial"/>
                <w:b w:val="0"/>
                <w:color w:val="000000"/>
                <w:sz w:val="16"/>
              </w:rPr>
              <w:t>0.70</w:t>
            </w:r>
          </w:p>
        </w:tc>
        <w:tc>
          <w:tcPr>
            <w:tcW w:w="1020" w:type="dxa"/>
            <w:vAlign w:val="center"/>
            <w:shd w:val="clear" w:color="auto" w:fill="FFFFFF"/>
          </w:tcPr>
          <w:p w14:paraId="361493D7">
            <w:pPr>
              <w:spacing w:before="0" w:after="0" w:line="240" w:lineRule="auto"/>
              <w:jc w:val="center"/>
            </w:pPr>
            <w:r>
              <w:rPr>
                <w:rFonts w:ascii="Arial" w:hAnsi="Arial" w:eastAsia="Arial"/>
                <w:b w:val="0"/>
                <w:color w:val="000000"/>
                <w:sz w:val="16"/>
              </w:rPr>
              <w:t>0.59</w:t>
            </w:r>
          </w:p>
        </w:tc>
        <w:tc>
          <w:tcPr>
            <w:tcW w:w="1020" w:type="dxa"/>
            <w:vAlign w:val="center"/>
            <w:shd w:val="clear" w:color="auto" w:fill="FFFFFF"/>
          </w:tcPr>
          <w:p w14:paraId="42E0B8FF">
            <w:pPr>
              <w:spacing w:before="0" w:after="0" w:line="240" w:lineRule="auto"/>
              <w:jc w:val="center"/>
            </w:pPr>
            <w:r>
              <w:rPr>
                <w:rFonts w:ascii="Arial" w:hAnsi="Arial" w:eastAsia="Arial"/>
                <w:b w:val="0"/>
                <w:color w:val="000000"/>
                <w:sz w:val="16"/>
              </w:rPr>
              <w:t>0.83</w:t>
            </w:r>
          </w:p>
        </w:tc>
        <w:tc>
          <w:tcPr>
            <w:tcW w:w="4535" w:type="dxa"/>
            <w:vAlign w:val="center"/>
            <w:shd w:val="clear" w:color="auto" w:fill="FFFFFF"/>
          </w:tcPr>
          <w:p w14:paraId="2BB3A987">
            <w:pPr>
              <w:spacing w:before="0" w:after="0" w:line="240" w:lineRule="auto"/>
              <w:jc w:val="left"/>
            </w:pPr>
            <w:r>
              <w:rPr>
                <w:rFonts w:ascii="Arial" w:hAnsi="Arial" w:eastAsia="Arial"/>
                <w:b w:val="0"/>
                <w:color w:val="000000"/>
                <w:sz w:val="16"/>
              </w:rPr>
              <w:t>McMurray et al., N Engl J Med 2019</w:t>
            </w:r>
          </w:p>
        </w:tc>
      </w:tr>
      <w:tr w14:paraId="2AFF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12688BA">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65A86B28">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11972A8E">
            <w:pPr>
              <w:spacing w:before="0" w:after="0" w:line="240" w:lineRule="auto"/>
              <w:jc w:val="center"/>
            </w:pPr>
            <w:r>
              <w:rPr>
                <w:rFonts w:ascii="Arial" w:hAnsi="Arial" w:eastAsia="Arial"/>
                <w:b w:val="0"/>
                <w:color w:val="000000"/>
                <w:sz w:val="16"/>
              </w:rPr>
              <w:t>0.78</w:t>
            </w:r>
          </w:p>
        </w:tc>
        <w:tc>
          <w:tcPr>
            <w:tcW w:w="1020" w:type="dxa"/>
            <w:vAlign w:val="center"/>
            <w:shd w:val="clear" w:color="auto" w:fill="FFFFFF"/>
          </w:tcPr>
          <w:p w14:paraId="682137A3">
            <w:pPr>
              <w:spacing w:before="0" w:after="0" w:line="240" w:lineRule="auto"/>
              <w:jc w:val="center"/>
            </w:pPr>
            <w:r>
              <w:rPr>
                <w:rFonts w:ascii="Arial" w:hAnsi="Arial" w:eastAsia="Arial"/>
                <w:b w:val="0"/>
                <w:color w:val="000000"/>
                <w:sz w:val="16"/>
              </w:rPr>
              <w:t>0.63</w:t>
            </w:r>
          </w:p>
        </w:tc>
        <w:tc>
          <w:tcPr>
            <w:tcW w:w="1020" w:type="dxa"/>
            <w:vAlign w:val="center"/>
            <w:shd w:val="clear" w:color="auto" w:fill="FFFFFF"/>
          </w:tcPr>
          <w:p w14:paraId="27977DF8">
            <w:pPr>
              <w:spacing w:before="0" w:after="0" w:line="240" w:lineRule="auto"/>
              <w:jc w:val="center"/>
            </w:pPr>
            <w:r>
              <w:rPr>
                <w:rFonts w:ascii="Arial" w:hAnsi="Arial" w:eastAsia="Arial"/>
                <w:b w:val="0"/>
                <w:color w:val="000000"/>
                <w:sz w:val="16"/>
              </w:rPr>
              <w:t>0.97</w:t>
            </w:r>
          </w:p>
        </w:tc>
        <w:tc>
          <w:tcPr>
            <w:tcW w:w="4535" w:type="dxa"/>
            <w:vAlign w:val="center"/>
            <w:shd w:val="clear" w:color="auto" w:fill="FFFFFF"/>
          </w:tcPr>
          <w:p w14:paraId="7EB10928">
            <w:pPr>
              <w:spacing w:before="0" w:after="0" w:line="240" w:lineRule="auto"/>
              <w:jc w:val="left"/>
            </w:pPr>
            <w:r>
              <w:rPr>
                <w:rFonts w:ascii="Arial" w:hAnsi="Arial" w:eastAsia="Arial"/>
                <w:b w:val="0"/>
                <w:color w:val="000000"/>
                <w:sz w:val="16"/>
              </w:rPr>
              <w:t>Wiviott et al., N Engl J Med 2019; published subgroup analysis</w:t>
            </w:r>
          </w:p>
        </w:tc>
      </w:tr>
      <w:tr w14:paraId="5F1D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5872864">
            <w:pPr>
              <w:spacing w:before="0" w:after="0" w:line="240" w:lineRule="auto"/>
              <w:jc w:val="left"/>
            </w:pPr>
            <w:r>
              <w:rPr>
                <w:rFonts w:ascii="Arial" w:hAnsi="Arial" w:eastAsia="Arial"/>
                <w:b w:val="0"/>
                <w:color w:val="000000"/>
                <w:sz w:val="16"/>
              </w:rPr>
              <w:t>DELIVER</w:t>
            </w:r>
          </w:p>
        </w:tc>
        <w:tc>
          <w:tcPr>
            <w:tcW w:w="1814" w:type="dxa"/>
            <w:vAlign w:val="center"/>
            <w:shd w:val="clear" w:color="auto" w:fill="FFFFFF"/>
          </w:tcPr>
          <w:p w14:paraId="15E07513">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331D8A6D">
            <w:pPr>
              <w:spacing w:before="0" w:after="0" w:line="240" w:lineRule="auto"/>
              <w:jc w:val="center"/>
            </w:pPr>
            <w:r>
              <w:rPr>
                <w:rFonts w:ascii="Arial" w:hAnsi="Arial" w:eastAsia="Arial"/>
                <w:b w:val="0"/>
                <w:color w:val="000000"/>
                <w:sz w:val="16"/>
              </w:rPr>
              <w:t>0.77</w:t>
            </w:r>
          </w:p>
        </w:tc>
        <w:tc>
          <w:tcPr>
            <w:tcW w:w="1020" w:type="dxa"/>
            <w:vAlign w:val="center"/>
            <w:shd w:val="clear" w:color="auto" w:fill="FFFFFF"/>
          </w:tcPr>
          <w:p w14:paraId="2FF600E0">
            <w:pPr>
              <w:spacing w:before="0" w:after="0" w:line="240" w:lineRule="auto"/>
              <w:jc w:val="center"/>
            </w:pPr>
            <w:r>
              <w:rPr>
                <w:rFonts w:ascii="Arial" w:hAnsi="Arial" w:eastAsia="Arial"/>
                <w:b w:val="0"/>
                <w:color w:val="000000"/>
                <w:sz w:val="16"/>
              </w:rPr>
              <w:t>0.67</w:t>
            </w:r>
          </w:p>
        </w:tc>
        <w:tc>
          <w:tcPr>
            <w:tcW w:w="1020" w:type="dxa"/>
            <w:vAlign w:val="center"/>
            <w:shd w:val="clear" w:color="auto" w:fill="FFFFFF"/>
          </w:tcPr>
          <w:p w14:paraId="31849DD2">
            <w:pPr>
              <w:spacing w:before="0" w:after="0" w:line="240" w:lineRule="auto"/>
              <w:jc w:val="center"/>
            </w:pPr>
            <w:r>
              <w:rPr>
                <w:rFonts w:ascii="Arial" w:hAnsi="Arial" w:eastAsia="Arial"/>
                <w:b w:val="0"/>
                <w:color w:val="000000"/>
                <w:sz w:val="16"/>
              </w:rPr>
              <w:t>0.89</w:t>
            </w:r>
          </w:p>
        </w:tc>
        <w:tc>
          <w:tcPr>
            <w:tcW w:w="4535" w:type="dxa"/>
            <w:vAlign w:val="center"/>
            <w:shd w:val="clear" w:color="auto" w:fill="FFFFFF"/>
          </w:tcPr>
          <w:p w14:paraId="3EBF8595">
            <w:pPr>
              <w:spacing w:before="0" w:after="0" w:line="240" w:lineRule="auto"/>
              <w:jc w:val="left"/>
            </w:pPr>
            <w:r>
              <w:rPr>
                <w:rFonts w:ascii="Arial" w:hAnsi="Arial" w:eastAsia="Arial"/>
                <w:b w:val="0"/>
                <w:color w:val="000000"/>
                <w:sz w:val="16"/>
              </w:rPr>
              <w:t>Solomon et al., N Engl J Med 2022</w:t>
            </w:r>
          </w:p>
        </w:tc>
      </w:tr>
      <w:tr w14:paraId="11FD0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3D85395">
            <w:pPr>
              <w:spacing w:before="0" w:after="0" w:line="240" w:lineRule="auto"/>
              <w:jc w:val="left"/>
            </w:pPr>
            <w:r>
              <w:rPr>
                <w:rFonts w:ascii="Arial" w:hAnsi="Arial" w:eastAsia="Arial"/>
                <w:b w:val="0"/>
                <w:color w:val="000000"/>
                <w:sz w:val="16"/>
              </w:rPr>
              <w:t>EMPA-REG OUTCOME</w:t>
            </w:r>
          </w:p>
        </w:tc>
        <w:tc>
          <w:tcPr>
            <w:tcW w:w="1814" w:type="dxa"/>
            <w:vAlign w:val="center"/>
            <w:shd w:val="clear" w:color="auto" w:fill="FFFFFF"/>
          </w:tcPr>
          <w:p w14:paraId="5A09C039">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4D41EF61">
            <w:pPr>
              <w:spacing w:before="0" w:after="0" w:line="240" w:lineRule="auto"/>
              <w:jc w:val="center"/>
            </w:pPr>
            <w:r>
              <w:rPr>
                <w:rFonts w:ascii="Arial" w:hAnsi="Arial" w:eastAsia="Arial"/>
                <w:b w:val="0"/>
                <w:color w:val="000000"/>
                <w:sz w:val="16"/>
              </w:rPr>
              <w:t>0.65</w:t>
            </w:r>
          </w:p>
        </w:tc>
        <w:tc>
          <w:tcPr>
            <w:tcW w:w="1020" w:type="dxa"/>
            <w:vAlign w:val="center"/>
            <w:shd w:val="clear" w:color="auto" w:fill="FFFFFF"/>
          </w:tcPr>
          <w:p w14:paraId="0AFD08EB">
            <w:pPr>
              <w:spacing w:before="0" w:after="0" w:line="240" w:lineRule="auto"/>
              <w:jc w:val="center"/>
            </w:pPr>
            <w:r>
              <w:rPr>
                <w:rFonts w:ascii="Arial" w:hAnsi="Arial" w:eastAsia="Arial"/>
                <w:b w:val="0"/>
                <w:color w:val="000000"/>
                <w:sz w:val="16"/>
              </w:rPr>
              <w:t>0.50</w:t>
            </w:r>
          </w:p>
        </w:tc>
        <w:tc>
          <w:tcPr>
            <w:tcW w:w="1020" w:type="dxa"/>
            <w:vAlign w:val="center"/>
            <w:shd w:val="clear" w:color="auto" w:fill="FFFFFF"/>
          </w:tcPr>
          <w:p w14:paraId="2A013575">
            <w:pPr>
              <w:spacing w:before="0" w:after="0" w:line="240" w:lineRule="auto"/>
              <w:jc w:val="center"/>
            </w:pPr>
            <w:r>
              <w:rPr>
                <w:rFonts w:ascii="Arial" w:hAnsi="Arial" w:eastAsia="Arial"/>
                <w:b w:val="0"/>
                <w:color w:val="000000"/>
                <w:sz w:val="16"/>
              </w:rPr>
              <w:t>0.85</w:t>
            </w:r>
          </w:p>
        </w:tc>
        <w:tc>
          <w:tcPr>
            <w:tcW w:w="4535" w:type="dxa"/>
            <w:vAlign w:val="center"/>
            <w:shd w:val="clear" w:color="auto" w:fill="FFFFFF"/>
          </w:tcPr>
          <w:p w14:paraId="05D266F9">
            <w:pPr>
              <w:spacing w:before="0" w:after="0" w:line="240" w:lineRule="auto"/>
              <w:jc w:val="left"/>
            </w:pPr>
            <w:r>
              <w:rPr>
                <w:rFonts w:ascii="Arial" w:hAnsi="Arial" w:eastAsia="Arial"/>
                <w:b w:val="0"/>
                <w:color w:val="000000"/>
                <w:sz w:val="16"/>
              </w:rPr>
              <w:t>Zinman et al., N Engl J Med 2015</w:t>
            </w:r>
          </w:p>
        </w:tc>
      </w:tr>
      <w:tr w14:paraId="5979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D07493F">
            <w:pPr>
              <w:spacing w:before="0" w:after="0" w:line="240" w:lineRule="auto"/>
              <w:jc w:val="left"/>
            </w:pPr>
            <w:r>
              <w:rPr>
                <w:rFonts w:ascii="Arial" w:hAnsi="Arial" w:eastAsia="Arial"/>
                <w:b w:val="0"/>
                <w:color w:val="000000"/>
                <w:sz w:val="16"/>
              </w:rPr>
              <w:t>EMPEROR-Preserved</w:t>
            </w:r>
          </w:p>
        </w:tc>
        <w:tc>
          <w:tcPr>
            <w:tcW w:w="1814" w:type="dxa"/>
            <w:vAlign w:val="center"/>
            <w:shd w:val="clear" w:color="auto" w:fill="FFFFFF"/>
          </w:tcPr>
          <w:p w14:paraId="01292E0C">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19E4B6DF">
            <w:pPr>
              <w:spacing w:before="0" w:after="0" w:line="240" w:lineRule="auto"/>
              <w:jc w:val="center"/>
            </w:pPr>
            <w:r>
              <w:rPr>
                <w:rFonts w:ascii="Arial" w:hAnsi="Arial" w:eastAsia="Arial"/>
                <w:b w:val="0"/>
                <w:color w:val="000000"/>
                <w:sz w:val="16"/>
              </w:rPr>
              <w:t>0.71</w:t>
            </w:r>
          </w:p>
        </w:tc>
        <w:tc>
          <w:tcPr>
            <w:tcW w:w="1020" w:type="dxa"/>
            <w:vAlign w:val="center"/>
            <w:shd w:val="clear" w:color="auto" w:fill="FFFFFF"/>
          </w:tcPr>
          <w:p w14:paraId="37B335F3">
            <w:pPr>
              <w:spacing w:before="0" w:after="0" w:line="240" w:lineRule="auto"/>
              <w:jc w:val="center"/>
            </w:pPr>
            <w:r>
              <w:rPr>
                <w:rFonts w:ascii="Arial" w:hAnsi="Arial" w:eastAsia="Arial"/>
                <w:b w:val="0"/>
                <w:color w:val="000000"/>
                <w:sz w:val="16"/>
              </w:rPr>
              <w:t>0.60</w:t>
            </w:r>
          </w:p>
        </w:tc>
        <w:tc>
          <w:tcPr>
            <w:tcW w:w="1020" w:type="dxa"/>
            <w:vAlign w:val="center"/>
            <w:shd w:val="clear" w:color="auto" w:fill="FFFFFF"/>
          </w:tcPr>
          <w:p w14:paraId="32C90BA9">
            <w:pPr>
              <w:spacing w:before="0" w:after="0" w:line="240" w:lineRule="auto"/>
              <w:jc w:val="center"/>
            </w:pPr>
            <w:r>
              <w:rPr>
                <w:rFonts w:ascii="Arial" w:hAnsi="Arial" w:eastAsia="Arial"/>
                <w:b w:val="0"/>
                <w:color w:val="000000"/>
                <w:sz w:val="16"/>
              </w:rPr>
              <w:t>0.83</w:t>
            </w:r>
          </w:p>
        </w:tc>
        <w:tc>
          <w:tcPr>
            <w:tcW w:w="4535" w:type="dxa"/>
            <w:vAlign w:val="center"/>
            <w:shd w:val="clear" w:color="auto" w:fill="FFFFFF"/>
          </w:tcPr>
          <w:p w14:paraId="73230434">
            <w:pPr>
              <w:spacing w:before="0" w:after="0" w:line="240" w:lineRule="auto"/>
              <w:jc w:val="left"/>
            </w:pPr>
            <w:r>
              <w:rPr>
                <w:rFonts w:ascii="Arial" w:hAnsi="Arial" w:eastAsia="Arial"/>
                <w:b w:val="0"/>
                <w:color w:val="000000"/>
                <w:sz w:val="16"/>
              </w:rPr>
              <w:t>Anker et al., N Engl J Med 2021</w:t>
            </w:r>
          </w:p>
        </w:tc>
      </w:tr>
      <w:tr w14:paraId="7908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8F5488E">
            <w:pPr>
              <w:spacing w:before="0" w:after="0" w:line="240" w:lineRule="auto"/>
              <w:jc w:val="left"/>
            </w:pPr>
            <w:r>
              <w:rPr>
                <w:rFonts w:ascii="Arial" w:hAnsi="Arial" w:eastAsia="Arial"/>
                <w:b w:val="0"/>
                <w:color w:val="000000"/>
                <w:sz w:val="16"/>
              </w:rPr>
              <w:t>EMPEROR-Reduced</w:t>
            </w:r>
          </w:p>
        </w:tc>
        <w:tc>
          <w:tcPr>
            <w:tcW w:w="1814" w:type="dxa"/>
            <w:vAlign w:val="center"/>
            <w:shd w:val="clear" w:color="auto" w:fill="FFFFFF"/>
          </w:tcPr>
          <w:p w14:paraId="79742318">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6FB99D45">
            <w:pPr>
              <w:spacing w:before="0" w:after="0" w:line="240" w:lineRule="auto"/>
              <w:jc w:val="center"/>
            </w:pPr>
            <w:r>
              <w:rPr>
                <w:rFonts w:ascii="Arial" w:hAnsi="Arial" w:eastAsia="Arial"/>
                <w:b w:val="0"/>
                <w:color w:val="000000"/>
                <w:sz w:val="16"/>
              </w:rPr>
              <w:t>0.69</w:t>
            </w:r>
          </w:p>
        </w:tc>
        <w:tc>
          <w:tcPr>
            <w:tcW w:w="1020" w:type="dxa"/>
            <w:vAlign w:val="center"/>
            <w:shd w:val="clear" w:color="auto" w:fill="FFFFFF"/>
          </w:tcPr>
          <w:p w14:paraId="75EC1384">
            <w:pPr>
              <w:spacing w:before="0" w:after="0" w:line="240" w:lineRule="auto"/>
              <w:jc w:val="center"/>
            </w:pPr>
            <w:r>
              <w:rPr>
                <w:rFonts w:ascii="Arial" w:hAnsi="Arial" w:eastAsia="Arial"/>
                <w:b w:val="0"/>
                <w:color w:val="000000"/>
                <w:sz w:val="16"/>
              </w:rPr>
              <w:t>0.59</w:t>
            </w:r>
          </w:p>
        </w:tc>
        <w:tc>
          <w:tcPr>
            <w:tcW w:w="1020" w:type="dxa"/>
            <w:vAlign w:val="center"/>
            <w:shd w:val="clear" w:color="auto" w:fill="FFFFFF"/>
          </w:tcPr>
          <w:p w14:paraId="1B26BBE7">
            <w:pPr>
              <w:spacing w:before="0" w:after="0" w:line="240" w:lineRule="auto"/>
              <w:jc w:val="center"/>
            </w:pPr>
            <w:r>
              <w:rPr>
                <w:rFonts w:ascii="Arial" w:hAnsi="Arial" w:eastAsia="Arial"/>
                <w:b w:val="0"/>
                <w:color w:val="000000"/>
                <w:sz w:val="16"/>
              </w:rPr>
              <w:t>0.81</w:t>
            </w:r>
          </w:p>
        </w:tc>
        <w:tc>
          <w:tcPr>
            <w:tcW w:w="4535" w:type="dxa"/>
            <w:vAlign w:val="center"/>
            <w:shd w:val="clear" w:color="auto" w:fill="FFFFFF"/>
          </w:tcPr>
          <w:p w14:paraId="342C5345">
            <w:pPr>
              <w:spacing w:before="0" w:after="0" w:line="240" w:lineRule="auto"/>
              <w:jc w:val="left"/>
            </w:pPr>
            <w:r>
              <w:rPr>
                <w:rFonts w:ascii="Arial" w:hAnsi="Arial" w:eastAsia="Arial"/>
                <w:b w:val="0"/>
                <w:color w:val="000000"/>
                <w:sz w:val="16"/>
              </w:rPr>
              <w:t>Packer et al., N Engl J Med 2020</w:t>
            </w:r>
          </w:p>
        </w:tc>
      </w:tr>
      <w:tr w14:paraId="7F59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22EAA28A">
            <w:pPr>
              <w:spacing w:before="0" w:after="0" w:line="240" w:lineRule="auto"/>
              <w:jc w:val="left"/>
            </w:pPr>
            <w:r>
              <w:rPr>
                <w:rFonts w:ascii="Arial" w:hAnsi="Arial" w:eastAsia="Arial"/>
                <w:b w:val="0"/>
                <w:color w:val="000000"/>
                <w:sz w:val="16"/>
              </w:rPr>
              <w:t>VERTIS CV</w:t>
            </w:r>
          </w:p>
        </w:tc>
        <w:tc>
          <w:tcPr>
            <w:tcW w:w="1814" w:type="dxa"/>
            <w:vAlign w:val="center"/>
            <w:shd w:val="clear" w:color="auto" w:fill="FFFFFF"/>
          </w:tcPr>
          <w:p w14:paraId="77AC5878">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08AE5F6A">
            <w:pPr>
              <w:spacing w:before="0" w:after="0" w:line="240" w:lineRule="auto"/>
              <w:jc w:val="center"/>
            </w:pPr>
            <w:r>
              <w:rPr>
                <w:rFonts w:ascii="Arial" w:hAnsi="Arial" w:eastAsia="Arial"/>
                <w:b w:val="0"/>
                <w:color w:val="000000"/>
                <w:sz w:val="16"/>
              </w:rPr>
              <w:t>0.70</w:t>
            </w:r>
          </w:p>
        </w:tc>
        <w:tc>
          <w:tcPr>
            <w:tcW w:w="1020" w:type="dxa"/>
            <w:vAlign w:val="center"/>
            <w:shd w:val="clear" w:color="auto" w:fill="FFFFFF"/>
          </w:tcPr>
          <w:p w14:paraId="60B6A28A">
            <w:pPr>
              <w:spacing w:before="0" w:after="0" w:line="240" w:lineRule="auto"/>
              <w:jc w:val="center"/>
            </w:pPr>
            <w:r>
              <w:rPr>
                <w:rFonts w:ascii="Arial" w:hAnsi="Arial" w:eastAsia="Arial"/>
                <w:b w:val="0"/>
                <w:color w:val="000000"/>
                <w:sz w:val="16"/>
              </w:rPr>
              <w:t>0.54</w:t>
            </w:r>
          </w:p>
        </w:tc>
        <w:tc>
          <w:tcPr>
            <w:tcW w:w="1020" w:type="dxa"/>
            <w:vAlign w:val="center"/>
            <w:shd w:val="clear" w:color="auto" w:fill="FFFFFF"/>
          </w:tcPr>
          <w:p w14:paraId="04D9B49B">
            <w:pPr>
              <w:spacing w:before="0" w:after="0" w:line="240" w:lineRule="auto"/>
              <w:jc w:val="center"/>
            </w:pPr>
            <w:r>
              <w:rPr>
                <w:rFonts w:ascii="Arial" w:hAnsi="Arial" w:eastAsia="Arial"/>
                <w:b w:val="0"/>
                <w:color w:val="000000"/>
                <w:sz w:val="16"/>
              </w:rPr>
              <w:t>0.90</w:t>
            </w:r>
          </w:p>
        </w:tc>
        <w:tc>
          <w:tcPr>
            <w:tcW w:w="4535" w:type="dxa"/>
            <w:vAlign w:val="center"/>
            <w:shd w:val="clear" w:color="auto" w:fill="FFFFFF"/>
          </w:tcPr>
          <w:p w14:paraId="485C1F73">
            <w:pPr>
              <w:spacing w:before="0" w:after="0" w:line="240" w:lineRule="auto"/>
              <w:jc w:val="left"/>
            </w:pPr>
            <w:r>
              <w:rPr>
                <w:rFonts w:ascii="Arial" w:hAnsi="Arial" w:eastAsia="Arial"/>
                <w:b w:val="0"/>
                <w:color w:val="000000"/>
                <w:sz w:val="16"/>
              </w:rPr>
              <w:t>Cannon et al., N Engl J Med 2020</w:t>
            </w:r>
          </w:p>
        </w:tc>
      </w:tr>
      <w:tr w14:paraId="1E1F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5319147">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5E6D4157">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4E40779C">
            <w:pPr>
              <w:spacing w:before="0" w:after="0" w:line="240" w:lineRule="auto"/>
              <w:jc w:val="center"/>
            </w:pPr>
            <w:r>
              <w:rPr>
                <w:rFonts w:ascii="Arial" w:hAnsi="Arial" w:eastAsia="Arial"/>
                <w:b w:val="0"/>
                <w:color w:val="000000"/>
                <w:sz w:val="16"/>
              </w:rPr>
              <w:t>0.64</w:t>
            </w:r>
          </w:p>
        </w:tc>
        <w:tc>
          <w:tcPr>
            <w:tcW w:w="1020" w:type="dxa"/>
            <w:vAlign w:val="center"/>
            <w:shd w:val="clear" w:color="auto" w:fill="FFFFFF"/>
          </w:tcPr>
          <w:p w14:paraId="0BF1C356">
            <w:pPr>
              <w:spacing w:before="0" w:after="0" w:line="240" w:lineRule="auto"/>
              <w:jc w:val="center"/>
            </w:pPr>
            <w:r>
              <w:rPr>
                <w:rFonts w:ascii="Arial" w:hAnsi="Arial" w:eastAsia="Arial"/>
                <w:b w:val="0"/>
                <w:color w:val="000000"/>
                <w:sz w:val="16"/>
              </w:rPr>
              <w:t>0.35</w:t>
            </w:r>
          </w:p>
        </w:tc>
        <w:tc>
          <w:tcPr>
            <w:tcW w:w="1020" w:type="dxa"/>
            <w:vAlign w:val="center"/>
            <w:shd w:val="clear" w:color="auto" w:fill="FFFFFF"/>
          </w:tcPr>
          <w:p w14:paraId="5540ED03">
            <w:pPr>
              <w:spacing w:before="0" w:after="0" w:line="240" w:lineRule="auto"/>
              <w:jc w:val="center"/>
            </w:pPr>
            <w:r>
              <w:rPr>
                <w:rFonts w:ascii="Arial" w:hAnsi="Arial" w:eastAsia="Arial"/>
                <w:b w:val="0"/>
                <w:color w:val="000000"/>
                <w:sz w:val="16"/>
              </w:rPr>
              <w:t>1.15</w:t>
            </w:r>
          </w:p>
        </w:tc>
        <w:tc>
          <w:tcPr>
            <w:tcW w:w="4535" w:type="dxa"/>
            <w:vAlign w:val="center"/>
            <w:shd w:val="clear" w:color="auto" w:fill="FFFFFF"/>
          </w:tcPr>
          <w:p w14:paraId="1684639F">
            <w:pPr>
              <w:spacing w:before="0" w:after="0" w:line="240" w:lineRule="auto"/>
              <w:jc w:val="left"/>
            </w:pPr>
            <w:r>
              <w:rPr>
                <w:rFonts w:ascii="Arial" w:hAnsi="Arial" w:eastAsia="Arial"/>
                <w:b w:val="0"/>
                <w:color w:val="000000"/>
                <w:sz w:val="16"/>
              </w:rPr>
              <w:t>Mahaffey et al., Circulation 2018</w:t>
            </w:r>
          </w:p>
        </w:tc>
      </w:tr>
      <w:tr w14:paraId="3820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64BC7CC6">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3647B1BF">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5ECB69FA">
            <w:pPr>
              <w:spacing w:before="0" w:after="0" w:line="240" w:lineRule="auto"/>
              <w:jc w:val="center"/>
            </w:pPr>
            <w:r>
              <w:rPr>
                <w:rFonts w:ascii="Arial" w:hAnsi="Arial" w:eastAsia="Arial"/>
                <w:b w:val="0"/>
                <w:color w:val="000000"/>
                <w:sz w:val="16"/>
              </w:rPr>
              <w:t>0.61</w:t>
            </w:r>
          </w:p>
        </w:tc>
        <w:tc>
          <w:tcPr>
            <w:tcW w:w="1020" w:type="dxa"/>
            <w:vAlign w:val="center"/>
            <w:shd w:val="clear" w:color="auto" w:fill="FFFFFF"/>
          </w:tcPr>
          <w:p w14:paraId="626F786D">
            <w:pPr>
              <w:spacing w:before="0" w:after="0" w:line="240" w:lineRule="auto"/>
              <w:jc w:val="center"/>
            </w:pPr>
            <w:r>
              <w:rPr>
                <w:rFonts w:ascii="Arial" w:hAnsi="Arial" w:eastAsia="Arial"/>
                <w:b w:val="0"/>
                <w:color w:val="000000"/>
                <w:sz w:val="16"/>
              </w:rPr>
              <w:t>0.39</w:t>
            </w:r>
          </w:p>
        </w:tc>
        <w:tc>
          <w:tcPr>
            <w:tcW w:w="1020" w:type="dxa"/>
            <w:vAlign w:val="center"/>
            <w:shd w:val="clear" w:color="auto" w:fill="FFFFFF"/>
          </w:tcPr>
          <w:p w14:paraId="64E7DF0D">
            <w:pPr>
              <w:spacing w:before="0" w:after="0" w:line="240" w:lineRule="auto"/>
              <w:jc w:val="center"/>
            </w:pPr>
            <w:r>
              <w:rPr>
                <w:rFonts w:ascii="Arial" w:hAnsi="Arial" w:eastAsia="Arial"/>
                <w:b w:val="0"/>
                <w:color w:val="000000"/>
                <w:sz w:val="16"/>
              </w:rPr>
              <w:t>0.96</w:t>
            </w:r>
          </w:p>
        </w:tc>
        <w:tc>
          <w:tcPr>
            <w:tcW w:w="4535" w:type="dxa"/>
            <w:vAlign w:val="center"/>
            <w:shd w:val="clear" w:color="auto" w:fill="FFFFFF"/>
          </w:tcPr>
          <w:p w14:paraId="7702A598">
            <w:pPr>
              <w:spacing w:before="0" w:after="0" w:line="240" w:lineRule="auto"/>
              <w:jc w:val="left"/>
            </w:pPr>
            <w:r>
              <w:rPr>
                <w:rFonts w:ascii="Arial" w:hAnsi="Arial" w:eastAsia="Arial"/>
                <w:b w:val="0"/>
                <w:color w:val="000000"/>
                <w:sz w:val="16"/>
              </w:rPr>
              <w:t>Mahaffey et al., Circulation 2019</w:t>
            </w:r>
          </w:p>
        </w:tc>
      </w:tr>
      <w:tr w14:paraId="0FB6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D473E16">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6105144D">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1068EC72">
            <w:pPr>
              <w:spacing w:before="0" w:after="0" w:line="240" w:lineRule="auto"/>
              <w:jc w:val="center"/>
            </w:pPr>
            <w:r>
              <w:rPr>
                <w:rFonts w:ascii="Arial" w:hAnsi="Arial" w:eastAsia="Arial"/>
                <w:b w:val="0"/>
                <w:color w:val="000000"/>
                <w:sz w:val="16"/>
              </w:rPr>
              <w:t>0.31</w:t>
            </w:r>
          </w:p>
        </w:tc>
        <w:tc>
          <w:tcPr>
            <w:tcW w:w="1020" w:type="dxa"/>
            <w:vAlign w:val="center"/>
            <w:shd w:val="clear" w:color="auto" w:fill="FFFFFF"/>
          </w:tcPr>
          <w:p w14:paraId="1F5524E1">
            <w:pPr>
              <w:spacing w:before="0" w:after="0" w:line="240" w:lineRule="auto"/>
              <w:jc w:val="center"/>
            </w:pPr>
            <w:r>
              <w:rPr>
                <w:rFonts w:ascii="Arial" w:hAnsi="Arial" w:eastAsia="Arial"/>
                <w:b w:val="0"/>
                <w:color w:val="000000"/>
                <w:sz w:val="16"/>
              </w:rPr>
              <w:t>0.10</w:t>
            </w:r>
          </w:p>
        </w:tc>
        <w:tc>
          <w:tcPr>
            <w:tcW w:w="1020" w:type="dxa"/>
            <w:vAlign w:val="center"/>
            <w:shd w:val="clear" w:color="auto" w:fill="FFFFFF"/>
          </w:tcPr>
          <w:p w14:paraId="317ACC85">
            <w:pPr>
              <w:spacing w:before="0" w:after="0" w:line="240" w:lineRule="auto"/>
              <w:jc w:val="center"/>
            </w:pPr>
            <w:r>
              <w:rPr>
                <w:rFonts w:ascii="Arial" w:hAnsi="Arial" w:eastAsia="Arial"/>
                <w:b w:val="0"/>
                <w:color w:val="000000"/>
                <w:sz w:val="16"/>
              </w:rPr>
              <w:t>0.94</w:t>
            </w:r>
          </w:p>
        </w:tc>
        <w:tc>
          <w:tcPr>
            <w:tcW w:w="4535" w:type="dxa"/>
            <w:vAlign w:val="center"/>
            <w:shd w:val="clear" w:color="auto" w:fill="FFFFFF"/>
          </w:tcPr>
          <w:p w14:paraId="70807074">
            <w:pPr>
              <w:spacing w:before="0" w:after="0" w:line="240" w:lineRule="auto"/>
              <w:jc w:val="left"/>
            </w:pPr>
            <w:r>
              <w:rPr>
                <w:rFonts w:ascii="Arial" w:hAnsi="Arial" w:eastAsia="Arial"/>
                <w:b w:val="0"/>
                <w:color w:val="000000"/>
                <w:sz w:val="16"/>
              </w:rPr>
              <w:t>McMurray et al., Circulation 2021</w:t>
            </w:r>
          </w:p>
        </w:tc>
      </w:tr>
      <w:tr w14:paraId="0094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64C7B64C">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088528B7">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2A3B4C13">
            <w:pPr>
              <w:spacing w:before="0" w:after="0" w:line="240" w:lineRule="auto"/>
              <w:jc w:val="center"/>
            </w:pPr>
            <w:r>
              <w:rPr>
                <w:rFonts w:ascii="Arial" w:hAnsi="Arial" w:eastAsia="Arial"/>
                <w:b w:val="0"/>
                <w:color w:val="000000"/>
                <w:sz w:val="16"/>
              </w:rPr>
              <w:t>0.64</w:t>
            </w:r>
          </w:p>
        </w:tc>
        <w:tc>
          <w:tcPr>
            <w:tcW w:w="1020" w:type="dxa"/>
            <w:vAlign w:val="center"/>
            <w:shd w:val="clear" w:color="auto" w:fill="FFFFFF"/>
          </w:tcPr>
          <w:p w14:paraId="6AA13F44">
            <w:pPr>
              <w:spacing w:before="0" w:after="0" w:line="240" w:lineRule="auto"/>
              <w:jc w:val="center"/>
            </w:pPr>
            <w:r>
              <w:rPr>
                <w:rFonts w:ascii="Arial" w:hAnsi="Arial" w:eastAsia="Arial"/>
                <w:b w:val="0"/>
                <w:color w:val="000000"/>
                <w:sz w:val="16"/>
              </w:rPr>
              <w:t>0.46</w:t>
            </w:r>
          </w:p>
        </w:tc>
        <w:tc>
          <w:tcPr>
            <w:tcW w:w="1020" w:type="dxa"/>
            <w:vAlign w:val="center"/>
            <w:shd w:val="clear" w:color="auto" w:fill="FFFFFF"/>
          </w:tcPr>
          <w:p w14:paraId="7ADA5FDC">
            <w:pPr>
              <w:spacing w:before="0" w:after="0" w:line="240" w:lineRule="auto"/>
              <w:jc w:val="center"/>
            </w:pPr>
            <w:r>
              <w:rPr>
                <w:rFonts w:ascii="Arial" w:hAnsi="Arial" w:eastAsia="Arial"/>
                <w:b w:val="0"/>
                <w:color w:val="000000"/>
                <w:sz w:val="16"/>
              </w:rPr>
              <w:t>0.88</w:t>
            </w:r>
          </w:p>
        </w:tc>
        <w:tc>
          <w:tcPr>
            <w:tcW w:w="4535" w:type="dxa"/>
            <w:vAlign w:val="center"/>
            <w:shd w:val="clear" w:color="auto" w:fill="FFFFFF"/>
          </w:tcPr>
          <w:p w14:paraId="203A43DA">
            <w:pPr>
              <w:spacing w:before="0" w:after="0" w:line="240" w:lineRule="auto"/>
              <w:jc w:val="left"/>
            </w:pPr>
            <w:r>
              <w:rPr>
                <w:rFonts w:ascii="Arial" w:hAnsi="Arial" w:eastAsia="Arial"/>
                <w:b w:val="0"/>
                <w:color w:val="000000"/>
                <w:sz w:val="16"/>
              </w:rPr>
              <w:t>Wiviott et al., N Engl J Med 2019; published subgroup analysis</w:t>
            </w:r>
          </w:p>
        </w:tc>
      </w:tr>
    </w:tbl>
    <w:p w14:paraId="1A4AD832">
      <w:pPr>
        <w:spacing w:after="80"/>
      </w:pPr>
      <w:r>
        <w:rPr>
          <w:rFonts w:ascii="Arial" w:hAnsi="Arial" w:eastAsia="Arial"/>
          <w:i/>
          <w:color w:val="000000"/>
          <w:sz w:val="16"/>
        </w:rPr>
        <w:t>SOLOIST-WHF was not included because the available estimate combined total heart failure hospitalizations and urgent heart failure visits and was not compatible with a first-HHF estimand.</w:t>
      </w:r>
    </w:p>
    <w:p w14:paraId="643CF820">
      <w:r>
        <w:rPr>
          <w:color w:val="000000"/>
        </w:rPr>
        <w:br w:type="page"/>
      </w:r>
    </w:p>
    <w:p w14:paraId="41907204">
      <w:pPr>
        <w:pStyle w:val="5"/>
        <w:spacing w:before="160" w:after="80"/>
      </w:pPr>
      <w:r>
        <w:rPr>
          <w:rFonts w:ascii="Arial" w:hAnsi="Arial" w:eastAsia="Arial"/>
          <w:color w:val="000000"/>
        </w:rPr>
        <w:t>Panel D. Trial-defined kidney composite outcomes</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8"/>
        <w:gridCol w:w="1814"/>
        <w:gridCol w:w="850"/>
        <w:gridCol w:w="1020"/>
        <w:gridCol w:w="1020"/>
        <w:gridCol w:w="4535"/>
      </w:tblGrid>
      <w:tr w14:paraId="3B5A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68" w:type="dxa"/>
            <w:vAlign w:val="center"/>
            <w:shd w:val="clear" w:color="auto" w:fill="FFFFFF"/>
          </w:tcPr>
          <w:p w14:paraId="6E013382">
            <w:pPr>
              <w:spacing w:before="0" w:after="0" w:line="240" w:lineRule="auto"/>
              <w:jc w:val="center"/>
            </w:pPr>
            <w:r>
              <w:rPr>
                <w:rFonts w:ascii="Arial" w:hAnsi="Arial" w:eastAsia="Arial"/>
                <w:b/>
                <w:color w:val="000000"/>
                <w:sz w:val="16"/>
              </w:rPr>
              <w:t>Study</w:t>
            </w:r>
          </w:p>
        </w:tc>
        <w:tc>
          <w:tcPr>
            <w:tcW w:w="1814" w:type="dxa"/>
            <w:vAlign w:val="center"/>
            <w:shd w:val="clear" w:color="auto" w:fill="FFFFFF"/>
          </w:tcPr>
          <w:p w14:paraId="72F3438E">
            <w:pPr>
              <w:spacing w:before="0" w:after="0" w:line="240" w:lineRule="auto"/>
              <w:jc w:val="center"/>
            </w:pPr>
            <w:r>
              <w:rPr>
                <w:rFonts w:ascii="Arial" w:hAnsi="Arial" w:eastAsia="Arial"/>
                <w:b/>
                <w:color w:val="000000"/>
                <w:sz w:val="16"/>
              </w:rPr>
              <w:t>CKM stage group</w:t>
            </w:r>
          </w:p>
        </w:tc>
        <w:tc>
          <w:tcPr>
            <w:tcW w:w="850" w:type="dxa"/>
            <w:vAlign w:val="center"/>
            <w:shd w:val="clear" w:color="auto" w:fill="FFFFFF"/>
          </w:tcPr>
          <w:p w14:paraId="716323B2">
            <w:pPr>
              <w:spacing w:before="0" w:after="0" w:line="240" w:lineRule="auto"/>
              <w:jc w:val="center"/>
            </w:pPr>
            <w:r>
              <w:rPr>
                <w:rFonts w:ascii="Arial" w:hAnsi="Arial" w:eastAsia="Arial"/>
                <w:b/>
                <w:color w:val="000000"/>
                <w:sz w:val="16"/>
              </w:rPr>
              <w:t>HR</w:t>
            </w:r>
          </w:p>
        </w:tc>
        <w:tc>
          <w:tcPr>
            <w:tcW w:w="1020" w:type="dxa"/>
            <w:vAlign w:val="center"/>
            <w:shd w:val="clear" w:color="auto" w:fill="FFFFFF"/>
          </w:tcPr>
          <w:p w14:paraId="54708893">
            <w:pPr>
              <w:spacing w:before="0" w:after="0" w:line="240" w:lineRule="auto"/>
              <w:jc w:val="center"/>
            </w:pPr>
            <w:r>
              <w:rPr>
                <w:rFonts w:ascii="Arial" w:hAnsi="Arial" w:eastAsia="Arial"/>
                <w:b/>
                <w:color w:val="000000"/>
                <w:sz w:val="16"/>
              </w:rPr>
              <w:t>Lower 95% CI</w:t>
            </w:r>
          </w:p>
        </w:tc>
        <w:tc>
          <w:tcPr>
            <w:tcW w:w="1020" w:type="dxa"/>
            <w:vAlign w:val="center"/>
            <w:shd w:val="clear" w:color="auto" w:fill="FFFFFF"/>
          </w:tcPr>
          <w:p w14:paraId="30C2958F">
            <w:pPr>
              <w:spacing w:before="0" w:after="0" w:line="240" w:lineRule="auto"/>
              <w:jc w:val="center"/>
            </w:pPr>
            <w:r>
              <w:rPr>
                <w:rFonts w:ascii="Arial" w:hAnsi="Arial" w:eastAsia="Arial"/>
                <w:b/>
                <w:color w:val="000000"/>
                <w:sz w:val="16"/>
              </w:rPr>
              <w:t>Upper 95% CI</w:t>
            </w:r>
          </w:p>
        </w:tc>
        <w:tc>
          <w:tcPr>
            <w:tcW w:w="4535" w:type="dxa"/>
            <w:vAlign w:val="center"/>
            <w:shd w:val="clear" w:color="auto" w:fill="FFFFFF"/>
          </w:tcPr>
          <w:p w14:paraId="16BB5CE2">
            <w:pPr>
              <w:spacing w:before="0" w:after="0" w:line="240" w:lineRule="auto"/>
              <w:jc w:val="center"/>
            </w:pPr>
            <w:r>
              <w:rPr>
                <w:rFonts w:ascii="Arial" w:hAnsi="Arial" w:eastAsia="Arial"/>
                <w:b/>
                <w:color w:val="000000"/>
                <w:sz w:val="16"/>
              </w:rPr>
              <w:t>Source publication</w:t>
            </w:r>
          </w:p>
        </w:tc>
      </w:tr>
      <w:tr w14:paraId="72D1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FAF259F">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098281E3">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4086B221">
            <w:pPr>
              <w:spacing w:before="0" w:after="0" w:line="240" w:lineRule="auto"/>
              <w:jc w:val="center"/>
            </w:pPr>
            <w:r>
              <w:rPr>
                <w:rFonts w:ascii="Arial" w:hAnsi="Arial" w:eastAsia="Arial"/>
                <w:b w:val="0"/>
                <w:color w:val="000000"/>
                <w:sz w:val="16"/>
              </w:rPr>
              <w:t>0.59</w:t>
            </w:r>
          </w:p>
        </w:tc>
        <w:tc>
          <w:tcPr>
            <w:tcW w:w="1020" w:type="dxa"/>
            <w:vAlign w:val="center"/>
            <w:shd w:val="clear" w:color="auto" w:fill="FFFFFF"/>
          </w:tcPr>
          <w:p w14:paraId="1DF5C86B">
            <w:pPr>
              <w:spacing w:before="0" w:after="0" w:line="240" w:lineRule="auto"/>
              <w:jc w:val="center"/>
            </w:pPr>
            <w:r>
              <w:rPr>
                <w:rFonts w:ascii="Arial" w:hAnsi="Arial" w:eastAsia="Arial"/>
                <w:b w:val="0"/>
                <w:color w:val="000000"/>
                <w:sz w:val="16"/>
              </w:rPr>
              <w:t>0.44</w:t>
            </w:r>
          </w:p>
        </w:tc>
        <w:tc>
          <w:tcPr>
            <w:tcW w:w="1020" w:type="dxa"/>
            <w:vAlign w:val="center"/>
            <w:shd w:val="clear" w:color="auto" w:fill="FFFFFF"/>
          </w:tcPr>
          <w:p w14:paraId="33832E44">
            <w:pPr>
              <w:spacing w:before="0" w:after="0" w:line="240" w:lineRule="auto"/>
              <w:jc w:val="center"/>
            </w:pPr>
            <w:r>
              <w:rPr>
                <w:rFonts w:ascii="Arial" w:hAnsi="Arial" w:eastAsia="Arial"/>
                <w:b w:val="0"/>
                <w:color w:val="000000"/>
                <w:sz w:val="16"/>
              </w:rPr>
              <w:t>0.79</w:t>
            </w:r>
          </w:p>
        </w:tc>
        <w:tc>
          <w:tcPr>
            <w:tcW w:w="4535" w:type="dxa"/>
            <w:vAlign w:val="center"/>
            <w:shd w:val="clear" w:color="auto" w:fill="FFFFFF"/>
          </w:tcPr>
          <w:p w14:paraId="02E3657E">
            <w:pPr>
              <w:spacing w:before="0" w:after="0" w:line="240" w:lineRule="auto"/>
              <w:jc w:val="left"/>
            </w:pPr>
            <w:r>
              <w:rPr>
                <w:rFonts w:ascii="Arial" w:hAnsi="Arial" w:eastAsia="Arial"/>
                <w:b w:val="0"/>
                <w:color w:val="000000"/>
                <w:sz w:val="16"/>
              </w:rPr>
              <w:t>Mahaffey et al., Circulation 2018</w:t>
            </w:r>
          </w:p>
        </w:tc>
      </w:tr>
      <w:tr w14:paraId="02E8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7F9DB21">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553D7A9B">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0CBE2912">
            <w:pPr>
              <w:spacing w:before="0" w:after="0" w:line="240" w:lineRule="auto"/>
              <w:jc w:val="center"/>
            </w:pPr>
            <w:r>
              <w:rPr>
                <w:rFonts w:ascii="Arial" w:hAnsi="Arial" w:eastAsia="Arial"/>
                <w:b w:val="0"/>
                <w:color w:val="000000"/>
                <w:sz w:val="16"/>
              </w:rPr>
              <w:t>0.64</w:t>
            </w:r>
          </w:p>
        </w:tc>
        <w:tc>
          <w:tcPr>
            <w:tcW w:w="1020" w:type="dxa"/>
            <w:vAlign w:val="center"/>
            <w:shd w:val="clear" w:color="auto" w:fill="FFFFFF"/>
          </w:tcPr>
          <w:p w14:paraId="19173ABB">
            <w:pPr>
              <w:spacing w:before="0" w:after="0" w:line="240" w:lineRule="auto"/>
              <w:jc w:val="center"/>
            </w:pPr>
            <w:r>
              <w:rPr>
                <w:rFonts w:ascii="Arial" w:hAnsi="Arial" w:eastAsia="Arial"/>
                <w:b w:val="0"/>
                <w:color w:val="000000"/>
                <w:sz w:val="16"/>
              </w:rPr>
              <w:t>0.47</w:t>
            </w:r>
          </w:p>
        </w:tc>
        <w:tc>
          <w:tcPr>
            <w:tcW w:w="1020" w:type="dxa"/>
            <w:vAlign w:val="center"/>
            <w:shd w:val="clear" w:color="auto" w:fill="FFFFFF"/>
          </w:tcPr>
          <w:p w14:paraId="47DF41FB">
            <w:pPr>
              <w:spacing w:before="0" w:after="0" w:line="240" w:lineRule="auto"/>
              <w:jc w:val="center"/>
            </w:pPr>
            <w:r>
              <w:rPr>
                <w:rFonts w:ascii="Arial" w:hAnsi="Arial" w:eastAsia="Arial"/>
                <w:b w:val="0"/>
                <w:color w:val="000000"/>
                <w:sz w:val="16"/>
              </w:rPr>
              <w:t>0.87</w:t>
            </w:r>
          </w:p>
        </w:tc>
        <w:tc>
          <w:tcPr>
            <w:tcW w:w="4535" w:type="dxa"/>
            <w:vAlign w:val="center"/>
            <w:shd w:val="clear" w:color="auto" w:fill="FFFFFF"/>
          </w:tcPr>
          <w:p w14:paraId="1917080B">
            <w:pPr>
              <w:spacing w:before="0" w:after="0" w:line="240" w:lineRule="auto"/>
              <w:jc w:val="left"/>
            </w:pPr>
            <w:r>
              <w:rPr>
                <w:rFonts w:ascii="Arial" w:hAnsi="Arial" w:eastAsia="Arial"/>
                <w:b w:val="0"/>
                <w:color w:val="000000"/>
                <w:sz w:val="16"/>
              </w:rPr>
              <w:t>Mahaffey et al., Circulation 2019</w:t>
            </w:r>
          </w:p>
        </w:tc>
      </w:tr>
      <w:tr w14:paraId="79CF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979CF0A">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56B507A5">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2458DF17">
            <w:pPr>
              <w:spacing w:before="0" w:after="0" w:line="240" w:lineRule="auto"/>
              <w:jc w:val="center"/>
            </w:pPr>
            <w:r>
              <w:rPr>
                <w:rFonts w:ascii="Arial" w:hAnsi="Arial" w:eastAsia="Arial"/>
                <w:b w:val="0"/>
                <w:color w:val="000000"/>
                <w:sz w:val="16"/>
              </w:rPr>
              <w:t>0.49</w:t>
            </w:r>
          </w:p>
        </w:tc>
        <w:tc>
          <w:tcPr>
            <w:tcW w:w="1020" w:type="dxa"/>
            <w:vAlign w:val="center"/>
            <w:shd w:val="clear" w:color="auto" w:fill="FFFFFF"/>
          </w:tcPr>
          <w:p w14:paraId="13A407C5">
            <w:pPr>
              <w:spacing w:before="0" w:after="0" w:line="240" w:lineRule="auto"/>
              <w:jc w:val="center"/>
            </w:pPr>
            <w:r>
              <w:rPr>
                <w:rFonts w:ascii="Arial" w:hAnsi="Arial" w:eastAsia="Arial"/>
                <w:b w:val="0"/>
                <w:color w:val="000000"/>
                <w:sz w:val="16"/>
              </w:rPr>
              <w:t>0.34</w:t>
            </w:r>
          </w:p>
        </w:tc>
        <w:tc>
          <w:tcPr>
            <w:tcW w:w="1020" w:type="dxa"/>
            <w:vAlign w:val="center"/>
            <w:shd w:val="clear" w:color="auto" w:fill="FFFFFF"/>
          </w:tcPr>
          <w:p w14:paraId="50E45982">
            <w:pPr>
              <w:spacing w:before="0" w:after="0" w:line="240" w:lineRule="auto"/>
              <w:jc w:val="center"/>
            </w:pPr>
            <w:r>
              <w:rPr>
                <w:rFonts w:ascii="Arial" w:hAnsi="Arial" w:eastAsia="Arial"/>
                <w:b w:val="0"/>
                <w:color w:val="000000"/>
                <w:sz w:val="16"/>
              </w:rPr>
              <w:t>0.69</w:t>
            </w:r>
          </w:p>
        </w:tc>
        <w:tc>
          <w:tcPr>
            <w:tcW w:w="4535" w:type="dxa"/>
            <w:vAlign w:val="center"/>
            <w:shd w:val="clear" w:color="auto" w:fill="FFFFFF"/>
          </w:tcPr>
          <w:p w14:paraId="3101288B">
            <w:pPr>
              <w:spacing w:before="0" w:after="0" w:line="240" w:lineRule="auto"/>
              <w:jc w:val="left"/>
            </w:pPr>
            <w:r>
              <w:rPr>
                <w:rFonts w:ascii="Arial" w:hAnsi="Arial" w:eastAsia="Arial"/>
                <w:b w:val="0"/>
                <w:color w:val="000000"/>
                <w:sz w:val="16"/>
              </w:rPr>
              <w:t>McMurray et al., Circulation 2021</w:t>
            </w:r>
          </w:p>
        </w:tc>
      </w:tr>
      <w:tr w14:paraId="4C24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2EB8A36B">
            <w:pPr>
              <w:spacing w:before="0" w:after="0" w:line="240" w:lineRule="auto"/>
              <w:jc w:val="left"/>
            </w:pPr>
            <w:r>
              <w:rPr>
                <w:rFonts w:ascii="Arial" w:hAnsi="Arial" w:eastAsia="Arial"/>
                <w:b w:val="0"/>
                <w:color w:val="000000"/>
                <w:sz w:val="16"/>
              </w:rPr>
              <w:t>DAPA-HF</w:t>
            </w:r>
          </w:p>
        </w:tc>
        <w:tc>
          <w:tcPr>
            <w:tcW w:w="1814" w:type="dxa"/>
            <w:vAlign w:val="center"/>
            <w:shd w:val="clear" w:color="auto" w:fill="FFFFFF"/>
          </w:tcPr>
          <w:p w14:paraId="67B88F68">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07722147">
            <w:pPr>
              <w:spacing w:before="0" w:after="0" w:line="240" w:lineRule="auto"/>
              <w:jc w:val="center"/>
            </w:pPr>
            <w:r>
              <w:rPr>
                <w:rFonts w:ascii="Arial" w:hAnsi="Arial" w:eastAsia="Arial"/>
                <w:b w:val="0"/>
                <w:color w:val="000000"/>
                <w:sz w:val="16"/>
              </w:rPr>
              <w:t>0.71</w:t>
            </w:r>
          </w:p>
        </w:tc>
        <w:tc>
          <w:tcPr>
            <w:tcW w:w="1020" w:type="dxa"/>
            <w:vAlign w:val="center"/>
            <w:shd w:val="clear" w:color="auto" w:fill="FFFFFF"/>
          </w:tcPr>
          <w:p w14:paraId="7D019845">
            <w:pPr>
              <w:spacing w:before="0" w:after="0" w:line="240" w:lineRule="auto"/>
              <w:jc w:val="center"/>
            </w:pPr>
            <w:r>
              <w:rPr>
                <w:rFonts w:ascii="Arial" w:hAnsi="Arial" w:eastAsia="Arial"/>
                <w:b w:val="0"/>
                <w:color w:val="000000"/>
                <w:sz w:val="16"/>
              </w:rPr>
              <w:t>0.44</w:t>
            </w:r>
          </w:p>
        </w:tc>
        <w:tc>
          <w:tcPr>
            <w:tcW w:w="1020" w:type="dxa"/>
            <w:vAlign w:val="center"/>
            <w:shd w:val="clear" w:color="auto" w:fill="FFFFFF"/>
          </w:tcPr>
          <w:p w14:paraId="47B5448F">
            <w:pPr>
              <w:spacing w:before="0" w:after="0" w:line="240" w:lineRule="auto"/>
              <w:jc w:val="center"/>
            </w:pPr>
            <w:r>
              <w:rPr>
                <w:rFonts w:ascii="Arial" w:hAnsi="Arial" w:eastAsia="Arial"/>
                <w:b w:val="0"/>
                <w:color w:val="000000"/>
                <w:sz w:val="16"/>
              </w:rPr>
              <w:t>1.16</w:t>
            </w:r>
          </w:p>
        </w:tc>
        <w:tc>
          <w:tcPr>
            <w:tcW w:w="4535" w:type="dxa"/>
            <w:vAlign w:val="center"/>
            <w:shd w:val="clear" w:color="auto" w:fill="FFFFFF"/>
          </w:tcPr>
          <w:p w14:paraId="3B2CB000">
            <w:pPr>
              <w:spacing w:before="0" w:after="0" w:line="240" w:lineRule="auto"/>
              <w:jc w:val="left"/>
            </w:pPr>
            <w:r>
              <w:rPr>
                <w:rFonts w:ascii="Arial" w:hAnsi="Arial" w:eastAsia="Arial"/>
                <w:b w:val="0"/>
                <w:color w:val="000000"/>
                <w:sz w:val="16"/>
              </w:rPr>
              <w:t>McMurray et al., N Engl J Med 2019</w:t>
            </w:r>
          </w:p>
        </w:tc>
      </w:tr>
      <w:tr w14:paraId="21E0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C5EA093">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146EC5F0">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58D7FF63">
            <w:pPr>
              <w:spacing w:before="0" w:after="0" w:line="240" w:lineRule="auto"/>
              <w:jc w:val="center"/>
            </w:pPr>
            <w:r>
              <w:rPr>
                <w:rFonts w:ascii="Arial" w:hAnsi="Arial" w:eastAsia="Arial"/>
                <w:b w:val="0"/>
                <w:color w:val="000000"/>
                <w:sz w:val="16"/>
              </w:rPr>
              <w:t>0.55</w:t>
            </w:r>
          </w:p>
        </w:tc>
        <w:tc>
          <w:tcPr>
            <w:tcW w:w="1020" w:type="dxa"/>
            <w:vAlign w:val="center"/>
            <w:shd w:val="clear" w:color="auto" w:fill="FFFFFF"/>
          </w:tcPr>
          <w:p w14:paraId="1FAC5A1F">
            <w:pPr>
              <w:spacing w:before="0" w:after="0" w:line="240" w:lineRule="auto"/>
              <w:jc w:val="center"/>
            </w:pPr>
            <w:r>
              <w:rPr>
                <w:rFonts w:ascii="Arial" w:hAnsi="Arial" w:eastAsia="Arial"/>
                <w:b w:val="0"/>
                <w:color w:val="000000"/>
                <w:sz w:val="16"/>
              </w:rPr>
              <w:t>0.41</w:t>
            </w:r>
          </w:p>
        </w:tc>
        <w:tc>
          <w:tcPr>
            <w:tcW w:w="1020" w:type="dxa"/>
            <w:vAlign w:val="center"/>
            <w:shd w:val="clear" w:color="auto" w:fill="FFFFFF"/>
          </w:tcPr>
          <w:p w14:paraId="67BB9134">
            <w:pPr>
              <w:spacing w:before="0" w:after="0" w:line="240" w:lineRule="auto"/>
              <w:jc w:val="center"/>
            </w:pPr>
            <w:r>
              <w:rPr>
                <w:rFonts w:ascii="Arial" w:hAnsi="Arial" w:eastAsia="Arial"/>
                <w:b w:val="0"/>
                <w:color w:val="000000"/>
                <w:sz w:val="16"/>
              </w:rPr>
              <w:t>0.75</w:t>
            </w:r>
          </w:p>
        </w:tc>
        <w:tc>
          <w:tcPr>
            <w:tcW w:w="4535" w:type="dxa"/>
            <w:vAlign w:val="center"/>
            <w:shd w:val="clear" w:color="auto" w:fill="FFFFFF"/>
          </w:tcPr>
          <w:p w14:paraId="6651B963">
            <w:pPr>
              <w:spacing w:before="0" w:after="0" w:line="240" w:lineRule="auto"/>
              <w:jc w:val="left"/>
            </w:pPr>
            <w:r>
              <w:rPr>
                <w:rFonts w:ascii="Arial" w:hAnsi="Arial" w:eastAsia="Arial"/>
                <w:b w:val="0"/>
                <w:color w:val="000000"/>
                <w:sz w:val="16"/>
              </w:rPr>
              <w:t>Mosenzon et al., Lancet Diabetes Endocrinol 2019; subgroup source</w:t>
            </w:r>
          </w:p>
        </w:tc>
      </w:tr>
      <w:tr w14:paraId="3E2C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41E0D19">
            <w:pPr>
              <w:spacing w:before="0" w:after="0" w:line="240" w:lineRule="auto"/>
              <w:jc w:val="left"/>
            </w:pPr>
            <w:r>
              <w:rPr>
                <w:rFonts w:ascii="Arial" w:hAnsi="Arial" w:eastAsia="Arial"/>
                <w:b w:val="0"/>
                <w:color w:val="000000"/>
                <w:sz w:val="16"/>
              </w:rPr>
              <w:t>EMPA-REG OUTCOME</w:t>
            </w:r>
          </w:p>
        </w:tc>
        <w:tc>
          <w:tcPr>
            <w:tcW w:w="1814" w:type="dxa"/>
            <w:vAlign w:val="center"/>
            <w:shd w:val="clear" w:color="auto" w:fill="FFFFFF"/>
          </w:tcPr>
          <w:p w14:paraId="3385BC0B">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56DFF5B0">
            <w:pPr>
              <w:spacing w:before="0" w:after="0" w:line="240" w:lineRule="auto"/>
              <w:jc w:val="center"/>
            </w:pPr>
            <w:r>
              <w:rPr>
                <w:rFonts w:ascii="Arial" w:hAnsi="Arial" w:eastAsia="Arial"/>
                <w:b w:val="0"/>
                <w:color w:val="000000"/>
                <w:sz w:val="16"/>
              </w:rPr>
              <w:t>0.54</w:t>
            </w:r>
          </w:p>
        </w:tc>
        <w:tc>
          <w:tcPr>
            <w:tcW w:w="1020" w:type="dxa"/>
            <w:vAlign w:val="center"/>
            <w:shd w:val="clear" w:color="auto" w:fill="FFFFFF"/>
          </w:tcPr>
          <w:p w14:paraId="421B8FDC">
            <w:pPr>
              <w:spacing w:before="0" w:after="0" w:line="240" w:lineRule="auto"/>
              <w:jc w:val="center"/>
            </w:pPr>
            <w:r>
              <w:rPr>
                <w:rFonts w:ascii="Arial" w:hAnsi="Arial" w:eastAsia="Arial"/>
                <w:b w:val="0"/>
                <w:color w:val="000000"/>
                <w:sz w:val="16"/>
              </w:rPr>
              <w:t>0.40</w:t>
            </w:r>
          </w:p>
        </w:tc>
        <w:tc>
          <w:tcPr>
            <w:tcW w:w="1020" w:type="dxa"/>
            <w:vAlign w:val="center"/>
            <w:shd w:val="clear" w:color="auto" w:fill="FFFFFF"/>
          </w:tcPr>
          <w:p w14:paraId="31A3E70A">
            <w:pPr>
              <w:spacing w:before="0" w:after="0" w:line="240" w:lineRule="auto"/>
              <w:jc w:val="center"/>
            </w:pPr>
            <w:r>
              <w:rPr>
                <w:rFonts w:ascii="Arial" w:hAnsi="Arial" w:eastAsia="Arial"/>
                <w:b w:val="0"/>
                <w:color w:val="000000"/>
                <w:sz w:val="16"/>
              </w:rPr>
              <w:t>0.75</w:t>
            </w:r>
          </w:p>
        </w:tc>
        <w:tc>
          <w:tcPr>
            <w:tcW w:w="4535" w:type="dxa"/>
            <w:vAlign w:val="center"/>
            <w:shd w:val="clear" w:color="auto" w:fill="FFFFFF"/>
          </w:tcPr>
          <w:p w14:paraId="7FCE9C2F">
            <w:pPr>
              <w:spacing w:before="0" w:after="0" w:line="240" w:lineRule="auto"/>
              <w:jc w:val="left"/>
            </w:pPr>
            <w:r>
              <w:rPr>
                <w:rFonts w:ascii="Arial" w:hAnsi="Arial" w:eastAsia="Arial"/>
                <w:b w:val="0"/>
                <w:color w:val="000000"/>
                <w:sz w:val="16"/>
              </w:rPr>
              <w:t>Wanner et al., N Engl J Med 2016</w:t>
            </w:r>
          </w:p>
        </w:tc>
      </w:tr>
      <w:tr w14:paraId="7789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5F2D29D">
            <w:pPr>
              <w:spacing w:before="0" w:after="0" w:line="240" w:lineRule="auto"/>
              <w:jc w:val="left"/>
            </w:pPr>
            <w:r>
              <w:rPr>
                <w:rFonts w:ascii="Arial" w:hAnsi="Arial" w:eastAsia="Arial"/>
                <w:b w:val="0"/>
                <w:color w:val="000000"/>
                <w:sz w:val="16"/>
              </w:rPr>
              <w:t>EMPEROR-Preserved</w:t>
            </w:r>
          </w:p>
        </w:tc>
        <w:tc>
          <w:tcPr>
            <w:tcW w:w="1814" w:type="dxa"/>
            <w:vAlign w:val="center"/>
            <w:shd w:val="clear" w:color="auto" w:fill="FFFFFF"/>
          </w:tcPr>
          <w:p w14:paraId="047A2CEA">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364871CA">
            <w:pPr>
              <w:spacing w:before="0" w:after="0" w:line="240" w:lineRule="auto"/>
              <w:jc w:val="center"/>
            </w:pPr>
            <w:r>
              <w:rPr>
                <w:rFonts w:ascii="Arial" w:hAnsi="Arial" w:eastAsia="Arial"/>
                <w:b w:val="0"/>
                <w:color w:val="000000"/>
                <w:sz w:val="16"/>
              </w:rPr>
              <w:t>0.95</w:t>
            </w:r>
          </w:p>
        </w:tc>
        <w:tc>
          <w:tcPr>
            <w:tcW w:w="1020" w:type="dxa"/>
            <w:vAlign w:val="center"/>
            <w:shd w:val="clear" w:color="auto" w:fill="FFFFFF"/>
          </w:tcPr>
          <w:p w14:paraId="6858452A">
            <w:pPr>
              <w:spacing w:before="0" w:after="0" w:line="240" w:lineRule="auto"/>
              <w:jc w:val="center"/>
            </w:pPr>
            <w:r>
              <w:rPr>
                <w:rFonts w:ascii="Arial" w:hAnsi="Arial" w:eastAsia="Arial"/>
                <w:b w:val="0"/>
                <w:color w:val="000000"/>
                <w:sz w:val="16"/>
              </w:rPr>
              <w:t>0.73</w:t>
            </w:r>
          </w:p>
        </w:tc>
        <w:tc>
          <w:tcPr>
            <w:tcW w:w="1020" w:type="dxa"/>
            <w:vAlign w:val="center"/>
            <w:shd w:val="clear" w:color="auto" w:fill="FFFFFF"/>
          </w:tcPr>
          <w:p w14:paraId="3683498D">
            <w:pPr>
              <w:spacing w:before="0" w:after="0" w:line="240" w:lineRule="auto"/>
              <w:jc w:val="center"/>
            </w:pPr>
            <w:r>
              <w:rPr>
                <w:rFonts w:ascii="Arial" w:hAnsi="Arial" w:eastAsia="Arial"/>
                <w:b w:val="0"/>
                <w:color w:val="000000"/>
                <w:sz w:val="16"/>
              </w:rPr>
              <w:t>1.24</w:t>
            </w:r>
          </w:p>
        </w:tc>
        <w:tc>
          <w:tcPr>
            <w:tcW w:w="4535" w:type="dxa"/>
            <w:vAlign w:val="center"/>
            <w:shd w:val="clear" w:color="auto" w:fill="FFFFFF"/>
          </w:tcPr>
          <w:p w14:paraId="331623F3">
            <w:pPr>
              <w:spacing w:before="0" w:after="0" w:line="240" w:lineRule="auto"/>
              <w:jc w:val="left"/>
            </w:pPr>
            <w:r>
              <w:rPr>
                <w:rFonts w:ascii="Arial" w:hAnsi="Arial" w:eastAsia="Arial"/>
                <w:b w:val="0"/>
                <w:color w:val="000000"/>
                <w:sz w:val="16"/>
              </w:rPr>
              <w:t>Anker et al., N Engl J Med 2021; Supplementary Appendix</w:t>
            </w:r>
          </w:p>
        </w:tc>
      </w:tr>
      <w:tr w14:paraId="3BC5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EE39D26">
            <w:pPr>
              <w:spacing w:before="0" w:after="0" w:line="240" w:lineRule="auto"/>
              <w:jc w:val="left"/>
            </w:pPr>
            <w:r>
              <w:rPr>
                <w:rFonts w:ascii="Arial" w:hAnsi="Arial" w:eastAsia="Arial"/>
                <w:b w:val="0"/>
                <w:color w:val="000000"/>
                <w:sz w:val="16"/>
              </w:rPr>
              <w:t>EMPEROR-Reduced</w:t>
            </w:r>
          </w:p>
        </w:tc>
        <w:tc>
          <w:tcPr>
            <w:tcW w:w="1814" w:type="dxa"/>
            <w:vAlign w:val="center"/>
            <w:shd w:val="clear" w:color="auto" w:fill="FFFFFF"/>
          </w:tcPr>
          <w:p w14:paraId="072C347C">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53295250">
            <w:pPr>
              <w:spacing w:before="0" w:after="0" w:line="240" w:lineRule="auto"/>
              <w:jc w:val="center"/>
            </w:pPr>
            <w:r>
              <w:rPr>
                <w:rFonts w:ascii="Arial" w:hAnsi="Arial" w:eastAsia="Arial"/>
                <w:b w:val="0"/>
                <w:color w:val="000000"/>
                <w:sz w:val="16"/>
              </w:rPr>
              <w:t>0.50</w:t>
            </w:r>
          </w:p>
        </w:tc>
        <w:tc>
          <w:tcPr>
            <w:tcW w:w="1020" w:type="dxa"/>
            <w:vAlign w:val="center"/>
            <w:shd w:val="clear" w:color="auto" w:fill="FFFFFF"/>
          </w:tcPr>
          <w:p w14:paraId="453F4D12">
            <w:pPr>
              <w:spacing w:before="0" w:after="0" w:line="240" w:lineRule="auto"/>
              <w:jc w:val="center"/>
            </w:pPr>
            <w:r>
              <w:rPr>
                <w:rFonts w:ascii="Arial" w:hAnsi="Arial" w:eastAsia="Arial"/>
                <w:b w:val="0"/>
                <w:color w:val="000000"/>
                <w:sz w:val="16"/>
              </w:rPr>
              <w:t>0.32</w:t>
            </w:r>
          </w:p>
        </w:tc>
        <w:tc>
          <w:tcPr>
            <w:tcW w:w="1020" w:type="dxa"/>
            <w:vAlign w:val="center"/>
            <w:shd w:val="clear" w:color="auto" w:fill="FFFFFF"/>
          </w:tcPr>
          <w:p w14:paraId="55120844">
            <w:pPr>
              <w:spacing w:before="0" w:after="0" w:line="240" w:lineRule="auto"/>
              <w:jc w:val="center"/>
            </w:pPr>
            <w:r>
              <w:rPr>
                <w:rFonts w:ascii="Arial" w:hAnsi="Arial" w:eastAsia="Arial"/>
                <w:b w:val="0"/>
                <w:color w:val="000000"/>
                <w:sz w:val="16"/>
              </w:rPr>
              <w:t>0.77</w:t>
            </w:r>
          </w:p>
        </w:tc>
        <w:tc>
          <w:tcPr>
            <w:tcW w:w="4535" w:type="dxa"/>
            <w:vAlign w:val="center"/>
            <w:shd w:val="clear" w:color="auto" w:fill="FFFFFF"/>
          </w:tcPr>
          <w:p w14:paraId="20798E09">
            <w:pPr>
              <w:spacing w:before="0" w:after="0" w:line="240" w:lineRule="auto"/>
              <w:jc w:val="left"/>
            </w:pPr>
            <w:r>
              <w:rPr>
                <w:rFonts w:ascii="Arial" w:hAnsi="Arial" w:eastAsia="Arial"/>
                <w:b w:val="0"/>
                <w:color w:val="000000"/>
                <w:sz w:val="16"/>
              </w:rPr>
              <w:t>Packer et al., N Engl J Med 2020</w:t>
            </w:r>
          </w:p>
        </w:tc>
      </w:tr>
      <w:tr w14:paraId="375B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868CC63">
            <w:pPr>
              <w:spacing w:before="0" w:after="0" w:line="240" w:lineRule="auto"/>
              <w:jc w:val="left"/>
            </w:pPr>
            <w:r>
              <w:rPr>
                <w:rFonts w:ascii="Arial" w:hAnsi="Arial" w:eastAsia="Arial"/>
                <w:b w:val="0"/>
                <w:color w:val="000000"/>
                <w:sz w:val="16"/>
              </w:rPr>
              <w:t>VERTIS CV</w:t>
            </w:r>
          </w:p>
        </w:tc>
        <w:tc>
          <w:tcPr>
            <w:tcW w:w="1814" w:type="dxa"/>
            <w:vAlign w:val="center"/>
            <w:shd w:val="clear" w:color="auto" w:fill="FFFFFF"/>
          </w:tcPr>
          <w:p w14:paraId="5DCDD9E9">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6CA57845">
            <w:pPr>
              <w:spacing w:before="0" w:after="0" w:line="240" w:lineRule="auto"/>
              <w:jc w:val="center"/>
            </w:pPr>
            <w:r>
              <w:rPr>
                <w:rFonts w:ascii="Arial" w:hAnsi="Arial" w:eastAsia="Arial"/>
                <w:b w:val="0"/>
                <w:color w:val="000000"/>
                <w:sz w:val="16"/>
              </w:rPr>
              <w:t>0.81</w:t>
            </w:r>
          </w:p>
        </w:tc>
        <w:tc>
          <w:tcPr>
            <w:tcW w:w="1020" w:type="dxa"/>
            <w:vAlign w:val="center"/>
            <w:shd w:val="clear" w:color="auto" w:fill="FFFFFF"/>
          </w:tcPr>
          <w:p w14:paraId="35E68422">
            <w:pPr>
              <w:spacing w:before="0" w:after="0" w:line="240" w:lineRule="auto"/>
              <w:jc w:val="center"/>
            </w:pPr>
            <w:r>
              <w:rPr>
                <w:rFonts w:ascii="Arial" w:hAnsi="Arial" w:eastAsia="Arial"/>
                <w:b w:val="0"/>
                <w:color w:val="000000"/>
                <w:sz w:val="16"/>
              </w:rPr>
              <w:t>0.63</w:t>
            </w:r>
          </w:p>
        </w:tc>
        <w:tc>
          <w:tcPr>
            <w:tcW w:w="1020" w:type="dxa"/>
            <w:vAlign w:val="center"/>
            <w:shd w:val="clear" w:color="auto" w:fill="FFFFFF"/>
          </w:tcPr>
          <w:p w14:paraId="548D2CEE">
            <w:pPr>
              <w:spacing w:before="0" w:after="0" w:line="240" w:lineRule="auto"/>
              <w:jc w:val="center"/>
            </w:pPr>
            <w:r>
              <w:rPr>
                <w:rFonts w:ascii="Arial" w:hAnsi="Arial" w:eastAsia="Arial"/>
                <w:b w:val="0"/>
                <w:color w:val="000000"/>
                <w:sz w:val="16"/>
              </w:rPr>
              <w:t>1.04</w:t>
            </w:r>
          </w:p>
        </w:tc>
        <w:tc>
          <w:tcPr>
            <w:tcW w:w="4535" w:type="dxa"/>
            <w:vAlign w:val="center"/>
            <w:shd w:val="clear" w:color="auto" w:fill="FFFFFF"/>
          </w:tcPr>
          <w:p w14:paraId="7B3871C6">
            <w:pPr>
              <w:spacing w:before="0" w:after="0" w:line="240" w:lineRule="auto"/>
              <w:jc w:val="left"/>
            </w:pPr>
            <w:r>
              <w:rPr>
                <w:rFonts w:ascii="Arial" w:hAnsi="Arial" w:eastAsia="Arial"/>
                <w:b w:val="0"/>
                <w:color w:val="000000"/>
                <w:sz w:val="16"/>
              </w:rPr>
              <w:t>Cannon et al., N Engl J Med 2020</w:t>
            </w:r>
          </w:p>
        </w:tc>
      </w:tr>
      <w:tr w14:paraId="3FDE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844C129">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164175AE">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35CCBC27">
            <w:pPr>
              <w:spacing w:before="0" w:after="0" w:line="240" w:lineRule="auto"/>
              <w:jc w:val="center"/>
            </w:pPr>
            <w:r>
              <w:rPr>
                <w:rFonts w:ascii="Arial" w:hAnsi="Arial" w:eastAsia="Arial"/>
                <w:b w:val="0"/>
                <w:color w:val="000000"/>
                <w:sz w:val="16"/>
              </w:rPr>
              <w:t>0.63</w:t>
            </w:r>
          </w:p>
        </w:tc>
        <w:tc>
          <w:tcPr>
            <w:tcW w:w="1020" w:type="dxa"/>
            <w:vAlign w:val="center"/>
            <w:shd w:val="clear" w:color="auto" w:fill="FFFFFF"/>
          </w:tcPr>
          <w:p w14:paraId="39A04044">
            <w:pPr>
              <w:spacing w:before="0" w:after="0" w:line="240" w:lineRule="auto"/>
              <w:jc w:val="center"/>
            </w:pPr>
            <w:r>
              <w:rPr>
                <w:rFonts w:ascii="Arial" w:hAnsi="Arial" w:eastAsia="Arial"/>
                <w:b w:val="0"/>
                <w:color w:val="000000"/>
                <w:sz w:val="16"/>
              </w:rPr>
              <w:t>0.39</w:t>
            </w:r>
          </w:p>
        </w:tc>
        <w:tc>
          <w:tcPr>
            <w:tcW w:w="1020" w:type="dxa"/>
            <w:vAlign w:val="center"/>
            <w:shd w:val="clear" w:color="auto" w:fill="FFFFFF"/>
          </w:tcPr>
          <w:p w14:paraId="23608537">
            <w:pPr>
              <w:spacing w:before="0" w:after="0" w:line="240" w:lineRule="auto"/>
              <w:jc w:val="center"/>
            </w:pPr>
            <w:r>
              <w:rPr>
                <w:rFonts w:ascii="Arial" w:hAnsi="Arial" w:eastAsia="Arial"/>
                <w:b w:val="0"/>
                <w:color w:val="000000"/>
                <w:sz w:val="16"/>
              </w:rPr>
              <w:t>1.02</w:t>
            </w:r>
          </w:p>
        </w:tc>
        <w:tc>
          <w:tcPr>
            <w:tcW w:w="4535" w:type="dxa"/>
            <w:vAlign w:val="center"/>
            <w:shd w:val="clear" w:color="auto" w:fill="FFFFFF"/>
          </w:tcPr>
          <w:p w14:paraId="0C760754">
            <w:pPr>
              <w:spacing w:before="0" w:after="0" w:line="240" w:lineRule="auto"/>
              <w:jc w:val="left"/>
            </w:pPr>
            <w:r>
              <w:rPr>
                <w:rFonts w:ascii="Arial" w:hAnsi="Arial" w:eastAsia="Arial"/>
                <w:b w:val="0"/>
                <w:color w:val="000000"/>
                <w:sz w:val="16"/>
              </w:rPr>
              <w:t>Mahaffey et al., Circulation 2018</w:t>
            </w:r>
          </w:p>
        </w:tc>
      </w:tr>
      <w:tr w14:paraId="6BE5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4D8C6B5A">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1FE98D83">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74F19F22">
            <w:pPr>
              <w:spacing w:before="0" w:after="0" w:line="240" w:lineRule="auto"/>
              <w:jc w:val="center"/>
            </w:pPr>
            <w:r>
              <w:rPr>
                <w:rFonts w:ascii="Arial" w:hAnsi="Arial" w:eastAsia="Arial"/>
                <w:b w:val="0"/>
                <w:color w:val="000000"/>
                <w:sz w:val="16"/>
              </w:rPr>
              <w:t>0.68</w:t>
            </w:r>
          </w:p>
        </w:tc>
        <w:tc>
          <w:tcPr>
            <w:tcW w:w="1020" w:type="dxa"/>
            <w:vAlign w:val="center"/>
            <w:shd w:val="clear" w:color="auto" w:fill="FFFFFF"/>
          </w:tcPr>
          <w:p w14:paraId="2A329E43">
            <w:pPr>
              <w:spacing w:before="0" w:after="0" w:line="240" w:lineRule="auto"/>
              <w:jc w:val="center"/>
            </w:pPr>
            <w:r>
              <w:rPr>
                <w:rFonts w:ascii="Arial" w:hAnsi="Arial" w:eastAsia="Arial"/>
                <w:b w:val="0"/>
                <w:color w:val="000000"/>
                <w:sz w:val="16"/>
              </w:rPr>
              <w:t>0.51</w:t>
            </w:r>
          </w:p>
        </w:tc>
        <w:tc>
          <w:tcPr>
            <w:tcW w:w="1020" w:type="dxa"/>
            <w:vAlign w:val="center"/>
            <w:shd w:val="clear" w:color="auto" w:fill="FFFFFF"/>
          </w:tcPr>
          <w:p w14:paraId="610F1D35">
            <w:pPr>
              <w:spacing w:before="0" w:after="0" w:line="240" w:lineRule="auto"/>
              <w:jc w:val="center"/>
            </w:pPr>
            <w:r>
              <w:rPr>
                <w:rFonts w:ascii="Arial" w:hAnsi="Arial" w:eastAsia="Arial"/>
                <w:b w:val="0"/>
                <w:color w:val="000000"/>
                <w:sz w:val="16"/>
              </w:rPr>
              <w:t>0.89</w:t>
            </w:r>
          </w:p>
        </w:tc>
        <w:tc>
          <w:tcPr>
            <w:tcW w:w="4535" w:type="dxa"/>
            <w:vAlign w:val="center"/>
            <w:shd w:val="clear" w:color="auto" w:fill="FFFFFF"/>
          </w:tcPr>
          <w:p w14:paraId="420E50FE">
            <w:pPr>
              <w:spacing w:before="0" w:after="0" w:line="240" w:lineRule="auto"/>
              <w:jc w:val="left"/>
            </w:pPr>
            <w:r>
              <w:rPr>
                <w:rFonts w:ascii="Arial" w:hAnsi="Arial" w:eastAsia="Arial"/>
                <w:b w:val="0"/>
                <w:color w:val="000000"/>
                <w:sz w:val="16"/>
              </w:rPr>
              <w:t>Mahaffey et al., Circulation 2019</w:t>
            </w:r>
          </w:p>
        </w:tc>
      </w:tr>
      <w:tr w14:paraId="6785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6176DAC">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37C659C8">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039B9DCB">
            <w:pPr>
              <w:spacing w:before="0" w:after="0" w:line="240" w:lineRule="auto"/>
              <w:jc w:val="center"/>
            </w:pPr>
            <w:r>
              <w:rPr>
                <w:rFonts w:ascii="Arial" w:hAnsi="Arial" w:eastAsia="Arial"/>
                <w:b w:val="0"/>
                <w:color w:val="000000"/>
                <w:sz w:val="16"/>
              </w:rPr>
              <w:t>0.61</w:t>
            </w:r>
          </w:p>
        </w:tc>
        <w:tc>
          <w:tcPr>
            <w:tcW w:w="1020" w:type="dxa"/>
            <w:vAlign w:val="center"/>
            <w:shd w:val="clear" w:color="auto" w:fill="FFFFFF"/>
          </w:tcPr>
          <w:p w14:paraId="25A0D6A3">
            <w:pPr>
              <w:spacing w:before="0" w:after="0" w:line="240" w:lineRule="auto"/>
              <w:jc w:val="center"/>
            </w:pPr>
            <w:r>
              <w:rPr>
                <w:rFonts w:ascii="Arial" w:hAnsi="Arial" w:eastAsia="Arial"/>
                <w:b w:val="0"/>
                <w:color w:val="000000"/>
                <w:sz w:val="16"/>
              </w:rPr>
              <w:t>0.47</w:t>
            </w:r>
          </w:p>
        </w:tc>
        <w:tc>
          <w:tcPr>
            <w:tcW w:w="1020" w:type="dxa"/>
            <w:vAlign w:val="center"/>
            <w:shd w:val="clear" w:color="auto" w:fill="FFFFFF"/>
          </w:tcPr>
          <w:p w14:paraId="35AD27B1">
            <w:pPr>
              <w:spacing w:before="0" w:after="0" w:line="240" w:lineRule="auto"/>
              <w:jc w:val="center"/>
            </w:pPr>
            <w:r>
              <w:rPr>
                <w:rFonts w:ascii="Arial" w:hAnsi="Arial" w:eastAsia="Arial"/>
                <w:b w:val="0"/>
                <w:color w:val="000000"/>
                <w:sz w:val="16"/>
              </w:rPr>
              <w:t>0.79</w:t>
            </w:r>
          </w:p>
        </w:tc>
        <w:tc>
          <w:tcPr>
            <w:tcW w:w="4535" w:type="dxa"/>
            <w:vAlign w:val="center"/>
            <w:shd w:val="clear" w:color="auto" w:fill="FFFFFF"/>
          </w:tcPr>
          <w:p w14:paraId="04F6D5BF">
            <w:pPr>
              <w:spacing w:before="0" w:after="0" w:line="240" w:lineRule="auto"/>
              <w:jc w:val="left"/>
            </w:pPr>
            <w:r>
              <w:rPr>
                <w:rFonts w:ascii="Arial" w:hAnsi="Arial" w:eastAsia="Arial"/>
                <w:b w:val="0"/>
                <w:color w:val="000000"/>
                <w:sz w:val="16"/>
              </w:rPr>
              <w:t>McMurray et al., Circulation 2021</w:t>
            </w:r>
          </w:p>
        </w:tc>
      </w:tr>
      <w:tr w14:paraId="01AF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4FFE7E3">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0E2791D7">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5C0FC5E3">
            <w:pPr>
              <w:spacing w:before="0" w:after="0" w:line="240" w:lineRule="auto"/>
              <w:jc w:val="center"/>
            </w:pPr>
            <w:r>
              <w:rPr>
                <w:rFonts w:ascii="Arial" w:hAnsi="Arial" w:eastAsia="Arial"/>
                <w:b w:val="0"/>
                <w:color w:val="000000"/>
                <w:sz w:val="16"/>
              </w:rPr>
              <w:t>0.51</w:t>
            </w:r>
          </w:p>
        </w:tc>
        <w:tc>
          <w:tcPr>
            <w:tcW w:w="1020" w:type="dxa"/>
            <w:vAlign w:val="center"/>
            <w:shd w:val="clear" w:color="auto" w:fill="FFFFFF"/>
          </w:tcPr>
          <w:p w14:paraId="67CB48AD">
            <w:pPr>
              <w:spacing w:before="0" w:after="0" w:line="240" w:lineRule="auto"/>
              <w:jc w:val="center"/>
            </w:pPr>
            <w:r>
              <w:rPr>
                <w:rFonts w:ascii="Arial" w:hAnsi="Arial" w:eastAsia="Arial"/>
                <w:b w:val="0"/>
                <w:color w:val="000000"/>
                <w:sz w:val="16"/>
              </w:rPr>
              <w:t>0.37</w:t>
            </w:r>
          </w:p>
        </w:tc>
        <w:tc>
          <w:tcPr>
            <w:tcW w:w="1020" w:type="dxa"/>
            <w:vAlign w:val="center"/>
            <w:shd w:val="clear" w:color="auto" w:fill="FFFFFF"/>
          </w:tcPr>
          <w:p w14:paraId="035C525B">
            <w:pPr>
              <w:spacing w:before="0" w:after="0" w:line="240" w:lineRule="auto"/>
              <w:jc w:val="center"/>
            </w:pPr>
            <w:r>
              <w:rPr>
                <w:rFonts w:ascii="Arial" w:hAnsi="Arial" w:eastAsia="Arial"/>
                <w:b w:val="0"/>
                <w:color w:val="000000"/>
                <w:sz w:val="16"/>
              </w:rPr>
              <w:t>0.69</w:t>
            </w:r>
          </w:p>
        </w:tc>
        <w:tc>
          <w:tcPr>
            <w:tcW w:w="4535" w:type="dxa"/>
            <w:vAlign w:val="center"/>
            <w:shd w:val="clear" w:color="auto" w:fill="FFFFFF"/>
          </w:tcPr>
          <w:p w14:paraId="6E821400">
            <w:pPr>
              <w:spacing w:before="0" w:after="0" w:line="240" w:lineRule="auto"/>
              <w:jc w:val="left"/>
            </w:pPr>
            <w:r>
              <w:rPr>
                <w:rFonts w:ascii="Arial" w:hAnsi="Arial" w:eastAsia="Arial"/>
                <w:b w:val="0"/>
                <w:color w:val="000000"/>
                <w:sz w:val="16"/>
              </w:rPr>
              <w:t>Mosenzon et al., Lancet Diabetes Endocrinol 2019; subgroup source</w:t>
            </w:r>
          </w:p>
        </w:tc>
      </w:tr>
    </w:tbl>
    <w:p w14:paraId="1392B7D8">
      <w:pPr>
        <w:spacing w:after="80"/>
      </w:pPr>
      <w:r>
        <w:rPr>
          <w:rFonts w:ascii="Arial" w:hAnsi="Arial" w:eastAsia="Arial"/>
          <w:i/>
          <w:color w:val="000000"/>
          <w:sz w:val="16"/>
        </w:rPr>
        <w:t>DAPA-CKD uses the kidney-specific secondary composite of sustained &gt;=50% eGFR decline, end-stage kidney disease, or renal death. Kidney outcomes remain trial-defined and were not fully harmonized.</w:t>
      </w:r>
    </w:p>
    <w:p w14:paraId="4A4775EC">
      <w:r>
        <w:rPr>
          <w:color w:val="000000"/>
        </w:rPr>
        <w:br w:type="page"/>
      </w:r>
    </w:p>
    <w:p w14:paraId="05CB7363">
      <w:pPr>
        <w:pStyle w:val="5"/>
        <w:spacing w:before="160" w:after="80"/>
      </w:pPr>
      <w:r>
        <w:rPr>
          <w:rFonts w:ascii="Arial" w:hAnsi="Arial" w:eastAsia="Arial"/>
          <w:color w:val="000000"/>
        </w:rPr>
        <w:t>Panel E. All-cause mortality</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8"/>
        <w:gridCol w:w="1814"/>
        <w:gridCol w:w="850"/>
        <w:gridCol w:w="1020"/>
        <w:gridCol w:w="1020"/>
        <w:gridCol w:w="4535"/>
      </w:tblGrid>
      <w:tr w14:paraId="7CD83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68" w:type="dxa"/>
            <w:vAlign w:val="center"/>
            <w:shd w:val="clear" w:color="auto" w:fill="FFFFFF"/>
          </w:tcPr>
          <w:p w14:paraId="5FC948A6">
            <w:pPr>
              <w:spacing w:before="0" w:after="0" w:line="240" w:lineRule="auto"/>
              <w:jc w:val="center"/>
            </w:pPr>
            <w:r>
              <w:rPr>
                <w:rFonts w:ascii="Arial" w:hAnsi="Arial" w:eastAsia="Arial"/>
                <w:b/>
                <w:color w:val="000000"/>
                <w:sz w:val="16"/>
              </w:rPr>
              <w:t>Study</w:t>
            </w:r>
          </w:p>
        </w:tc>
        <w:tc>
          <w:tcPr>
            <w:tcW w:w="1814" w:type="dxa"/>
            <w:vAlign w:val="center"/>
            <w:shd w:val="clear" w:color="auto" w:fill="FFFFFF"/>
          </w:tcPr>
          <w:p w14:paraId="5E0296C1">
            <w:pPr>
              <w:spacing w:before="0" w:after="0" w:line="240" w:lineRule="auto"/>
              <w:jc w:val="center"/>
            </w:pPr>
            <w:r>
              <w:rPr>
                <w:rFonts w:ascii="Arial" w:hAnsi="Arial" w:eastAsia="Arial"/>
                <w:b/>
                <w:color w:val="000000"/>
                <w:sz w:val="16"/>
              </w:rPr>
              <w:t>CKM stage group</w:t>
            </w:r>
          </w:p>
        </w:tc>
        <w:tc>
          <w:tcPr>
            <w:tcW w:w="850" w:type="dxa"/>
            <w:vAlign w:val="center"/>
            <w:shd w:val="clear" w:color="auto" w:fill="FFFFFF"/>
          </w:tcPr>
          <w:p w14:paraId="3D38460A">
            <w:pPr>
              <w:spacing w:before="0" w:after="0" w:line="240" w:lineRule="auto"/>
              <w:jc w:val="center"/>
            </w:pPr>
            <w:r>
              <w:rPr>
                <w:rFonts w:ascii="Arial" w:hAnsi="Arial" w:eastAsia="Arial"/>
                <w:b/>
                <w:color w:val="000000"/>
                <w:sz w:val="16"/>
              </w:rPr>
              <w:t>HR</w:t>
            </w:r>
          </w:p>
        </w:tc>
        <w:tc>
          <w:tcPr>
            <w:tcW w:w="1020" w:type="dxa"/>
            <w:vAlign w:val="center"/>
            <w:shd w:val="clear" w:color="auto" w:fill="FFFFFF"/>
          </w:tcPr>
          <w:p w14:paraId="2E718A67">
            <w:pPr>
              <w:spacing w:before="0" w:after="0" w:line="240" w:lineRule="auto"/>
              <w:jc w:val="center"/>
            </w:pPr>
            <w:r>
              <w:rPr>
                <w:rFonts w:ascii="Arial" w:hAnsi="Arial" w:eastAsia="Arial"/>
                <w:b/>
                <w:color w:val="000000"/>
                <w:sz w:val="16"/>
              </w:rPr>
              <w:t>Lower 95% CI</w:t>
            </w:r>
          </w:p>
        </w:tc>
        <w:tc>
          <w:tcPr>
            <w:tcW w:w="1020" w:type="dxa"/>
            <w:vAlign w:val="center"/>
            <w:shd w:val="clear" w:color="auto" w:fill="FFFFFF"/>
          </w:tcPr>
          <w:p w14:paraId="71534880">
            <w:pPr>
              <w:spacing w:before="0" w:after="0" w:line="240" w:lineRule="auto"/>
              <w:jc w:val="center"/>
            </w:pPr>
            <w:r>
              <w:rPr>
                <w:rFonts w:ascii="Arial" w:hAnsi="Arial" w:eastAsia="Arial"/>
                <w:b/>
                <w:color w:val="000000"/>
                <w:sz w:val="16"/>
              </w:rPr>
              <w:t>Upper 95% CI</w:t>
            </w:r>
          </w:p>
        </w:tc>
        <w:tc>
          <w:tcPr>
            <w:tcW w:w="4535" w:type="dxa"/>
            <w:vAlign w:val="center"/>
            <w:shd w:val="clear" w:color="auto" w:fill="FFFFFF"/>
          </w:tcPr>
          <w:p w14:paraId="149EEC95">
            <w:pPr>
              <w:spacing w:before="0" w:after="0" w:line="240" w:lineRule="auto"/>
              <w:jc w:val="center"/>
            </w:pPr>
            <w:r>
              <w:rPr>
                <w:rFonts w:ascii="Arial" w:hAnsi="Arial" w:eastAsia="Arial"/>
                <w:b/>
                <w:color w:val="000000"/>
                <w:sz w:val="16"/>
              </w:rPr>
              <w:t>Source publication</w:t>
            </w:r>
          </w:p>
        </w:tc>
      </w:tr>
      <w:tr w14:paraId="3351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910FD3F">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47D57AB2">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404B568D">
            <w:pPr>
              <w:spacing w:before="0" w:after="0" w:line="240" w:lineRule="auto"/>
              <w:jc w:val="center"/>
            </w:pPr>
            <w:r>
              <w:rPr>
                <w:rFonts w:ascii="Arial" w:hAnsi="Arial" w:eastAsia="Arial"/>
                <w:b w:val="0"/>
                <w:color w:val="000000"/>
                <w:sz w:val="16"/>
              </w:rPr>
              <w:t>0.89</w:t>
            </w:r>
          </w:p>
        </w:tc>
        <w:tc>
          <w:tcPr>
            <w:tcW w:w="1020" w:type="dxa"/>
            <w:vAlign w:val="center"/>
            <w:shd w:val="clear" w:color="auto" w:fill="FFFFFF"/>
          </w:tcPr>
          <w:p w14:paraId="2AAD9B31">
            <w:pPr>
              <w:spacing w:before="0" w:after="0" w:line="240" w:lineRule="auto"/>
              <w:jc w:val="center"/>
            </w:pPr>
            <w:r>
              <w:rPr>
                <w:rFonts w:ascii="Arial" w:hAnsi="Arial" w:eastAsia="Arial"/>
                <w:b w:val="0"/>
                <w:color w:val="000000"/>
                <w:sz w:val="16"/>
              </w:rPr>
              <w:t>0.75</w:t>
            </w:r>
          </w:p>
        </w:tc>
        <w:tc>
          <w:tcPr>
            <w:tcW w:w="1020" w:type="dxa"/>
            <w:vAlign w:val="center"/>
            <w:shd w:val="clear" w:color="auto" w:fill="FFFFFF"/>
          </w:tcPr>
          <w:p w14:paraId="34D251CD">
            <w:pPr>
              <w:spacing w:before="0" w:after="0" w:line="240" w:lineRule="auto"/>
              <w:jc w:val="center"/>
            </w:pPr>
            <w:r>
              <w:rPr>
                <w:rFonts w:ascii="Arial" w:hAnsi="Arial" w:eastAsia="Arial"/>
                <w:b w:val="0"/>
                <w:color w:val="000000"/>
                <w:sz w:val="16"/>
              </w:rPr>
              <w:t>1.07</w:t>
            </w:r>
          </w:p>
        </w:tc>
        <w:tc>
          <w:tcPr>
            <w:tcW w:w="4535" w:type="dxa"/>
            <w:vAlign w:val="center"/>
            <w:shd w:val="clear" w:color="auto" w:fill="FFFFFF"/>
          </w:tcPr>
          <w:p w14:paraId="31A5C477">
            <w:pPr>
              <w:spacing w:before="0" w:after="0" w:line="240" w:lineRule="auto"/>
              <w:jc w:val="left"/>
            </w:pPr>
            <w:r>
              <w:rPr>
                <w:rFonts w:ascii="Arial" w:hAnsi="Arial" w:eastAsia="Arial"/>
                <w:b w:val="0"/>
                <w:color w:val="000000"/>
                <w:sz w:val="16"/>
              </w:rPr>
              <w:t>Mahaffey et al., Circulation 2018</w:t>
            </w:r>
          </w:p>
        </w:tc>
      </w:tr>
      <w:tr w14:paraId="1462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6DC15E1A">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42FD9E5D">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3F10E6DC">
            <w:pPr>
              <w:spacing w:before="0" w:after="0" w:line="240" w:lineRule="auto"/>
              <w:jc w:val="center"/>
            </w:pPr>
            <w:r>
              <w:rPr>
                <w:rFonts w:ascii="Arial" w:hAnsi="Arial" w:eastAsia="Arial"/>
                <w:b w:val="0"/>
                <w:color w:val="000000"/>
                <w:sz w:val="16"/>
              </w:rPr>
              <w:t>0.79</w:t>
            </w:r>
          </w:p>
        </w:tc>
        <w:tc>
          <w:tcPr>
            <w:tcW w:w="1020" w:type="dxa"/>
            <w:vAlign w:val="center"/>
            <w:shd w:val="clear" w:color="auto" w:fill="FFFFFF"/>
          </w:tcPr>
          <w:p w14:paraId="5055F1E7">
            <w:pPr>
              <w:spacing w:before="0" w:after="0" w:line="240" w:lineRule="auto"/>
              <w:jc w:val="center"/>
            </w:pPr>
            <w:r>
              <w:rPr>
                <w:rFonts w:ascii="Arial" w:hAnsi="Arial" w:eastAsia="Arial"/>
                <w:b w:val="0"/>
                <w:color w:val="000000"/>
                <w:sz w:val="16"/>
              </w:rPr>
              <w:t>0.61</w:t>
            </w:r>
          </w:p>
        </w:tc>
        <w:tc>
          <w:tcPr>
            <w:tcW w:w="1020" w:type="dxa"/>
            <w:vAlign w:val="center"/>
            <w:shd w:val="clear" w:color="auto" w:fill="FFFFFF"/>
          </w:tcPr>
          <w:p w14:paraId="3101BE1F">
            <w:pPr>
              <w:spacing w:before="0" w:after="0" w:line="240" w:lineRule="auto"/>
              <w:jc w:val="center"/>
            </w:pPr>
            <w:r>
              <w:rPr>
                <w:rFonts w:ascii="Arial" w:hAnsi="Arial" w:eastAsia="Arial"/>
                <w:b w:val="0"/>
                <w:color w:val="000000"/>
                <w:sz w:val="16"/>
              </w:rPr>
              <w:t>1.02</w:t>
            </w:r>
          </w:p>
        </w:tc>
        <w:tc>
          <w:tcPr>
            <w:tcW w:w="4535" w:type="dxa"/>
            <w:vAlign w:val="center"/>
            <w:shd w:val="clear" w:color="auto" w:fill="FFFFFF"/>
          </w:tcPr>
          <w:p w14:paraId="46426EE1">
            <w:pPr>
              <w:spacing w:before="0" w:after="0" w:line="240" w:lineRule="auto"/>
              <w:jc w:val="left"/>
            </w:pPr>
            <w:r>
              <w:rPr>
                <w:rFonts w:ascii="Arial" w:hAnsi="Arial" w:eastAsia="Arial"/>
                <w:b w:val="0"/>
                <w:color w:val="000000"/>
                <w:sz w:val="16"/>
              </w:rPr>
              <w:t>Mahaffey et al., Circulation 2019</w:t>
            </w:r>
          </w:p>
        </w:tc>
      </w:tr>
      <w:tr w14:paraId="5C0F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23E072C">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6B0683CB">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37B13B89">
            <w:pPr>
              <w:spacing w:before="0" w:after="0" w:line="240" w:lineRule="auto"/>
              <w:jc w:val="center"/>
            </w:pPr>
            <w:r>
              <w:rPr>
                <w:rFonts w:ascii="Arial" w:hAnsi="Arial" w:eastAsia="Arial"/>
                <w:b w:val="0"/>
                <w:color w:val="000000"/>
                <w:sz w:val="16"/>
              </w:rPr>
              <w:t>0.70</w:t>
            </w:r>
          </w:p>
        </w:tc>
        <w:tc>
          <w:tcPr>
            <w:tcW w:w="1020" w:type="dxa"/>
            <w:vAlign w:val="center"/>
            <w:shd w:val="clear" w:color="auto" w:fill="FFFFFF"/>
          </w:tcPr>
          <w:p w14:paraId="7AC7E910">
            <w:pPr>
              <w:spacing w:before="0" w:after="0" w:line="240" w:lineRule="auto"/>
              <w:jc w:val="center"/>
            </w:pPr>
            <w:r>
              <w:rPr>
                <w:rFonts w:ascii="Arial" w:hAnsi="Arial" w:eastAsia="Arial"/>
                <w:b w:val="0"/>
                <w:color w:val="000000"/>
                <w:sz w:val="16"/>
              </w:rPr>
              <w:t>0.51</w:t>
            </w:r>
          </w:p>
        </w:tc>
        <w:tc>
          <w:tcPr>
            <w:tcW w:w="1020" w:type="dxa"/>
            <w:vAlign w:val="center"/>
            <w:shd w:val="clear" w:color="auto" w:fill="FFFFFF"/>
          </w:tcPr>
          <w:p w14:paraId="7151376D">
            <w:pPr>
              <w:spacing w:before="0" w:after="0" w:line="240" w:lineRule="auto"/>
              <w:jc w:val="center"/>
            </w:pPr>
            <w:r>
              <w:rPr>
                <w:rFonts w:ascii="Arial" w:hAnsi="Arial" w:eastAsia="Arial"/>
                <w:b w:val="0"/>
                <w:color w:val="000000"/>
                <w:sz w:val="16"/>
              </w:rPr>
              <w:t>0.95</w:t>
            </w:r>
          </w:p>
        </w:tc>
        <w:tc>
          <w:tcPr>
            <w:tcW w:w="4535" w:type="dxa"/>
            <w:vAlign w:val="center"/>
            <w:shd w:val="clear" w:color="auto" w:fill="FFFFFF"/>
          </w:tcPr>
          <w:p w14:paraId="14165691">
            <w:pPr>
              <w:spacing w:before="0" w:after="0" w:line="240" w:lineRule="auto"/>
              <w:jc w:val="left"/>
            </w:pPr>
            <w:r>
              <w:rPr>
                <w:rFonts w:ascii="Arial" w:hAnsi="Arial" w:eastAsia="Arial"/>
                <w:b w:val="0"/>
                <w:color w:val="000000"/>
                <w:sz w:val="16"/>
              </w:rPr>
              <w:t>McMurray et al., Circulation 2021</w:t>
            </w:r>
          </w:p>
        </w:tc>
      </w:tr>
      <w:tr w14:paraId="7F76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145D7CF">
            <w:pPr>
              <w:spacing w:before="0" w:after="0" w:line="240" w:lineRule="auto"/>
              <w:jc w:val="left"/>
            </w:pPr>
            <w:r>
              <w:rPr>
                <w:rFonts w:ascii="Arial" w:hAnsi="Arial" w:eastAsia="Arial"/>
                <w:b w:val="0"/>
                <w:color w:val="000000"/>
                <w:sz w:val="16"/>
              </w:rPr>
              <w:t>DAPA-HF</w:t>
            </w:r>
          </w:p>
        </w:tc>
        <w:tc>
          <w:tcPr>
            <w:tcW w:w="1814" w:type="dxa"/>
            <w:vAlign w:val="center"/>
            <w:shd w:val="clear" w:color="auto" w:fill="FFFFFF"/>
          </w:tcPr>
          <w:p w14:paraId="5100D2EA">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7E6BBBA4">
            <w:pPr>
              <w:spacing w:before="0" w:after="0" w:line="240" w:lineRule="auto"/>
              <w:jc w:val="center"/>
            </w:pPr>
            <w:r>
              <w:rPr>
                <w:rFonts w:ascii="Arial" w:hAnsi="Arial" w:eastAsia="Arial"/>
                <w:b w:val="0"/>
                <w:color w:val="000000"/>
                <w:sz w:val="16"/>
              </w:rPr>
              <w:t>0.83</w:t>
            </w:r>
          </w:p>
        </w:tc>
        <w:tc>
          <w:tcPr>
            <w:tcW w:w="1020" w:type="dxa"/>
            <w:vAlign w:val="center"/>
            <w:shd w:val="clear" w:color="auto" w:fill="FFFFFF"/>
          </w:tcPr>
          <w:p w14:paraId="62191FC0">
            <w:pPr>
              <w:spacing w:before="0" w:after="0" w:line="240" w:lineRule="auto"/>
              <w:jc w:val="center"/>
            </w:pPr>
            <w:r>
              <w:rPr>
                <w:rFonts w:ascii="Arial" w:hAnsi="Arial" w:eastAsia="Arial"/>
                <w:b w:val="0"/>
                <w:color w:val="000000"/>
                <w:sz w:val="16"/>
              </w:rPr>
              <w:t>0.71</w:t>
            </w:r>
          </w:p>
        </w:tc>
        <w:tc>
          <w:tcPr>
            <w:tcW w:w="1020" w:type="dxa"/>
            <w:vAlign w:val="center"/>
            <w:shd w:val="clear" w:color="auto" w:fill="FFFFFF"/>
          </w:tcPr>
          <w:p w14:paraId="5D602006">
            <w:pPr>
              <w:spacing w:before="0" w:after="0" w:line="240" w:lineRule="auto"/>
              <w:jc w:val="center"/>
            </w:pPr>
            <w:r>
              <w:rPr>
                <w:rFonts w:ascii="Arial" w:hAnsi="Arial" w:eastAsia="Arial"/>
                <w:b w:val="0"/>
                <w:color w:val="000000"/>
                <w:sz w:val="16"/>
              </w:rPr>
              <w:t>0.97</w:t>
            </w:r>
          </w:p>
        </w:tc>
        <w:tc>
          <w:tcPr>
            <w:tcW w:w="4535" w:type="dxa"/>
            <w:vAlign w:val="center"/>
            <w:shd w:val="clear" w:color="auto" w:fill="FFFFFF"/>
          </w:tcPr>
          <w:p w14:paraId="09029030">
            <w:pPr>
              <w:spacing w:before="0" w:after="0" w:line="240" w:lineRule="auto"/>
              <w:jc w:val="left"/>
            </w:pPr>
            <w:r>
              <w:rPr>
                <w:rFonts w:ascii="Arial" w:hAnsi="Arial" w:eastAsia="Arial"/>
                <w:b w:val="0"/>
                <w:color w:val="000000"/>
                <w:sz w:val="16"/>
              </w:rPr>
              <w:t>McMurray et al., N Engl J Med 2019</w:t>
            </w:r>
          </w:p>
        </w:tc>
      </w:tr>
      <w:tr w14:paraId="12D3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6A6D46E5">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07FA4660">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7421A40C">
            <w:pPr>
              <w:spacing w:before="0" w:after="0" w:line="240" w:lineRule="auto"/>
              <w:jc w:val="center"/>
            </w:pPr>
            <w:r>
              <w:rPr>
                <w:rFonts w:ascii="Arial" w:hAnsi="Arial" w:eastAsia="Arial"/>
                <w:b w:val="0"/>
                <w:color w:val="000000"/>
                <w:sz w:val="16"/>
              </w:rPr>
              <w:t>0.92</w:t>
            </w:r>
          </w:p>
        </w:tc>
        <w:tc>
          <w:tcPr>
            <w:tcW w:w="1020" w:type="dxa"/>
            <w:vAlign w:val="center"/>
            <w:shd w:val="clear" w:color="auto" w:fill="FFFFFF"/>
          </w:tcPr>
          <w:p w14:paraId="0A209319">
            <w:pPr>
              <w:spacing w:before="0" w:after="0" w:line="240" w:lineRule="auto"/>
              <w:jc w:val="center"/>
            </w:pPr>
            <w:r>
              <w:rPr>
                <w:rFonts w:ascii="Arial" w:hAnsi="Arial" w:eastAsia="Arial"/>
                <w:b w:val="0"/>
                <w:color w:val="000000"/>
                <w:sz w:val="16"/>
              </w:rPr>
              <w:t>0.79</w:t>
            </w:r>
          </w:p>
        </w:tc>
        <w:tc>
          <w:tcPr>
            <w:tcW w:w="1020" w:type="dxa"/>
            <w:vAlign w:val="center"/>
            <w:shd w:val="clear" w:color="auto" w:fill="FFFFFF"/>
          </w:tcPr>
          <w:p w14:paraId="5734BE5A">
            <w:pPr>
              <w:spacing w:before="0" w:after="0" w:line="240" w:lineRule="auto"/>
              <w:jc w:val="center"/>
            </w:pPr>
            <w:r>
              <w:rPr>
                <w:rFonts w:ascii="Arial" w:hAnsi="Arial" w:eastAsia="Arial"/>
                <w:b w:val="0"/>
                <w:color w:val="000000"/>
                <w:sz w:val="16"/>
              </w:rPr>
              <w:t>1.08</w:t>
            </w:r>
          </w:p>
        </w:tc>
        <w:tc>
          <w:tcPr>
            <w:tcW w:w="4535" w:type="dxa"/>
            <w:vAlign w:val="center"/>
            <w:shd w:val="clear" w:color="auto" w:fill="FFFFFF"/>
          </w:tcPr>
          <w:p w14:paraId="16CD0521">
            <w:pPr>
              <w:spacing w:before="0" w:after="0" w:line="240" w:lineRule="auto"/>
              <w:jc w:val="left"/>
            </w:pPr>
            <w:r>
              <w:rPr>
                <w:rFonts w:ascii="Arial" w:hAnsi="Arial" w:eastAsia="Arial"/>
                <w:b w:val="0"/>
                <w:color w:val="000000"/>
                <w:sz w:val="16"/>
              </w:rPr>
              <w:t>Wiviott et al., N Engl J Med 2019; published subgroup analysis</w:t>
            </w:r>
          </w:p>
        </w:tc>
      </w:tr>
      <w:tr w14:paraId="7AC1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9112B7E">
            <w:pPr>
              <w:spacing w:before="0" w:after="0" w:line="240" w:lineRule="auto"/>
              <w:jc w:val="left"/>
            </w:pPr>
            <w:r>
              <w:rPr>
                <w:rFonts w:ascii="Arial" w:hAnsi="Arial" w:eastAsia="Arial"/>
                <w:b w:val="0"/>
                <w:color w:val="000000"/>
                <w:sz w:val="16"/>
              </w:rPr>
              <w:t>DELIVER</w:t>
            </w:r>
          </w:p>
        </w:tc>
        <w:tc>
          <w:tcPr>
            <w:tcW w:w="1814" w:type="dxa"/>
            <w:vAlign w:val="center"/>
            <w:shd w:val="clear" w:color="auto" w:fill="FFFFFF"/>
          </w:tcPr>
          <w:p w14:paraId="346464D8">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18D9812F">
            <w:pPr>
              <w:spacing w:before="0" w:after="0" w:line="240" w:lineRule="auto"/>
              <w:jc w:val="center"/>
            </w:pPr>
            <w:r>
              <w:rPr>
                <w:rFonts w:ascii="Arial" w:hAnsi="Arial" w:eastAsia="Arial"/>
                <w:b w:val="0"/>
                <w:color w:val="000000"/>
                <w:sz w:val="16"/>
              </w:rPr>
              <w:t>0.94</w:t>
            </w:r>
          </w:p>
        </w:tc>
        <w:tc>
          <w:tcPr>
            <w:tcW w:w="1020" w:type="dxa"/>
            <w:vAlign w:val="center"/>
            <w:shd w:val="clear" w:color="auto" w:fill="FFFFFF"/>
          </w:tcPr>
          <w:p w14:paraId="20E0CECB">
            <w:pPr>
              <w:spacing w:before="0" w:after="0" w:line="240" w:lineRule="auto"/>
              <w:jc w:val="center"/>
            </w:pPr>
            <w:r>
              <w:rPr>
                <w:rFonts w:ascii="Arial" w:hAnsi="Arial" w:eastAsia="Arial"/>
                <w:b w:val="0"/>
                <w:color w:val="000000"/>
                <w:sz w:val="16"/>
              </w:rPr>
              <w:t>0.83</w:t>
            </w:r>
          </w:p>
        </w:tc>
        <w:tc>
          <w:tcPr>
            <w:tcW w:w="1020" w:type="dxa"/>
            <w:vAlign w:val="center"/>
            <w:shd w:val="clear" w:color="auto" w:fill="FFFFFF"/>
          </w:tcPr>
          <w:p w14:paraId="5EFCBC73">
            <w:pPr>
              <w:spacing w:before="0" w:after="0" w:line="240" w:lineRule="auto"/>
              <w:jc w:val="center"/>
            </w:pPr>
            <w:r>
              <w:rPr>
                <w:rFonts w:ascii="Arial" w:hAnsi="Arial" w:eastAsia="Arial"/>
                <w:b w:val="0"/>
                <w:color w:val="000000"/>
                <w:sz w:val="16"/>
              </w:rPr>
              <w:t>1.07</w:t>
            </w:r>
          </w:p>
        </w:tc>
        <w:tc>
          <w:tcPr>
            <w:tcW w:w="4535" w:type="dxa"/>
            <w:vAlign w:val="center"/>
            <w:shd w:val="clear" w:color="auto" w:fill="FFFFFF"/>
          </w:tcPr>
          <w:p w14:paraId="115C6B8A">
            <w:pPr>
              <w:spacing w:before="0" w:after="0" w:line="240" w:lineRule="auto"/>
              <w:jc w:val="left"/>
            </w:pPr>
            <w:r>
              <w:rPr>
                <w:rFonts w:ascii="Arial" w:hAnsi="Arial" w:eastAsia="Arial"/>
                <w:b w:val="0"/>
                <w:color w:val="000000"/>
                <w:sz w:val="16"/>
              </w:rPr>
              <w:t>Solomon et al., N Engl J Med 2022</w:t>
            </w:r>
          </w:p>
        </w:tc>
      </w:tr>
      <w:tr w14:paraId="12C6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C5200E2">
            <w:pPr>
              <w:spacing w:before="0" w:after="0" w:line="240" w:lineRule="auto"/>
              <w:jc w:val="left"/>
            </w:pPr>
            <w:r>
              <w:rPr>
                <w:rFonts w:ascii="Arial" w:hAnsi="Arial" w:eastAsia="Arial"/>
                <w:b w:val="0"/>
                <w:color w:val="000000"/>
                <w:sz w:val="16"/>
              </w:rPr>
              <w:t>EMPA-REG OUTCOME</w:t>
            </w:r>
          </w:p>
        </w:tc>
        <w:tc>
          <w:tcPr>
            <w:tcW w:w="1814" w:type="dxa"/>
            <w:vAlign w:val="center"/>
            <w:shd w:val="clear" w:color="auto" w:fill="FFFFFF"/>
          </w:tcPr>
          <w:p w14:paraId="07AB486A">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74DD3AA7">
            <w:pPr>
              <w:spacing w:before="0" w:after="0" w:line="240" w:lineRule="auto"/>
              <w:jc w:val="center"/>
            </w:pPr>
            <w:r>
              <w:rPr>
                <w:rFonts w:ascii="Arial" w:hAnsi="Arial" w:eastAsia="Arial"/>
                <w:b w:val="0"/>
                <w:color w:val="000000"/>
                <w:sz w:val="16"/>
              </w:rPr>
              <w:t>0.68</w:t>
            </w:r>
          </w:p>
        </w:tc>
        <w:tc>
          <w:tcPr>
            <w:tcW w:w="1020" w:type="dxa"/>
            <w:vAlign w:val="center"/>
            <w:shd w:val="clear" w:color="auto" w:fill="FFFFFF"/>
          </w:tcPr>
          <w:p w14:paraId="40BE973E">
            <w:pPr>
              <w:spacing w:before="0" w:after="0" w:line="240" w:lineRule="auto"/>
              <w:jc w:val="center"/>
            </w:pPr>
            <w:r>
              <w:rPr>
                <w:rFonts w:ascii="Arial" w:hAnsi="Arial" w:eastAsia="Arial"/>
                <w:b w:val="0"/>
                <w:color w:val="000000"/>
                <w:sz w:val="16"/>
              </w:rPr>
              <w:t>0.57</w:t>
            </w:r>
          </w:p>
        </w:tc>
        <w:tc>
          <w:tcPr>
            <w:tcW w:w="1020" w:type="dxa"/>
            <w:vAlign w:val="center"/>
            <w:shd w:val="clear" w:color="auto" w:fill="FFFFFF"/>
          </w:tcPr>
          <w:p w14:paraId="2BC19092">
            <w:pPr>
              <w:spacing w:before="0" w:after="0" w:line="240" w:lineRule="auto"/>
              <w:jc w:val="center"/>
            </w:pPr>
            <w:r>
              <w:rPr>
                <w:rFonts w:ascii="Arial" w:hAnsi="Arial" w:eastAsia="Arial"/>
                <w:b w:val="0"/>
                <w:color w:val="000000"/>
                <w:sz w:val="16"/>
              </w:rPr>
              <w:t>0.82</w:t>
            </w:r>
          </w:p>
        </w:tc>
        <w:tc>
          <w:tcPr>
            <w:tcW w:w="4535" w:type="dxa"/>
            <w:vAlign w:val="center"/>
            <w:shd w:val="clear" w:color="auto" w:fill="FFFFFF"/>
          </w:tcPr>
          <w:p w14:paraId="61F7E753">
            <w:pPr>
              <w:spacing w:before="0" w:after="0" w:line="240" w:lineRule="auto"/>
              <w:jc w:val="left"/>
            </w:pPr>
            <w:r>
              <w:rPr>
                <w:rFonts w:ascii="Arial" w:hAnsi="Arial" w:eastAsia="Arial"/>
                <w:b w:val="0"/>
                <w:color w:val="000000"/>
                <w:sz w:val="16"/>
              </w:rPr>
              <w:t>Zinman et al., N Engl J Med 2015</w:t>
            </w:r>
          </w:p>
        </w:tc>
      </w:tr>
      <w:tr w14:paraId="7DE7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6391B85F">
            <w:pPr>
              <w:spacing w:before="0" w:after="0" w:line="240" w:lineRule="auto"/>
              <w:jc w:val="left"/>
            </w:pPr>
            <w:r>
              <w:rPr>
                <w:rFonts w:ascii="Arial" w:hAnsi="Arial" w:eastAsia="Arial"/>
                <w:b w:val="0"/>
                <w:color w:val="000000"/>
                <w:sz w:val="16"/>
              </w:rPr>
              <w:t>EMPEROR-Preserved</w:t>
            </w:r>
          </w:p>
        </w:tc>
        <w:tc>
          <w:tcPr>
            <w:tcW w:w="1814" w:type="dxa"/>
            <w:vAlign w:val="center"/>
            <w:shd w:val="clear" w:color="auto" w:fill="FFFFFF"/>
          </w:tcPr>
          <w:p w14:paraId="174CDB8A">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5EC7D2D9">
            <w:pPr>
              <w:spacing w:before="0" w:after="0" w:line="240" w:lineRule="auto"/>
              <w:jc w:val="center"/>
            </w:pPr>
            <w:r>
              <w:rPr>
                <w:rFonts w:ascii="Arial" w:hAnsi="Arial" w:eastAsia="Arial"/>
                <w:b w:val="0"/>
                <w:color w:val="000000"/>
                <w:sz w:val="16"/>
              </w:rPr>
              <w:t>1.00</w:t>
            </w:r>
          </w:p>
        </w:tc>
        <w:tc>
          <w:tcPr>
            <w:tcW w:w="1020" w:type="dxa"/>
            <w:vAlign w:val="center"/>
            <w:shd w:val="clear" w:color="auto" w:fill="FFFFFF"/>
          </w:tcPr>
          <w:p w14:paraId="0DB49185">
            <w:pPr>
              <w:spacing w:before="0" w:after="0" w:line="240" w:lineRule="auto"/>
              <w:jc w:val="center"/>
            </w:pPr>
            <w:r>
              <w:rPr>
                <w:rFonts w:ascii="Arial" w:hAnsi="Arial" w:eastAsia="Arial"/>
                <w:b w:val="0"/>
                <w:color w:val="000000"/>
                <w:sz w:val="16"/>
              </w:rPr>
              <w:t>0.87</w:t>
            </w:r>
          </w:p>
        </w:tc>
        <w:tc>
          <w:tcPr>
            <w:tcW w:w="1020" w:type="dxa"/>
            <w:vAlign w:val="center"/>
            <w:shd w:val="clear" w:color="auto" w:fill="FFFFFF"/>
          </w:tcPr>
          <w:p w14:paraId="1943CCED">
            <w:pPr>
              <w:spacing w:before="0" w:after="0" w:line="240" w:lineRule="auto"/>
              <w:jc w:val="center"/>
            </w:pPr>
            <w:r>
              <w:rPr>
                <w:rFonts w:ascii="Arial" w:hAnsi="Arial" w:eastAsia="Arial"/>
                <w:b w:val="0"/>
                <w:color w:val="000000"/>
                <w:sz w:val="16"/>
              </w:rPr>
              <w:t>1.15</w:t>
            </w:r>
          </w:p>
        </w:tc>
        <w:tc>
          <w:tcPr>
            <w:tcW w:w="4535" w:type="dxa"/>
            <w:vAlign w:val="center"/>
            <w:shd w:val="clear" w:color="auto" w:fill="FFFFFF"/>
          </w:tcPr>
          <w:p w14:paraId="0A121176">
            <w:pPr>
              <w:spacing w:before="0" w:after="0" w:line="240" w:lineRule="auto"/>
              <w:jc w:val="left"/>
            </w:pPr>
            <w:r>
              <w:rPr>
                <w:rFonts w:ascii="Arial" w:hAnsi="Arial" w:eastAsia="Arial"/>
                <w:b w:val="0"/>
                <w:color w:val="000000"/>
                <w:sz w:val="16"/>
              </w:rPr>
              <w:t>Anker et al., N Engl J Med 2021</w:t>
            </w:r>
          </w:p>
        </w:tc>
      </w:tr>
      <w:tr w14:paraId="5AF1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6B4BF443">
            <w:pPr>
              <w:spacing w:before="0" w:after="0" w:line="240" w:lineRule="auto"/>
              <w:jc w:val="left"/>
            </w:pPr>
            <w:r>
              <w:rPr>
                <w:rFonts w:ascii="Arial" w:hAnsi="Arial" w:eastAsia="Arial"/>
                <w:b w:val="0"/>
                <w:color w:val="000000"/>
                <w:sz w:val="16"/>
              </w:rPr>
              <w:t>EMPEROR-Reduced</w:t>
            </w:r>
          </w:p>
        </w:tc>
        <w:tc>
          <w:tcPr>
            <w:tcW w:w="1814" w:type="dxa"/>
            <w:vAlign w:val="center"/>
            <w:shd w:val="clear" w:color="auto" w:fill="FFFFFF"/>
          </w:tcPr>
          <w:p w14:paraId="69C34CAB">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2D91ACF7">
            <w:pPr>
              <w:spacing w:before="0" w:after="0" w:line="240" w:lineRule="auto"/>
              <w:jc w:val="center"/>
            </w:pPr>
            <w:r>
              <w:rPr>
                <w:rFonts w:ascii="Arial" w:hAnsi="Arial" w:eastAsia="Arial"/>
                <w:b w:val="0"/>
                <w:color w:val="000000"/>
                <w:sz w:val="16"/>
              </w:rPr>
              <w:t>0.92</w:t>
            </w:r>
          </w:p>
        </w:tc>
        <w:tc>
          <w:tcPr>
            <w:tcW w:w="1020" w:type="dxa"/>
            <w:vAlign w:val="center"/>
            <w:shd w:val="clear" w:color="auto" w:fill="FFFFFF"/>
          </w:tcPr>
          <w:p w14:paraId="5F2EF7A0">
            <w:pPr>
              <w:spacing w:before="0" w:after="0" w:line="240" w:lineRule="auto"/>
              <w:jc w:val="center"/>
            </w:pPr>
            <w:r>
              <w:rPr>
                <w:rFonts w:ascii="Arial" w:hAnsi="Arial" w:eastAsia="Arial"/>
                <w:b w:val="0"/>
                <w:color w:val="000000"/>
                <w:sz w:val="16"/>
              </w:rPr>
              <w:t>0.77</w:t>
            </w:r>
          </w:p>
        </w:tc>
        <w:tc>
          <w:tcPr>
            <w:tcW w:w="1020" w:type="dxa"/>
            <w:vAlign w:val="center"/>
            <w:shd w:val="clear" w:color="auto" w:fill="FFFFFF"/>
          </w:tcPr>
          <w:p w14:paraId="0EECD170">
            <w:pPr>
              <w:spacing w:before="0" w:after="0" w:line="240" w:lineRule="auto"/>
              <w:jc w:val="center"/>
            </w:pPr>
            <w:r>
              <w:rPr>
                <w:rFonts w:ascii="Arial" w:hAnsi="Arial" w:eastAsia="Arial"/>
                <w:b w:val="0"/>
                <w:color w:val="000000"/>
                <w:sz w:val="16"/>
              </w:rPr>
              <w:t>1.10</w:t>
            </w:r>
          </w:p>
        </w:tc>
        <w:tc>
          <w:tcPr>
            <w:tcW w:w="4535" w:type="dxa"/>
            <w:vAlign w:val="center"/>
            <w:shd w:val="clear" w:color="auto" w:fill="FFFFFF"/>
          </w:tcPr>
          <w:p w14:paraId="3EBD8C93">
            <w:pPr>
              <w:spacing w:before="0" w:after="0" w:line="240" w:lineRule="auto"/>
              <w:jc w:val="left"/>
            </w:pPr>
            <w:r>
              <w:rPr>
                <w:rFonts w:ascii="Arial" w:hAnsi="Arial" w:eastAsia="Arial"/>
                <w:b w:val="0"/>
                <w:color w:val="000000"/>
                <w:sz w:val="16"/>
              </w:rPr>
              <w:t>Packer et al., N Engl J Med 2020</w:t>
            </w:r>
          </w:p>
        </w:tc>
      </w:tr>
      <w:tr w14:paraId="1E35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BD9684B">
            <w:pPr>
              <w:spacing w:before="0" w:after="0" w:line="240" w:lineRule="auto"/>
              <w:jc w:val="left"/>
            </w:pPr>
            <w:r>
              <w:rPr>
                <w:rFonts w:ascii="Arial" w:hAnsi="Arial" w:eastAsia="Arial"/>
                <w:b w:val="0"/>
                <w:color w:val="000000"/>
                <w:sz w:val="16"/>
              </w:rPr>
              <w:t>VERTIS CV</w:t>
            </w:r>
          </w:p>
        </w:tc>
        <w:tc>
          <w:tcPr>
            <w:tcW w:w="1814" w:type="dxa"/>
            <w:vAlign w:val="center"/>
            <w:shd w:val="clear" w:color="auto" w:fill="FFFFFF"/>
          </w:tcPr>
          <w:p w14:paraId="7375F6AE">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63D71DFD">
            <w:pPr>
              <w:spacing w:before="0" w:after="0" w:line="240" w:lineRule="auto"/>
              <w:jc w:val="center"/>
            </w:pPr>
            <w:r>
              <w:rPr>
                <w:rFonts w:ascii="Arial" w:hAnsi="Arial" w:eastAsia="Arial"/>
                <w:b w:val="0"/>
                <w:color w:val="000000"/>
                <w:sz w:val="16"/>
              </w:rPr>
              <w:t>0.93</w:t>
            </w:r>
          </w:p>
        </w:tc>
        <w:tc>
          <w:tcPr>
            <w:tcW w:w="1020" w:type="dxa"/>
            <w:vAlign w:val="center"/>
            <w:shd w:val="clear" w:color="auto" w:fill="FFFFFF"/>
          </w:tcPr>
          <w:p w14:paraId="4BB4827B">
            <w:pPr>
              <w:spacing w:before="0" w:after="0" w:line="240" w:lineRule="auto"/>
              <w:jc w:val="center"/>
            </w:pPr>
            <w:r>
              <w:rPr>
                <w:rFonts w:ascii="Arial" w:hAnsi="Arial" w:eastAsia="Arial"/>
                <w:b w:val="0"/>
                <w:color w:val="000000"/>
                <w:sz w:val="16"/>
              </w:rPr>
              <w:t>0.80</w:t>
            </w:r>
          </w:p>
        </w:tc>
        <w:tc>
          <w:tcPr>
            <w:tcW w:w="1020" w:type="dxa"/>
            <w:vAlign w:val="center"/>
            <w:shd w:val="clear" w:color="auto" w:fill="FFFFFF"/>
          </w:tcPr>
          <w:p w14:paraId="421C085B">
            <w:pPr>
              <w:spacing w:before="0" w:after="0" w:line="240" w:lineRule="auto"/>
              <w:jc w:val="center"/>
            </w:pPr>
            <w:r>
              <w:rPr>
                <w:rFonts w:ascii="Arial" w:hAnsi="Arial" w:eastAsia="Arial"/>
                <w:b w:val="0"/>
                <w:color w:val="000000"/>
                <w:sz w:val="16"/>
              </w:rPr>
              <w:t>1.08</w:t>
            </w:r>
          </w:p>
        </w:tc>
        <w:tc>
          <w:tcPr>
            <w:tcW w:w="4535" w:type="dxa"/>
            <w:vAlign w:val="center"/>
            <w:shd w:val="clear" w:color="auto" w:fill="FFFFFF"/>
          </w:tcPr>
          <w:p w14:paraId="359A1971">
            <w:pPr>
              <w:spacing w:before="0" w:after="0" w:line="240" w:lineRule="auto"/>
              <w:jc w:val="left"/>
            </w:pPr>
            <w:r>
              <w:rPr>
                <w:rFonts w:ascii="Arial" w:hAnsi="Arial" w:eastAsia="Arial"/>
                <w:b w:val="0"/>
                <w:color w:val="000000"/>
                <w:sz w:val="16"/>
              </w:rPr>
              <w:t>Cannon et al., N Engl J Med 2020</w:t>
            </w:r>
          </w:p>
        </w:tc>
      </w:tr>
      <w:tr w14:paraId="2F1F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42B86CEE">
            <w:pPr>
              <w:spacing w:before="0" w:after="0" w:line="240" w:lineRule="auto"/>
              <w:jc w:val="left"/>
            </w:pPr>
            <w:r>
              <w:rPr>
                <w:rFonts w:ascii="Arial" w:hAnsi="Arial" w:eastAsia="Arial"/>
                <w:b w:val="0"/>
                <w:color w:val="000000"/>
                <w:sz w:val="16"/>
              </w:rPr>
              <w:t>SOLOIST-WHF</w:t>
            </w:r>
          </w:p>
        </w:tc>
        <w:tc>
          <w:tcPr>
            <w:tcW w:w="1814" w:type="dxa"/>
            <w:vAlign w:val="center"/>
            <w:shd w:val="clear" w:color="auto" w:fill="FFFFFF"/>
          </w:tcPr>
          <w:p w14:paraId="7C768A6B">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19B4B691">
            <w:pPr>
              <w:spacing w:before="0" w:after="0" w:line="240" w:lineRule="auto"/>
              <w:jc w:val="center"/>
            </w:pPr>
            <w:r>
              <w:rPr>
                <w:rFonts w:ascii="Arial" w:hAnsi="Arial" w:eastAsia="Arial"/>
                <w:b w:val="0"/>
                <w:color w:val="000000"/>
                <w:sz w:val="16"/>
              </w:rPr>
              <w:t>0.82</w:t>
            </w:r>
          </w:p>
        </w:tc>
        <w:tc>
          <w:tcPr>
            <w:tcW w:w="1020" w:type="dxa"/>
            <w:vAlign w:val="center"/>
            <w:shd w:val="clear" w:color="auto" w:fill="FFFFFF"/>
          </w:tcPr>
          <w:p w14:paraId="006F9215">
            <w:pPr>
              <w:spacing w:before="0" w:after="0" w:line="240" w:lineRule="auto"/>
              <w:jc w:val="center"/>
            </w:pPr>
            <w:r>
              <w:rPr>
                <w:rFonts w:ascii="Arial" w:hAnsi="Arial" w:eastAsia="Arial"/>
                <w:b w:val="0"/>
                <w:color w:val="000000"/>
                <w:sz w:val="16"/>
              </w:rPr>
              <w:t>0.59</w:t>
            </w:r>
          </w:p>
        </w:tc>
        <w:tc>
          <w:tcPr>
            <w:tcW w:w="1020" w:type="dxa"/>
            <w:vAlign w:val="center"/>
            <w:shd w:val="clear" w:color="auto" w:fill="FFFFFF"/>
          </w:tcPr>
          <w:p w14:paraId="284AF7CF">
            <w:pPr>
              <w:spacing w:before="0" w:after="0" w:line="240" w:lineRule="auto"/>
              <w:jc w:val="center"/>
            </w:pPr>
            <w:r>
              <w:rPr>
                <w:rFonts w:ascii="Arial" w:hAnsi="Arial" w:eastAsia="Arial"/>
                <w:b w:val="0"/>
                <w:color w:val="000000"/>
                <w:sz w:val="16"/>
              </w:rPr>
              <w:t>1.14</w:t>
            </w:r>
          </w:p>
        </w:tc>
        <w:tc>
          <w:tcPr>
            <w:tcW w:w="4535" w:type="dxa"/>
            <w:vAlign w:val="center"/>
            <w:shd w:val="clear" w:color="auto" w:fill="FFFFFF"/>
          </w:tcPr>
          <w:p w14:paraId="5CD009B8">
            <w:pPr>
              <w:spacing w:before="0" w:after="0" w:line="240" w:lineRule="auto"/>
              <w:jc w:val="left"/>
            </w:pPr>
            <w:r>
              <w:rPr>
                <w:rFonts w:ascii="Arial" w:hAnsi="Arial" w:eastAsia="Arial"/>
                <w:b w:val="0"/>
                <w:color w:val="000000"/>
                <w:sz w:val="16"/>
              </w:rPr>
              <w:t>Bhatt et al., N Engl J Med 2021</w:t>
            </w:r>
          </w:p>
        </w:tc>
      </w:tr>
      <w:tr w14:paraId="3E83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2BB9094E">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7E80BE42">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02EB3149">
            <w:pPr>
              <w:spacing w:before="0" w:after="0" w:line="240" w:lineRule="auto"/>
              <w:jc w:val="center"/>
            </w:pPr>
            <w:r>
              <w:rPr>
                <w:rFonts w:ascii="Arial" w:hAnsi="Arial" w:eastAsia="Arial"/>
                <w:b w:val="0"/>
                <w:color w:val="000000"/>
                <w:sz w:val="16"/>
              </w:rPr>
              <w:t>0.79</w:t>
            </w:r>
          </w:p>
        </w:tc>
        <w:tc>
          <w:tcPr>
            <w:tcW w:w="1020" w:type="dxa"/>
            <w:vAlign w:val="center"/>
            <w:shd w:val="clear" w:color="auto" w:fill="FFFFFF"/>
          </w:tcPr>
          <w:p w14:paraId="6389B104">
            <w:pPr>
              <w:spacing w:before="0" w:after="0" w:line="240" w:lineRule="auto"/>
              <w:jc w:val="center"/>
            </w:pPr>
            <w:r>
              <w:rPr>
                <w:rFonts w:ascii="Arial" w:hAnsi="Arial" w:eastAsia="Arial"/>
                <w:b w:val="0"/>
                <w:color w:val="000000"/>
                <w:sz w:val="16"/>
              </w:rPr>
              <w:t>0.58</w:t>
            </w:r>
          </w:p>
        </w:tc>
        <w:tc>
          <w:tcPr>
            <w:tcW w:w="1020" w:type="dxa"/>
            <w:vAlign w:val="center"/>
            <w:shd w:val="clear" w:color="auto" w:fill="FFFFFF"/>
          </w:tcPr>
          <w:p w14:paraId="6D23019B">
            <w:pPr>
              <w:spacing w:before="0" w:after="0" w:line="240" w:lineRule="auto"/>
              <w:jc w:val="center"/>
            </w:pPr>
            <w:r>
              <w:rPr>
                <w:rFonts w:ascii="Arial" w:hAnsi="Arial" w:eastAsia="Arial"/>
                <w:b w:val="0"/>
                <w:color w:val="000000"/>
                <w:sz w:val="16"/>
              </w:rPr>
              <w:t>1.07</w:t>
            </w:r>
          </w:p>
        </w:tc>
        <w:tc>
          <w:tcPr>
            <w:tcW w:w="4535" w:type="dxa"/>
            <w:vAlign w:val="center"/>
            <w:shd w:val="clear" w:color="auto" w:fill="FFFFFF"/>
          </w:tcPr>
          <w:p w14:paraId="4AD7AA33">
            <w:pPr>
              <w:spacing w:before="0" w:after="0" w:line="240" w:lineRule="auto"/>
              <w:jc w:val="left"/>
            </w:pPr>
            <w:r>
              <w:rPr>
                <w:rFonts w:ascii="Arial" w:hAnsi="Arial" w:eastAsia="Arial"/>
                <w:b w:val="0"/>
                <w:color w:val="000000"/>
                <w:sz w:val="16"/>
              </w:rPr>
              <w:t>Mahaffey et al., Circulation 2018</w:t>
            </w:r>
          </w:p>
        </w:tc>
      </w:tr>
      <w:tr w14:paraId="4BCCC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642473EE">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64C55F7C">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209EAC49">
            <w:pPr>
              <w:spacing w:before="0" w:after="0" w:line="240" w:lineRule="auto"/>
              <w:jc w:val="center"/>
            </w:pPr>
            <w:r>
              <w:rPr>
                <w:rFonts w:ascii="Arial" w:hAnsi="Arial" w:eastAsia="Arial"/>
                <w:b w:val="0"/>
                <w:color w:val="000000"/>
                <w:sz w:val="16"/>
              </w:rPr>
              <w:t>0.89</w:t>
            </w:r>
          </w:p>
        </w:tc>
        <w:tc>
          <w:tcPr>
            <w:tcW w:w="1020" w:type="dxa"/>
            <w:vAlign w:val="center"/>
            <w:shd w:val="clear" w:color="auto" w:fill="FFFFFF"/>
          </w:tcPr>
          <w:p w14:paraId="63BBDF61">
            <w:pPr>
              <w:spacing w:before="0" w:after="0" w:line="240" w:lineRule="auto"/>
              <w:jc w:val="center"/>
            </w:pPr>
            <w:r>
              <w:rPr>
                <w:rFonts w:ascii="Arial" w:hAnsi="Arial" w:eastAsia="Arial"/>
                <w:b w:val="0"/>
                <w:color w:val="000000"/>
                <w:sz w:val="16"/>
              </w:rPr>
              <w:t>0.63</w:t>
            </w:r>
          </w:p>
        </w:tc>
        <w:tc>
          <w:tcPr>
            <w:tcW w:w="1020" w:type="dxa"/>
            <w:vAlign w:val="center"/>
            <w:shd w:val="clear" w:color="auto" w:fill="FFFFFF"/>
          </w:tcPr>
          <w:p w14:paraId="18C5ED46">
            <w:pPr>
              <w:spacing w:before="0" w:after="0" w:line="240" w:lineRule="auto"/>
              <w:jc w:val="center"/>
            </w:pPr>
            <w:r>
              <w:rPr>
                <w:rFonts w:ascii="Arial" w:hAnsi="Arial" w:eastAsia="Arial"/>
                <w:b w:val="0"/>
                <w:color w:val="000000"/>
                <w:sz w:val="16"/>
              </w:rPr>
              <w:t>1.26</w:t>
            </w:r>
          </w:p>
        </w:tc>
        <w:tc>
          <w:tcPr>
            <w:tcW w:w="4535" w:type="dxa"/>
            <w:vAlign w:val="center"/>
            <w:shd w:val="clear" w:color="auto" w:fill="FFFFFF"/>
          </w:tcPr>
          <w:p w14:paraId="65B2813B">
            <w:pPr>
              <w:spacing w:before="0" w:after="0" w:line="240" w:lineRule="auto"/>
              <w:jc w:val="left"/>
            </w:pPr>
            <w:r>
              <w:rPr>
                <w:rFonts w:ascii="Arial" w:hAnsi="Arial" w:eastAsia="Arial"/>
                <w:b w:val="0"/>
                <w:color w:val="000000"/>
                <w:sz w:val="16"/>
              </w:rPr>
              <w:t>Mahaffey et al., Circulation 2019</w:t>
            </w:r>
          </w:p>
        </w:tc>
      </w:tr>
      <w:tr w14:paraId="61F8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54DEBF8">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130F0F3D">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0AF42714">
            <w:pPr>
              <w:spacing w:before="0" w:after="0" w:line="240" w:lineRule="auto"/>
              <w:jc w:val="center"/>
            </w:pPr>
            <w:r>
              <w:rPr>
                <w:rFonts w:ascii="Arial" w:hAnsi="Arial" w:eastAsia="Arial"/>
                <w:b w:val="0"/>
                <w:color w:val="000000"/>
                <w:sz w:val="16"/>
              </w:rPr>
              <w:t>0.63</w:t>
            </w:r>
          </w:p>
        </w:tc>
        <w:tc>
          <w:tcPr>
            <w:tcW w:w="1020" w:type="dxa"/>
            <w:vAlign w:val="center"/>
            <w:shd w:val="clear" w:color="auto" w:fill="FFFFFF"/>
          </w:tcPr>
          <w:p w14:paraId="0BCE970F">
            <w:pPr>
              <w:spacing w:before="0" w:after="0" w:line="240" w:lineRule="auto"/>
              <w:jc w:val="center"/>
            </w:pPr>
            <w:r>
              <w:rPr>
                <w:rFonts w:ascii="Arial" w:hAnsi="Arial" w:eastAsia="Arial"/>
                <w:b w:val="0"/>
                <w:color w:val="000000"/>
                <w:sz w:val="16"/>
              </w:rPr>
              <w:t>0.41</w:t>
            </w:r>
          </w:p>
        </w:tc>
        <w:tc>
          <w:tcPr>
            <w:tcW w:w="1020" w:type="dxa"/>
            <w:vAlign w:val="center"/>
            <w:shd w:val="clear" w:color="auto" w:fill="FFFFFF"/>
          </w:tcPr>
          <w:p w14:paraId="60AB78D8">
            <w:pPr>
              <w:spacing w:before="0" w:after="0" w:line="240" w:lineRule="auto"/>
              <w:jc w:val="center"/>
            </w:pPr>
            <w:r>
              <w:rPr>
                <w:rFonts w:ascii="Arial" w:hAnsi="Arial" w:eastAsia="Arial"/>
                <w:b w:val="0"/>
                <w:color w:val="000000"/>
                <w:sz w:val="16"/>
              </w:rPr>
              <w:t>0.98</w:t>
            </w:r>
          </w:p>
        </w:tc>
        <w:tc>
          <w:tcPr>
            <w:tcW w:w="4535" w:type="dxa"/>
            <w:vAlign w:val="center"/>
            <w:shd w:val="clear" w:color="auto" w:fill="FFFFFF"/>
          </w:tcPr>
          <w:p w14:paraId="07A6D49A">
            <w:pPr>
              <w:spacing w:before="0" w:after="0" w:line="240" w:lineRule="auto"/>
              <w:jc w:val="left"/>
            </w:pPr>
            <w:r>
              <w:rPr>
                <w:rFonts w:ascii="Arial" w:hAnsi="Arial" w:eastAsia="Arial"/>
                <w:b w:val="0"/>
                <w:color w:val="000000"/>
                <w:sz w:val="16"/>
              </w:rPr>
              <w:t>McMurray et al., Circulation 2021</w:t>
            </w:r>
          </w:p>
        </w:tc>
      </w:tr>
      <w:tr w14:paraId="2DCB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E4138CD">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63B6735F">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6F3CF1AD">
            <w:pPr>
              <w:spacing w:before="0" w:after="0" w:line="240" w:lineRule="auto"/>
              <w:jc w:val="center"/>
            </w:pPr>
            <w:r>
              <w:rPr>
                <w:rFonts w:ascii="Arial" w:hAnsi="Arial" w:eastAsia="Arial"/>
                <w:b w:val="0"/>
                <w:color w:val="000000"/>
                <w:sz w:val="16"/>
              </w:rPr>
              <w:t>0.94</w:t>
            </w:r>
          </w:p>
        </w:tc>
        <w:tc>
          <w:tcPr>
            <w:tcW w:w="1020" w:type="dxa"/>
            <w:vAlign w:val="center"/>
            <w:shd w:val="clear" w:color="auto" w:fill="FFFFFF"/>
          </w:tcPr>
          <w:p w14:paraId="17319EEA">
            <w:pPr>
              <w:spacing w:before="0" w:after="0" w:line="240" w:lineRule="auto"/>
              <w:jc w:val="center"/>
            </w:pPr>
            <w:r>
              <w:rPr>
                <w:rFonts w:ascii="Arial" w:hAnsi="Arial" w:eastAsia="Arial"/>
                <w:b w:val="0"/>
                <w:color w:val="000000"/>
                <w:sz w:val="16"/>
              </w:rPr>
              <w:t>0.78</w:t>
            </w:r>
          </w:p>
        </w:tc>
        <w:tc>
          <w:tcPr>
            <w:tcW w:w="1020" w:type="dxa"/>
            <w:vAlign w:val="center"/>
            <w:shd w:val="clear" w:color="auto" w:fill="FFFFFF"/>
          </w:tcPr>
          <w:p w14:paraId="5788ABF0">
            <w:pPr>
              <w:spacing w:before="0" w:after="0" w:line="240" w:lineRule="auto"/>
              <w:jc w:val="center"/>
            </w:pPr>
            <w:r>
              <w:rPr>
                <w:rFonts w:ascii="Arial" w:hAnsi="Arial" w:eastAsia="Arial"/>
                <w:b w:val="0"/>
                <w:color w:val="000000"/>
                <w:sz w:val="16"/>
              </w:rPr>
              <w:t>1.12</w:t>
            </w:r>
          </w:p>
        </w:tc>
        <w:tc>
          <w:tcPr>
            <w:tcW w:w="4535" w:type="dxa"/>
            <w:vAlign w:val="center"/>
            <w:shd w:val="clear" w:color="auto" w:fill="FFFFFF"/>
          </w:tcPr>
          <w:p w14:paraId="62BE9C0A">
            <w:pPr>
              <w:spacing w:before="0" w:after="0" w:line="240" w:lineRule="auto"/>
              <w:jc w:val="left"/>
            </w:pPr>
            <w:r>
              <w:rPr>
                <w:rFonts w:ascii="Arial" w:hAnsi="Arial" w:eastAsia="Arial"/>
                <w:b w:val="0"/>
                <w:color w:val="000000"/>
                <w:sz w:val="16"/>
              </w:rPr>
              <w:t>Wiviott et al., N Engl J Med 2019; published subgroup analysis</w:t>
            </w:r>
          </w:p>
        </w:tc>
      </w:tr>
    </w:tbl>
    <w:p w14:paraId="46D08081">
      <w:r>
        <w:rPr>
          <w:color w:val="000000"/>
        </w:rPr>
        <w:br w:type="page"/>
      </w:r>
    </w:p>
    <w:p w14:paraId="547D88EB">
      <w:pPr>
        <w:pStyle w:val="5"/>
        <w:spacing w:before="160" w:after="80"/>
      </w:pPr>
      <w:r>
        <w:rPr>
          <w:rFonts w:ascii="Arial" w:hAnsi="Arial" w:eastAsia="Arial"/>
          <w:color w:val="000000"/>
        </w:rPr>
        <w:t>Panel F. Cardiovascular death</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8"/>
        <w:gridCol w:w="1814"/>
        <w:gridCol w:w="850"/>
        <w:gridCol w:w="1020"/>
        <w:gridCol w:w="1020"/>
        <w:gridCol w:w="4535"/>
      </w:tblGrid>
      <w:tr w14:paraId="68F9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68" w:type="dxa"/>
            <w:vAlign w:val="center"/>
            <w:shd w:val="clear" w:color="auto" w:fill="FFFFFF"/>
          </w:tcPr>
          <w:p w14:paraId="7B09D3D6">
            <w:pPr>
              <w:spacing w:before="0" w:after="0" w:line="240" w:lineRule="auto"/>
              <w:jc w:val="center"/>
            </w:pPr>
            <w:r>
              <w:rPr>
                <w:rFonts w:ascii="Arial" w:hAnsi="Arial" w:eastAsia="Arial"/>
                <w:b/>
                <w:color w:val="000000"/>
                <w:sz w:val="16"/>
              </w:rPr>
              <w:t>Study</w:t>
            </w:r>
          </w:p>
        </w:tc>
        <w:tc>
          <w:tcPr>
            <w:tcW w:w="1814" w:type="dxa"/>
            <w:vAlign w:val="center"/>
            <w:shd w:val="clear" w:color="auto" w:fill="FFFFFF"/>
          </w:tcPr>
          <w:p w14:paraId="3E517B60">
            <w:pPr>
              <w:spacing w:before="0" w:after="0" w:line="240" w:lineRule="auto"/>
              <w:jc w:val="center"/>
            </w:pPr>
            <w:r>
              <w:rPr>
                <w:rFonts w:ascii="Arial" w:hAnsi="Arial" w:eastAsia="Arial"/>
                <w:b/>
                <w:color w:val="000000"/>
                <w:sz w:val="16"/>
              </w:rPr>
              <w:t>CKM stage group</w:t>
            </w:r>
          </w:p>
        </w:tc>
        <w:tc>
          <w:tcPr>
            <w:tcW w:w="850" w:type="dxa"/>
            <w:vAlign w:val="center"/>
            <w:shd w:val="clear" w:color="auto" w:fill="FFFFFF"/>
          </w:tcPr>
          <w:p w14:paraId="1EDB562A">
            <w:pPr>
              <w:spacing w:before="0" w:after="0" w:line="240" w:lineRule="auto"/>
              <w:jc w:val="center"/>
            </w:pPr>
            <w:r>
              <w:rPr>
                <w:rFonts w:ascii="Arial" w:hAnsi="Arial" w:eastAsia="Arial"/>
                <w:b/>
                <w:color w:val="000000"/>
                <w:sz w:val="16"/>
              </w:rPr>
              <w:t>HR</w:t>
            </w:r>
          </w:p>
        </w:tc>
        <w:tc>
          <w:tcPr>
            <w:tcW w:w="1020" w:type="dxa"/>
            <w:vAlign w:val="center"/>
            <w:shd w:val="clear" w:color="auto" w:fill="FFFFFF"/>
          </w:tcPr>
          <w:p w14:paraId="18817AC6">
            <w:pPr>
              <w:spacing w:before="0" w:after="0" w:line="240" w:lineRule="auto"/>
              <w:jc w:val="center"/>
            </w:pPr>
            <w:r>
              <w:rPr>
                <w:rFonts w:ascii="Arial" w:hAnsi="Arial" w:eastAsia="Arial"/>
                <w:b/>
                <w:color w:val="000000"/>
                <w:sz w:val="16"/>
              </w:rPr>
              <w:t>Lower 95% CI</w:t>
            </w:r>
          </w:p>
        </w:tc>
        <w:tc>
          <w:tcPr>
            <w:tcW w:w="1020" w:type="dxa"/>
            <w:vAlign w:val="center"/>
            <w:shd w:val="clear" w:color="auto" w:fill="FFFFFF"/>
          </w:tcPr>
          <w:p w14:paraId="008B51C0">
            <w:pPr>
              <w:spacing w:before="0" w:after="0" w:line="240" w:lineRule="auto"/>
              <w:jc w:val="center"/>
            </w:pPr>
            <w:r>
              <w:rPr>
                <w:rFonts w:ascii="Arial" w:hAnsi="Arial" w:eastAsia="Arial"/>
                <w:b/>
                <w:color w:val="000000"/>
                <w:sz w:val="16"/>
              </w:rPr>
              <w:t>Upper 95% CI</w:t>
            </w:r>
          </w:p>
        </w:tc>
        <w:tc>
          <w:tcPr>
            <w:tcW w:w="4535" w:type="dxa"/>
            <w:vAlign w:val="center"/>
            <w:shd w:val="clear" w:color="auto" w:fill="FFFFFF"/>
          </w:tcPr>
          <w:p w14:paraId="5125C4FB">
            <w:pPr>
              <w:spacing w:before="0" w:after="0" w:line="240" w:lineRule="auto"/>
              <w:jc w:val="center"/>
            </w:pPr>
            <w:r>
              <w:rPr>
                <w:rFonts w:ascii="Arial" w:hAnsi="Arial" w:eastAsia="Arial"/>
                <w:b/>
                <w:color w:val="000000"/>
                <w:sz w:val="16"/>
              </w:rPr>
              <w:t>Source publication</w:t>
            </w:r>
          </w:p>
        </w:tc>
      </w:tr>
      <w:tr w14:paraId="7129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F8F6DA6">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5098F79D">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4AF66867">
            <w:pPr>
              <w:spacing w:before="0" w:after="0" w:line="240" w:lineRule="auto"/>
              <w:jc w:val="center"/>
            </w:pPr>
            <w:r>
              <w:rPr>
                <w:rFonts w:ascii="Arial" w:hAnsi="Arial" w:eastAsia="Arial"/>
                <w:b w:val="0"/>
                <w:color w:val="000000"/>
                <w:sz w:val="16"/>
              </w:rPr>
              <w:t>0.86</w:t>
            </w:r>
          </w:p>
        </w:tc>
        <w:tc>
          <w:tcPr>
            <w:tcW w:w="1020" w:type="dxa"/>
            <w:vAlign w:val="center"/>
            <w:shd w:val="clear" w:color="auto" w:fill="FFFFFF"/>
          </w:tcPr>
          <w:p w14:paraId="09ECE4C4">
            <w:pPr>
              <w:spacing w:before="0" w:after="0" w:line="240" w:lineRule="auto"/>
              <w:jc w:val="center"/>
            </w:pPr>
            <w:r>
              <w:rPr>
                <w:rFonts w:ascii="Arial" w:hAnsi="Arial" w:eastAsia="Arial"/>
                <w:b w:val="0"/>
                <w:color w:val="000000"/>
                <w:sz w:val="16"/>
              </w:rPr>
              <w:t>0.70</w:t>
            </w:r>
          </w:p>
        </w:tc>
        <w:tc>
          <w:tcPr>
            <w:tcW w:w="1020" w:type="dxa"/>
            <w:vAlign w:val="center"/>
            <w:shd w:val="clear" w:color="auto" w:fill="FFFFFF"/>
          </w:tcPr>
          <w:p w14:paraId="2E90B577">
            <w:pPr>
              <w:spacing w:before="0" w:after="0" w:line="240" w:lineRule="auto"/>
              <w:jc w:val="center"/>
            </w:pPr>
            <w:r>
              <w:rPr>
                <w:rFonts w:ascii="Arial" w:hAnsi="Arial" w:eastAsia="Arial"/>
                <w:b w:val="0"/>
                <w:color w:val="000000"/>
                <w:sz w:val="16"/>
              </w:rPr>
              <w:t>1.06</w:t>
            </w:r>
          </w:p>
        </w:tc>
        <w:tc>
          <w:tcPr>
            <w:tcW w:w="4535" w:type="dxa"/>
            <w:vAlign w:val="center"/>
            <w:shd w:val="clear" w:color="auto" w:fill="FFFFFF"/>
          </w:tcPr>
          <w:p w14:paraId="4D62C122">
            <w:pPr>
              <w:spacing w:before="0" w:after="0" w:line="240" w:lineRule="auto"/>
              <w:jc w:val="left"/>
            </w:pPr>
            <w:r>
              <w:rPr>
                <w:rFonts w:ascii="Arial" w:hAnsi="Arial" w:eastAsia="Arial"/>
                <w:b w:val="0"/>
                <w:color w:val="000000"/>
                <w:sz w:val="16"/>
              </w:rPr>
              <w:t>Mahaffey et al., Circulation 2018</w:t>
            </w:r>
          </w:p>
        </w:tc>
      </w:tr>
      <w:tr w14:paraId="58B0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6A80F0C">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2A260699">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229A01D8">
            <w:pPr>
              <w:spacing w:before="0" w:after="0" w:line="240" w:lineRule="auto"/>
              <w:jc w:val="center"/>
            </w:pPr>
            <w:r>
              <w:rPr>
                <w:rFonts w:ascii="Arial" w:hAnsi="Arial" w:eastAsia="Arial"/>
                <w:b w:val="0"/>
                <w:color w:val="000000"/>
                <w:sz w:val="16"/>
              </w:rPr>
              <w:t>0.79</w:t>
            </w:r>
          </w:p>
        </w:tc>
        <w:tc>
          <w:tcPr>
            <w:tcW w:w="1020" w:type="dxa"/>
            <w:vAlign w:val="center"/>
            <w:shd w:val="clear" w:color="auto" w:fill="FFFFFF"/>
          </w:tcPr>
          <w:p w14:paraId="0023FAA9">
            <w:pPr>
              <w:spacing w:before="0" w:after="0" w:line="240" w:lineRule="auto"/>
              <w:jc w:val="center"/>
            </w:pPr>
            <w:r>
              <w:rPr>
                <w:rFonts w:ascii="Arial" w:hAnsi="Arial" w:eastAsia="Arial"/>
                <w:b w:val="0"/>
                <w:color w:val="000000"/>
                <w:sz w:val="16"/>
              </w:rPr>
              <w:t>0.58</w:t>
            </w:r>
          </w:p>
        </w:tc>
        <w:tc>
          <w:tcPr>
            <w:tcW w:w="1020" w:type="dxa"/>
            <w:vAlign w:val="center"/>
            <w:shd w:val="clear" w:color="auto" w:fill="FFFFFF"/>
          </w:tcPr>
          <w:p w14:paraId="5900A05B">
            <w:pPr>
              <w:spacing w:before="0" w:after="0" w:line="240" w:lineRule="auto"/>
              <w:jc w:val="center"/>
            </w:pPr>
            <w:r>
              <w:rPr>
                <w:rFonts w:ascii="Arial" w:hAnsi="Arial" w:eastAsia="Arial"/>
                <w:b w:val="0"/>
                <w:color w:val="000000"/>
                <w:sz w:val="16"/>
              </w:rPr>
              <w:t>1.07</w:t>
            </w:r>
          </w:p>
        </w:tc>
        <w:tc>
          <w:tcPr>
            <w:tcW w:w="4535" w:type="dxa"/>
            <w:vAlign w:val="center"/>
            <w:shd w:val="clear" w:color="auto" w:fill="FFFFFF"/>
          </w:tcPr>
          <w:p w14:paraId="2D94392E">
            <w:pPr>
              <w:spacing w:before="0" w:after="0" w:line="240" w:lineRule="auto"/>
              <w:jc w:val="left"/>
            </w:pPr>
            <w:r>
              <w:rPr>
                <w:rFonts w:ascii="Arial" w:hAnsi="Arial" w:eastAsia="Arial"/>
                <w:b w:val="0"/>
                <w:color w:val="000000"/>
                <w:sz w:val="16"/>
              </w:rPr>
              <w:t>Mahaffey et al., Circulation 2019</w:t>
            </w:r>
          </w:p>
        </w:tc>
      </w:tr>
      <w:tr w14:paraId="6339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47EA2D88">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6F41B7A9">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44EF47F7">
            <w:pPr>
              <w:spacing w:before="0" w:after="0" w:line="240" w:lineRule="auto"/>
              <w:jc w:val="center"/>
            </w:pPr>
            <w:r>
              <w:rPr>
                <w:rFonts w:ascii="Arial" w:hAnsi="Arial" w:eastAsia="Arial"/>
                <w:b w:val="0"/>
                <w:color w:val="000000"/>
                <w:sz w:val="16"/>
              </w:rPr>
              <w:t>0.77</w:t>
            </w:r>
          </w:p>
        </w:tc>
        <w:tc>
          <w:tcPr>
            <w:tcW w:w="1020" w:type="dxa"/>
            <w:vAlign w:val="center"/>
            <w:shd w:val="clear" w:color="auto" w:fill="FFFFFF"/>
          </w:tcPr>
          <w:p w14:paraId="7068AF6F">
            <w:pPr>
              <w:spacing w:before="0" w:after="0" w:line="240" w:lineRule="auto"/>
              <w:jc w:val="center"/>
            </w:pPr>
            <w:r>
              <w:rPr>
                <w:rFonts w:ascii="Arial" w:hAnsi="Arial" w:eastAsia="Arial"/>
                <w:b w:val="0"/>
                <w:color w:val="000000"/>
                <w:sz w:val="16"/>
              </w:rPr>
              <w:t>0.52</w:t>
            </w:r>
          </w:p>
        </w:tc>
        <w:tc>
          <w:tcPr>
            <w:tcW w:w="1020" w:type="dxa"/>
            <w:vAlign w:val="center"/>
            <w:shd w:val="clear" w:color="auto" w:fill="FFFFFF"/>
          </w:tcPr>
          <w:p w14:paraId="43FA170D">
            <w:pPr>
              <w:spacing w:before="0" w:after="0" w:line="240" w:lineRule="auto"/>
              <w:jc w:val="center"/>
            </w:pPr>
            <w:r>
              <w:rPr>
                <w:rFonts w:ascii="Arial" w:hAnsi="Arial" w:eastAsia="Arial"/>
                <w:b w:val="0"/>
                <w:color w:val="000000"/>
                <w:sz w:val="16"/>
              </w:rPr>
              <w:t>1.14</w:t>
            </w:r>
          </w:p>
        </w:tc>
        <w:tc>
          <w:tcPr>
            <w:tcW w:w="4535" w:type="dxa"/>
            <w:vAlign w:val="center"/>
            <w:shd w:val="clear" w:color="auto" w:fill="FFFFFF"/>
          </w:tcPr>
          <w:p w14:paraId="3BC0C7E1">
            <w:pPr>
              <w:spacing w:before="0" w:after="0" w:line="240" w:lineRule="auto"/>
              <w:jc w:val="left"/>
            </w:pPr>
            <w:r>
              <w:rPr>
                <w:rFonts w:ascii="Arial" w:hAnsi="Arial" w:eastAsia="Arial"/>
                <w:b w:val="0"/>
                <w:color w:val="000000"/>
                <w:sz w:val="16"/>
              </w:rPr>
              <w:t>McMurray et al., Circulation 2021</w:t>
            </w:r>
          </w:p>
        </w:tc>
      </w:tr>
      <w:tr w14:paraId="1F9D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558A4F00">
            <w:pPr>
              <w:spacing w:before="0" w:after="0" w:line="240" w:lineRule="auto"/>
              <w:jc w:val="left"/>
            </w:pPr>
            <w:r>
              <w:rPr>
                <w:rFonts w:ascii="Arial" w:hAnsi="Arial" w:eastAsia="Arial"/>
                <w:b w:val="0"/>
                <w:color w:val="000000"/>
                <w:sz w:val="16"/>
              </w:rPr>
              <w:t>DAPA-HF</w:t>
            </w:r>
          </w:p>
        </w:tc>
        <w:tc>
          <w:tcPr>
            <w:tcW w:w="1814" w:type="dxa"/>
            <w:vAlign w:val="center"/>
            <w:shd w:val="clear" w:color="auto" w:fill="FFFFFF"/>
          </w:tcPr>
          <w:p w14:paraId="4395FA40">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1A9F6ABB">
            <w:pPr>
              <w:spacing w:before="0" w:after="0" w:line="240" w:lineRule="auto"/>
              <w:jc w:val="center"/>
            </w:pPr>
            <w:r>
              <w:rPr>
                <w:rFonts w:ascii="Arial" w:hAnsi="Arial" w:eastAsia="Arial"/>
                <w:b w:val="0"/>
                <w:color w:val="000000"/>
                <w:sz w:val="16"/>
              </w:rPr>
              <w:t>0.82</w:t>
            </w:r>
          </w:p>
        </w:tc>
        <w:tc>
          <w:tcPr>
            <w:tcW w:w="1020" w:type="dxa"/>
            <w:vAlign w:val="center"/>
            <w:shd w:val="clear" w:color="auto" w:fill="FFFFFF"/>
          </w:tcPr>
          <w:p w14:paraId="15B5AF3C">
            <w:pPr>
              <w:spacing w:before="0" w:after="0" w:line="240" w:lineRule="auto"/>
              <w:jc w:val="center"/>
            </w:pPr>
            <w:r>
              <w:rPr>
                <w:rFonts w:ascii="Arial" w:hAnsi="Arial" w:eastAsia="Arial"/>
                <w:b w:val="0"/>
                <w:color w:val="000000"/>
                <w:sz w:val="16"/>
              </w:rPr>
              <w:t>0.69</w:t>
            </w:r>
          </w:p>
        </w:tc>
        <w:tc>
          <w:tcPr>
            <w:tcW w:w="1020" w:type="dxa"/>
            <w:vAlign w:val="center"/>
            <w:shd w:val="clear" w:color="auto" w:fill="FFFFFF"/>
          </w:tcPr>
          <w:p w14:paraId="6EB56D99">
            <w:pPr>
              <w:spacing w:before="0" w:after="0" w:line="240" w:lineRule="auto"/>
              <w:jc w:val="center"/>
            </w:pPr>
            <w:r>
              <w:rPr>
                <w:rFonts w:ascii="Arial" w:hAnsi="Arial" w:eastAsia="Arial"/>
                <w:b w:val="0"/>
                <w:color w:val="000000"/>
                <w:sz w:val="16"/>
              </w:rPr>
              <w:t>0.98</w:t>
            </w:r>
          </w:p>
        </w:tc>
        <w:tc>
          <w:tcPr>
            <w:tcW w:w="4535" w:type="dxa"/>
            <w:vAlign w:val="center"/>
            <w:shd w:val="clear" w:color="auto" w:fill="FFFFFF"/>
          </w:tcPr>
          <w:p w14:paraId="3EA4CD8F">
            <w:pPr>
              <w:spacing w:before="0" w:after="0" w:line="240" w:lineRule="auto"/>
              <w:jc w:val="left"/>
            </w:pPr>
            <w:r>
              <w:rPr>
                <w:rFonts w:ascii="Arial" w:hAnsi="Arial" w:eastAsia="Arial"/>
                <w:b w:val="0"/>
                <w:color w:val="000000"/>
                <w:sz w:val="16"/>
              </w:rPr>
              <w:t>McMurray et al., N Engl J Med 2019</w:t>
            </w:r>
          </w:p>
        </w:tc>
      </w:tr>
      <w:tr w14:paraId="3C83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43947776">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773BCC68">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574F524E">
            <w:pPr>
              <w:spacing w:before="0" w:after="0" w:line="240" w:lineRule="auto"/>
              <w:jc w:val="center"/>
            </w:pPr>
            <w:r>
              <w:rPr>
                <w:rFonts w:ascii="Arial" w:hAnsi="Arial" w:eastAsia="Arial"/>
                <w:b w:val="0"/>
                <w:color w:val="000000"/>
                <w:sz w:val="16"/>
              </w:rPr>
              <w:t>0.94</w:t>
            </w:r>
          </w:p>
        </w:tc>
        <w:tc>
          <w:tcPr>
            <w:tcW w:w="1020" w:type="dxa"/>
            <w:vAlign w:val="center"/>
            <w:shd w:val="clear" w:color="auto" w:fill="FFFFFF"/>
          </w:tcPr>
          <w:p w14:paraId="24F2FF45">
            <w:pPr>
              <w:spacing w:before="0" w:after="0" w:line="240" w:lineRule="auto"/>
              <w:jc w:val="center"/>
            </w:pPr>
            <w:r>
              <w:rPr>
                <w:rFonts w:ascii="Arial" w:hAnsi="Arial" w:eastAsia="Arial"/>
                <w:b w:val="0"/>
                <w:color w:val="000000"/>
                <w:sz w:val="16"/>
              </w:rPr>
              <w:t>0.76</w:t>
            </w:r>
          </w:p>
        </w:tc>
        <w:tc>
          <w:tcPr>
            <w:tcW w:w="1020" w:type="dxa"/>
            <w:vAlign w:val="center"/>
            <w:shd w:val="clear" w:color="auto" w:fill="FFFFFF"/>
          </w:tcPr>
          <w:p w14:paraId="7EDCE7D3">
            <w:pPr>
              <w:spacing w:before="0" w:after="0" w:line="240" w:lineRule="auto"/>
              <w:jc w:val="center"/>
            </w:pPr>
            <w:r>
              <w:rPr>
                <w:rFonts w:ascii="Arial" w:hAnsi="Arial" w:eastAsia="Arial"/>
                <w:b w:val="0"/>
                <w:color w:val="000000"/>
                <w:sz w:val="16"/>
              </w:rPr>
              <w:t>1.18</w:t>
            </w:r>
          </w:p>
        </w:tc>
        <w:tc>
          <w:tcPr>
            <w:tcW w:w="4535" w:type="dxa"/>
            <w:vAlign w:val="center"/>
            <w:shd w:val="clear" w:color="auto" w:fill="FFFFFF"/>
          </w:tcPr>
          <w:p w14:paraId="090DD188">
            <w:pPr>
              <w:spacing w:before="0" w:after="0" w:line="240" w:lineRule="auto"/>
              <w:jc w:val="left"/>
            </w:pPr>
            <w:r>
              <w:rPr>
                <w:rFonts w:ascii="Arial" w:hAnsi="Arial" w:eastAsia="Arial"/>
                <w:b w:val="0"/>
                <w:color w:val="000000"/>
                <w:sz w:val="16"/>
              </w:rPr>
              <w:t>Wiviott et al., N Engl J Med 2019; published subgroup analysis</w:t>
            </w:r>
          </w:p>
        </w:tc>
      </w:tr>
      <w:tr w14:paraId="1F5D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48052BA9">
            <w:pPr>
              <w:spacing w:before="0" w:after="0" w:line="240" w:lineRule="auto"/>
              <w:jc w:val="left"/>
            </w:pPr>
            <w:r>
              <w:rPr>
                <w:rFonts w:ascii="Arial" w:hAnsi="Arial" w:eastAsia="Arial"/>
                <w:b w:val="0"/>
                <w:color w:val="000000"/>
                <w:sz w:val="16"/>
              </w:rPr>
              <w:t>DELIVER</w:t>
            </w:r>
          </w:p>
        </w:tc>
        <w:tc>
          <w:tcPr>
            <w:tcW w:w="1814" w:type="dxa"/>
            <w:vAlign w:val="center"/>
            <w:shd w:val="clear" w:color="auto" w:fill="FFFFFF"/>
          </w:tcPr>
          <w:p w14:paraId="70C2F733">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476A230B">
            <w:pPr>
              <w:spacing w:before="0" w:after="0" w:line="240" w:lineRule="auto"/>
              <w:jc w:val="center"/>
            </w:pPr>
            <w:r>
              <w:rPr>
                <w:rFonts w:ascii="Arial" w:hAnsi="Arial" w:eastAsia="Arial"/>
                <w:b w:val="0"/>
                <w:color w:val="000000"/>
                <w:sz w:val="16"/>
              </w:rPr>
              <w:t>0.88</w:t>
            </w:r>
          </w:p>
        </w:tc>
        <w:tc>
          <w:tcPr>
            <w:tcW w:w="1020" w:type="dxa"/>
            <w:vAlign w:val="center"/>
            <w:shd w:val="clear" w:color="auto" w:fill="FFFFFF"/>
          </w:tcPr>
          <w:p w14:paraId="7B0EF845">
            <w:pPr>
              <w:spacing w:before="0" w:after="0" w:line="240" w:lineRule="auto"/>
              <w:jc w:val="center"/>
            </w:pPr>
            <w:r>
              <w:rPr>
                <w:rFonts w:ascii="Arial" w:hAnsi="Arial" w:eastAsia="Arial"/>
                <w:b w:val="0"/>
                <w:color w:val="000000"/>
                <w:sz w:val="16"/>
              </w:rPr>
              <w:t>0.74</w:t>
            </w:r>
          </w:p>
        </w:tc>
        <w:tc>
          <w:tcPr>
            <w:tcW w:w="1020" w:type="dxa"/>
            <w:vAlign w:val="center"/>
            <w:shd w:val="clear" w:color="auto" w:fill="FFFFFF"/>
          </w:tcPr>
          <w:p w14:paraId="4F7E0F2C">
            <w:pPr>
              <w:spacing w:before="0" w:after="0" w:line="240" w:lineRule="auto"/>
              <w:jc w:val="center"/>
            </w:pPr>
            <w:r>
              <w:rPr>
                <w:rFonts w:ascii="Arial" w:hAnsi="Arial" w:eastAsia="Arial"/>
                <w:b w:val="0"/>
                <w:color w:val="000000"/>
                <w:sz w:val="16"/>
              </w:rPr>
              <w:t>1.05</w:t>
            </w:r>
          </w:p>
        </w:tc>
        <w:tc>
          <w:tcPr>
            <w:tcW w:w="4535" w:type="dxa"/>
            <w:vAlign w:val="center"/>
            <w:shd w:val="clear" w:color="auto" w:fill="FFFFFF"/>
          </w:tcPr>
          <w:p w14:paraId="11602215">
            <w:pPr>
              <w:spacing w:before="0" w:after="0" w:line="240" w:lineRule="auto"/>
              <w:jc w:val="left"/>
            </w:pPr>
            <w:r>
              <w:rPr>
                <w:rFonts w:ascii="Arial" w:hAnsi="Arial" w:eastAsia="Arial"/>
                <w:b w:val="0"/>
                <w:color w:val="000000"/>
                <w:sz w:val="16"/>
              </w:rPr>
              <w:t>Solomon et al., N Engl J Med 2022</w:t>
            </w:r>
          </w:p>
        </w:tc>
      </w:tr>
      <w:tr w14:paraId="3959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14FD73AF">
            <w:pPr>
              <w:spacing w:before="0" w:after="0" w:line="240" w:lineRule="auto"/>
              <w:jc w:val="left"/>
            </w:pPr>
            <w:r>
              <w:rPr>
                <w:rFonts w:ascii="Arial" w:hAnsi="Arial" w:eastAsia="Arial"/>
                <w:b w:val="0"/>
                <w:color w:val="000000"/>
                <w:sz w:val="16"/>
              </w:rPr>
              <w:t>EMPA-REG OUTCOME</w:t>
            </w:r>
          </w:p>
        </w:tc>
        <w:tc>
          <w:tcPr>
            <w:tcW w:w="1814" w:type="dxa"/>
            <w:vAlign w:val="center"/>
            <w:shd w:val="clear" w:color="auto" w:fill="FFFFFF"/>
          </w:tcPr>
          <w:p w14:paraId="0DC51854">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66E9114A">
            <w:pPr>
              <w:spacing w:before="0" w:after="0" w:line="240" w:lineRule="auto"/>
              <w:jc w:val="center"/>
            </w:pPr>
            <w:r>
              <w:rPr>
                <w:rFonts w:ascii="Arial" w:hAnsi="Arial" w:eastAsia="Arial"/>
                <w:b w:val="0"/>
                <w:color w:val="000000"/>
                <w:sz w:val="16"/>
              </w:rPr>
              <w:t>0.62</w:t>
            </w:r>
          </w:p>
        </w:tc>
        <w:tc>
          <w:tcPr>
            <w:tcW w:w="1020" w:type="dxa"/>
            <w:vAlign w:val="center"/>
            <w:shd w:val="clear" w:color="auto" w:fill="FFFFFF"/>
          </w:tcPr>
          <w:p w14:paraId="256A0ED7">
            <w:pPr>
              <w:spacing w:before="0" w:after="0" w:line="240" w:lineRule="auto"/>
              <w:jc w:val="center"/>
            </w:pPr>
            <w:r>
              <w:rPr>
                <w:rFonts w:ascii="Arial" w:hAnsi="Arial" w:eastAsia="Arial"/>
                <w:b w:val="0"/>
                <w:color w:val="000000"/>
                <w:sz w:val="16"/>
              </w:rPr>
              <w:t>0.49</w:t>
            </w:r>
          </w:p>
        </w:tc>
        <w:tc>
          <w:tcPr>
            <w:tcW w:w="1020" w:type="dxa"/>
            <w:vAlign w:val="center"/>
            <w:shd w:val="clear" w:color="auto" w:fill="FFFFFF"/>
          </w:tcPr>
          <w:p w14:paraId="60215FEA">
            <w:pPr>
              <w:spacing w:before="0" w:after="0" w:line="240" w:lineRule="auto"/>
              <w:jc w:val="center"/>
            </w:pPr>
            <w:r>
              <w:rPr>
                <w:rFonts w:ascii="Arial" w:hAnsi="Arial" w:eastAsia="Arial"/>
                <w:b w:val="0"/>
                <w:color w:val="000000"/>
                <w:sz w:val="16"/>
              </w:rPr>
              <w:t>0.77</w:t>
            </w:r>
          </w:p>
        </w:tc>
        <w:tc>
          <w:tcPr>
            <w:tcW w:w="4535" w:type="dxa"/>
            <w:vAlign w:val="center"/>
            <w:shd w:val="clear" w:color="auto" w:fill="FFFFFF"/>
          </w:tcPr>
          <w:p w14:paraId="77B13FC8">
            <w:pPr>
              <w:spacing w:before="0" w:after="0" w:line="240" w:lineRule="auto"/>
              <w:jc w:val="left"/>
            </w:pPr>
            <w:r>
              <w:rPr>
                <w:rFonts w:ascii="Arial" w:hAnsi="Arial" w:eastAsia="Arial"/>
                <w:b w:val="0"/>
                <w:color w:val="000000"/>
                <w:sz w:val="16"/>
              </w:rPr>
              <w:t>Zinman et al., N Engl J Med 2015</w:t>
            </w:r>
          </w:p>
        </w:tc>
      </w:tr>
      <w:tr w14:paraId="228E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5F05E24">
            <w:pPr>
              <w:spacing w:before="0" w:after="0" w:line="240" w:lineRule="auto"/>
              <w:jc w:val="left"/>
            </w:pPr>
            <w:r>
              <w:rPr>
                <w:rFonts w:ascii="Arial" w:hAnsi="Arial" w:eastAsia="Arial"/>
                <w:b w:val="0"/>
                <w:color w:val="000000"/>
                <w:sz w:val="16"/>
              </w:rPr>
              <w:t>EMPEROR-Preserved</w:t>
            </w:r>
          </w:p>
        </w:tc>
        <w:tc>
          <w:tcPr>
            <w:tcW w:w="1814" w:type="dxa"/>
            <w:vAlign w:val="center"/>
            <w:shd w:val="clear" w:color="auto" w:fill="FFFFFF"/>
          </w:tcPr>
          <w:p w14:paraId="4747BABE">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3A5A05A8">
            <w:pPr>
              <w:spacing w:before="0" w:after="0" w:line="240" w:lineRule="auto"/>
              <w:jc w:val="center"/>
            </w:pPr>
            <w:r>
              <w:rPr>
                <w:rFonts w:ascii="Arial" w:hAnsi="Arial" w:eastAsia="Arial"/>
                <w:b w:val="0"/>
                <w:color w:val="000000"/>
                <w:sz w:val="16"/>
              </w:rPr>
              <w:t>0.91</w:t>
            </w:r>
          </w:p>
        </w:tc>
        <w:tc>
          <w:tcPr>
            <w:tcW w:w="1020" w:type="dxa"/>
            <w:vAlign w:val="center"/>
            <w:shd w:val="clear" w:color="auto" w:fill="FFFFFF"/>
          </w:tcPr>
          <w:p w14:paraId="23FD6B22">
            <w:pPr>
              <w:spacing w:before="0" w:after="0" w:line="240" w:lineRule="auto"/>
              <w:jc w:val="center"/>
            </w:pPr>
            <w:r>
              <w:rPr>
                <w:rFonts w:ascii="Arial" w:hAnsi="Arial" w:eastAsia="Arial"/>
                <w:b w:val="0"/>
                <w:color w:val="000000"/>
                <w:sz w:val="16"/>
              </w:rPr>
              <w:t>0.76</w:t>
            </w:r>
          </w:p>
        </w:tc>
        <w:tc>
          <w:tcPr>
            <w:tcW w:w="1020" w:type="dxa"/>
            <w:vAlign w:val="center"/>
            <w:shd w:val="clear" w:color="auto" w:fill="FFFFFF"/>
          </w:tcPr>
          <w:p w14:paraId="64DF2364">
            <w:pPr>
              <w:spacing w:before="0" w:after="0" w:line="240" w:lineRule="auto"/>
              <w:jc w:val="center"/>
            </w:pPr>
            <w:r>
              <w:rPr>
                <w:rFonts w:ascii="Arial" w:hAnsi="Arial" w:eastAsia="Arial"/>
                <w:b w:val="0"/>
                <w:color w:val="000000"/>
                <w:sz w:val="16"/>
              </w:rPr>
              <w:t>1.09</w:t>
            </w:r>
          </w:p>
        </w:tc>
        <w:tc>
          <w:tcPr>
            <w:tcW w:w="4535" w:type="dxa"/>
            <w:vAlign w:val="center"/>
            <w:shd w:val="clear" w:color="auto" w:fill="FFFFFF"/>
          </w:tcPr>
          <w:p w14:paraId="379FF89B">
            <w:pPr>
              <w:spacing w:before="0" w:after="0" w:line="240" w:lineRule="auto"/>
              <w:jc w:val="left"/>
            </w:pPr>
            <w:r>
              <w:rPr>
                <w:rFonts w:ascii="Arial" w:hAnsi="Arial" w:eastAsia="Arial"/>
                <w:b w:val="0"/>
                <w:color w:val="000000"/>
                <w:sz w:val="16"/>
              </w:rPr>
              <w:t>Anker et al., N Engl J Med 2021</w:t>
            </w:r>
          </w:p>
        </w:tc>
      </w:tr>
      <w:tr w14:paraId="1032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2D471278">
            <w:pPr>
              <w:spacing w:before="0" w:after="0" w:line="240" w:lineRule="auto"/>
              <w:jc w:val="left"/>
            </w:pPr>
            <w:r>
              <w:rPr>
                <w:rFonts w:ascii="Arial" w:hAnsi="Arial" w:eastAsia="Arial"/>
                <w:b w:val="0"/>
                <w:color w:val="000000"/>
                <w:sz w:val="16"/>
              </w:rPr>
              <w:t>EMPEROR-Reduced</w:t>
            </w:r>
          </w:p>
        </w:tc>
        <w:tc>
          <w:tcPr>
            <w:tcW w:w="1814" w:type="dxa"/>
            <w:vAlign w:val="center"/>
            <w:shd w:val="clear" w:color="auto" w:fill="FFFFFF"/>
          </w:tcPr>
          <w:p w14:paraId="67B9F4CA">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0ADFC5AE">
            <w:pPr>
              <w:spacing w:before="0" w:after="0" w:line="240" w:lineRule="auto"/>
              <w:jc w:val="center"/>
            </w:pPr>
            <w:r>
              <w:rPr>
                <w:rFonts w:ascii="Arial" w:hAnsi="Arial" w:eastAsia="Arial"/>
                <w:b w:val="0"/>
                <w:color w:val="000000"/>
                <w:sz w:val="16"/>
              </w:rPr>
              <w:t>0.92</w:t>
            </w:r>
          </w:p>
        </w:tc>
        <w:tc>
          <w:tcPr>
            <w:tcW w:w="1020" w:type="dxa"/>
            <w:vAlign w:val="center"/>
            <w:shd w:val="clear" w:color="auto" w:fill="FFFFFF"/>
          </w:tcPr>
          <w:p w14:paraId="0DA68FE9">
            <w:pPr>
              <w:spacing w:before="0" w:after="0" w:line="240" w:lineRule="auto"/>
              <w:jc w:val="center"/>
            </w:pPr>
            <w:r>
              <w:rPr>
                <w:rFonts w:ascii="Arial" w:hAnsi="Arial" w:eastAsia="Arial"/>
                <w:b w:val="0"/>
                <w:color w:val="000000"/>
                <w:sz w:val="16"/>
              </w:rPr>
              <w:t>0.75</w:t>
            </w:r>
          </w:p>
        </w:tc>
        <w:tc>
          <w:tcPr>
            <w:tcW w:w="1020" w:type="dxa"/>
            <w:vAlign w:val="center"/>
            <w:shd w:val="clear" w:color="auto" w:fill="FFFFFF"/>
          </w:tcPr>
          <w:p w14:paraId="14509BA8">
            <w:pPr>
              <w:spacing w:before="0" w:after="0" w:line="240" w:lineRule="auto"/>
              <w:jc w:val="center"/>
            </w:pPr>
            <w:r>
              <w:rPr>
                <w:rFonts w:ascii="Arial" w:hAnsi="Arial" w:eastAsia="Arial"/>
                <w:b w:val="0"/>
                <w:color w:val="000000"/>
                <w:sz w:val="16"/>
              </w:rPr>
              <w:t>1.12</w:t>
            </w:r>
          </w:p>
        </w:tc>
        <w:tc>
          <w:tcPr>
            <w:tcW w:w="4535" w:type="dxa"/>
            <w:vAlign w:val="center"/>
            <w:shd w:val="clear" w:color="auto" w:fill="FFFFFF"/>
          </w:tcPr>
          <w:p w14:paraId="2198155A">
            <w:pPr>
              <w:spacing w:before="0" w:after="0" w:line="240" w:lineRule="auto"/>
              <w:jc w:val="left"/>
            </w:pPr>
            <w:r>
              <w:rPr>
                <w:rFonts w:ascii="Arial" w:hAnsi="Arial" w:eastAsia="Arial"/>
                <w:b w:val="0"/>
                <w:color w:val="000000"/>
                <w:sz w:val="16"/>
              </w:rPr>
              <w:t>Packer et al., N Engl J Med 2020</w:t>
            </w:r>
          </w:p>
        </w:tc>
      </w:tr>
      <w:tr w14:paraId="2B6D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FEE7C72">
            <w:pPr>
              <w:spacing w:before="0" w:after="0" w:line="240" w:lineRule="auto"/>
              <w:jc w:val="left"/>
            </w:pPr>
            <w:r>
              <w:rPr>
                <w:rFonts w:ascii="Arial" w:hAnsi="Arial" w:eastAsia="Arial"/>
                <w:b w:val="0"/>
                <w:color w:val="000000"/>
                <w:sz w:val="16"/>
              </w:rPr>
              <w:t>VERTIS CV</w:t>
            </w:r>
          </w:p>
        </w:tc>
        <w:tc>
          <w:tcPr>
            <w:tcW w:w="1814" w:type="dxa"/>
            <w:vAlign w:val="center"/>
            <w:shd w:val="clear" w:color="auto" w:fill="FFFFFF"/>
          </w:tcPr>
          <w:p w14:paraId="5215D1FE">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61CA3D2C">
            <w:pPr>
              <w:spacing w:before="0" w:after="0" w:line="240" w:lineRule="auto"/>
              <w:jc w:val="center"/>
            </w:pPr>
            <w:r>
              <w:rPr>
                <w:rFonts w:ascii="Arial" w:hAnsi="Arial" w:eastAsia="Arial"/>
                <w:b w:val="0"/>
                <w:color w:val="000000"/>
                <w:sz w:val="16"/>
              </w:rPr>
              <w:t>0.92</w:t>
            </w:r>
          </w:p>
        </w:tc>
        <w:tc>
          <w:tcPr>
            <w:tcW w:w="1020" w:type="dxa"/>
            <w:vAlign w:val="center"/>
            <w:shd w:val="clear" w:color="auto" w:fill="FFFFFF"/>
          </w:tcPr>
          <w:p w14:paraId="342C2049">
            <w:pPr>
              <w:spacing w:before="0" w:after="0" w:line="240" w:lineRule="auto"/>
              <w:jc w:val="center"/>
            </w:pPr>
            <w:r>
              <w:rPr>
                <w:rFonts w:ascii="Arial" w:hAnsi="Arial" w:eastAsia="Arial"/>
                <w:b w:val="0"/>
                <w:color w:val="000000"/>
                <w:sz w:val="16"/>
              </w:rPr>
              <w:t>0.77</w:t>
            </w:r>
          </w:p>
        </w:tc>
        <w:tc>
          <w:tcPr>
            <w:tcW w:w="1020" w:type="dxa"/>
            <w:vAlign w:val="center"/>
            <w:shd w:val="clear" w:color="auto" w:fill="FFFFFF"/>
          </w:tcPr>
          <w:p w14:paraId="07B84738">
            <w:pPr>
              <w:spacing w:before="0" w:after="0" w:line="240" w:lineRule="auto"/>
              <w:jc w:val="center"/>
            </w:pPr>
            <w:r>
              <w:rPr>
                <w:rFonts w:ascii="Arial" w:hAnsi="Arial" w:eastAsia="Arial"/>
                <w:b w:val="0"/>
                <w:color w:val="000000"/>
                <w:sz w:val="16"/>
              </w:rPr>
              <w:t>1.11</w:t>
            </w:r>
          </w:p>
        </w:tc>
        <w:tc>
          <w:tcPr>
            <w:tcW w:w="4535" w:type="dxa"/>
            <w:vAlign w:val="center"/>
            <w:shd w:val="clear" w:color="auto" w:fill="FFFFFF"/>
          </w:tcPr>
          <w:p w14:paraId="2899AA47">
            <w:pPr>
              <w:spacing w:before="0" w:after="0" w:line="240" w:lineRule="auto"/>
              <w:jc w:val="left"/>
            </w:pPr>
            <w:r>
              <w:rPr>
                <w:rFonts w:ascii="Arial" w:hAnsi="Arial" w:eastAsia="Arial"/>
                <w:b w:val="0"/>
                <w:color w:val="000000"/>
                <w:sz w:val="16"/>
              </w:rPr>
              <w:t>Cannon et al., N Engl J Med 2020</w:t>
            </w:r>
          </w:p>
        </w:tc>
      </w:tr>
      <w:tr w14:paraId="18E5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8D7FBB9">
            <w:pPr>
              <w:spacing w:before="0" w:after="0" w:line="240" w:lineRule="auto"/>
              <w:jc w:val="left"/>
            </w:pPr>
            <w:r>
              <w:rPr>
                <w:rFonts w:ascii="Arial" w:hAnsi="Arial" w:eastAsia="Arial"/>
                <w:b w:val="0"/>
                <w:color w:val="000000"/>
                <w:sz w:val="16"/>
              </w:rPr>
              <w:t>SOLOIST-WHF</w:t>
            </w:r>
          </w:p>
        </w:tc>
        <w:tc>
          <w:tcPr>
            <w:tcW w:w="1814" w:type="dxa"/>
            <w:vAlign w:val="center"/>
            <w:shd w:val="clear" w:color="auto" w:fill="FFFFFF"/>
          </w:tcPr>
          <w:p w14:paraId="351D7EED">
            <w:pPr>
              <w:spacing w:before="0" w:after="0" w:line="240" w:lineRule="auto"/>
              <w:jc w:val="left"/>
            </w:pPr>
            <w:r>
              <w:rPr>
                <w:rFonts w:ascii="Arial" w:hAnsi="Arial" w:eastAsia="Arial"/>
                <w:b w:val="0"/>
                <w:color w:val="000000"/>
                <w:sz w:val="16"/>
              </w:rPr>
              <w:t>CKM 4</w:t>
            </w:r>
          </w:p>
        </w:tc>
        <w:tc>
          <w:tcPr>
            <w:tcW w:w="850" w:type="dxa"/>
            <w:vAlign w:val="center"/>
            <w:shd w:val="clear" w:color="auto" w:fill="FFFFFF"/>
          </w:tcPr>
          <w:p w14:paraId="0989BCAF">
            <w:pPr>
              <w:spacing w:before="0" w:after="0" w:line="240" w:lineRule="auto"/>
              <w:jc w:val="center"/>
            </w:pPr>
            <w:r>
              <w:rPr>
                <w:rFonts w:ascii="Arial" w:hAnsi="Arial" w:eastAsia="Arial"/>
                <w:b w:val="0"/>
                <w:color w:val="000000"/>
                <w:sz w:val="16"/>
              </w:rPr>
              <w:t>0.84</w:t>
            </w:r>
          </w:p>
        </w:tc>
        <w:tc>
          <w:tcPr>
            <w:tcW w:w="1020" w:type="dxa"/>
            <w:vAlign w:val="center"/>
            <w:shd w:val="clear" w:color="auto" w:fill="FFFFFF"/>
          </w:tcPr>
          <w:p w14:paraId="6EA3C8BB">
            <w:pPr>
              <w:spacing w:before="0" w:after="0" w:line="240" w:lineRule="auto"/>
              <w:jc w:val="center"/>
            </w:pPr>
            <w:r>
              <w:rPr>
                <w:rFonts w:ascii="Arial" w:hAnsi="Arial" w:eastAsia="Arial"/>
                <w:b w:val="0"/>
                <w:color w:val="000000"/>
                <w:sz w:val="16"/>
              </w:rPr>
              <w:t>0.58</w:t>
            </w:r>
          </w:p>
        </w:tc>
        <w:tc>
          <w:tcPr>
            <w:tcW w:w="1020" w:type="dxa"/>
            <w:vAlign w:val="center"/>
            <w:shd w:val="clear" w:color="auto" w:fill="FFFFFF"/>
          </w:tcPr>
          <w:p w14:paraId="0DB25A18">
            <w:pPr>
              <w:spacing w:before="0" w:after="0" w:line="240" w:lineRule="auto"/>
              <w:jc w:val="center"/>
            </w:pPr>
            <w:r>
              <w:rPr>
                <w:rFonts w:ascii="Arial" w:hAnsi="Arial" w:eastAsia="Arial"/>
                <w:b w:val="0"/>
                <w:color w:val="000000"/>
                <w:sz w:val="16"/>
              </w:rPr>
              <w:t>1.22</w:t>
            </w:r>
          </w:p>
        </w:tc>
        <w:tc>
          <w:tcPr>
            <w:tcW w:w="4535" w:type="dxa"/>
            <w:vAlign w:val="center"/>
            <w:shd w:val="clear" w:color="auto" w:fill="FFFFFF"/>
          </w:tcPr>
          <w:p w14:paraId="61F6E703">
            <w:pPr>
              <w:spacing w:before="0" w:after="0" w:line="240" w:lineRule="auto"/>
              <w:jc w:val="left"/>
            </w:pPr>
            <w:r>
              <w:rPr>
                <w:rFonts w:ascii="Arial" w:hAnsi="Arial" w:eastAsia="Arial"/>
                <w:b w:val="0"/>
                <w:color w:val="000000"/>
                <w:sz w:val="16"/>
              </w:rPr>
              <w:t>Bhatt et al., N Engl J Med 2021</w:t>
            </w:r>
          </w:p>
        </w:tc>
      </w:tr>
      <w:tr w14:paraId="2836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03A93947">
            <w:pPr>
              <w:spacing w:before="0" w:after="0" w:line="240" w:lineRule="auto"/>
              <w:jc w:val="left"/>
            </w:pPr>
            <w:r>
              <w:rPr>
                <w:rFonts w:ascii="Arial" w:hAnsi="Arial" w:eastAsia="Arial"/>
                <w:b w:val="0"/>
                <w:color w:val="000000"/>
                <w:sz w:val="16"/>
              </w:rPr>
              <w:t>CANVAS program</w:t>
            </w:r>
          </w:p>
        </w:tc>
        <w:tc>
          <w:tcPr>
            <w:tcW w:w="1814" w:type="dxa"/>
            <w:vAlign w:val="center"/>
            <w:shd w:val="clear" w:color="auto" w:fill="FFFFFF"/>
          </w:tcPr>
          <w:p w14:paraId="5FB423D7">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7DE30C83">
            <w:pPr>
              <w:spacing w:before="0" w:after="0" w:line="240" w:lineRule="auto"/>
              <w:jc w:val="center"/>
            </w:pPr>
            <w:r>
              <w:rPr>
                <w:rFonts w:ascii="Arial" w:hAnsi="Arial" w:eastAsia="Arial"/>
                <w:b w:val="0"/>
                <w:color w:val="000000"/>
                <w:sz w:val="16"/>
              </w:rPr>
              <w:t>0.93</w:t>
            </w:r>
          </w:p>
        </w:tc>
        <w:tc>
          <w:tcPr>
            <w:tcW w:w="1020" w:type="dxa"/>
            <w:vAlign w:val="center"/>
            <w:shd w:val="clear" w:color="auto" w:fill="FFFFFF"/>
          </w:tcPr>
          <w:p w14:paraId="62ACE3C8">
            <w:pPr>
              <w:spacing w:before="0" w:after="0" w:line="240" w:lineRule="auto"/>
              <w:jc w:val="center"/>
            </w:pPr>
            <w:r>
              <w:rPr>
                <w:rFonts w:ascii="Arial" w:hAnsi="Arial" w:eastAsia="Arial"/>
                <w:b w:val="0"/>
                <w:color w:val="000000"/>
                <w:sz w:val="16"/>
              </w:rPr>
              <w:t>0.60</w:t>
            </w:r>
          </w:p>
        </w:tc>
        <w:tc>
          <w:tcPr>
            <w:tcW w:w="1020" w:type="dxa"/>
            <w:vAlign w:val="center"/>
            <w:shd w:val="clear" w:color="auto" w:fill="FFFFFF"/>
          </w:tcPr>
          <w:p w14:paraId="72D6854F">
            <w:pPr>
              <w:spacing w:before="0" w:after="0" w:line="240" w:lineRule="auto"/>
              <w:jc w:val="center"/>
            </w:pPr>
            <w:r>
              <w:rPr>
                <w:rFonts w:ascii="Arial" w:hAnsi="Arial" w:eastAsia="Arial"/>
                <w:b w:val="0"/>
                <w:color w:val="000000"/>
                <w:sz w:val="16"/>
              </w:rPr>
              <w:t>1.43</w:t>
            </w:r>
          </w:p>
        </w:tc>
        <w:tc>
          <w:tcPr>
            <w:tcW w:w="4535" w:type="dxa"/>
            <w:vAlign w:val="center"/>
            <w:shd w:val="clear" w:color="auto" w:fill="FFFFFF"/>
          </w:tcPr>
          <w:p w14:paraId="7435038C">
            <w:pPr>
              <w:spacing w:before="0" w:after="0" w:line="240" w:lineRule="auto"/>
              <w:jc w:val="left"/>
            </w:pPr>
            <w:r>
              <w:rPr>
                <w:rFonts w:ascii="Arial" w:hAnsi="Arial" w:eastAsia="Arial"/>
                <w:b w:val="0"/>
                <w:color w:val="000000"/>
                <w:sz w:val="16"/>
              </w:rPr>
              <w:t>Mahaffey et al., Circulation 2018</w:t>
            </w:r>
          </w:p>
        </w:tc>
      </w:tr>
      <w:tr w14:paraId="39DE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2DEE5DD6">
            <w:pPr>
              <w:spacing w:before="0" w:after="0" w:line="240" w:lineRule="auto"/>
              <w:jc w:val="left"/>
            </w:pPr>
            <w:r>
              <w:rPr>
                <w:rFonts w:ascii="Arial" w:hAnsi="Arial" w:eastAsia="Arial"/>
                <w:b w:val="0"/>
                <w:color w:val="000000"/>
                <w:sz w:val="16"/>
              </w:rPr>
              <w:t>CREDENCE</w:t>
            </w:r>
          </w:p>
        </w:tc>
        <w:tc>
          <w:tcPr>
            <w:tcW w:w="1814" w:type="dxa"/>
            <w:vAlign w:val="center"/>
            <w:shd w:val="clear" w:color="auto" w:fill="FFFFFF"/>
          </w:tcPr>
          <w:p w14:paraId="56A81A69">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6E1F2B85">
            <w:pPr>
              <w:spacing w:before="0" w:after="0" w:line="240" w:lineRule="auto"/>
              <w:jc w:val="center"/>
            </w:pPr>
            <w:r>
              <w:rPr>
                <w:rFonts w:ascii="Arial" w:hAnsi="Arial" w:eastAsia="Arial"/>
                <w:b w:val="0"/>
                <w:color w:val="000000"/>
                <w:sz w:val="16"/>
              </w:rPr>
              <w:t>0.75</w:t>
            </w:r>
          </w:p>
        </w:tc>
        <w:tc>
          <w:tcPr>
            <w:tcW w:w="1020" w:type="dxa"/>
            <w:vAlign w:val="center"/>
            <w:shd w:val="clear" w:color="auto" w:fill="FFFFFF"/>
          </w:tcPr>
          <w:p w14:paraId="561D7020">
            <w:pPr>
              <w:spacing w:before="0" w:after="0" w:line="240" w:lineRule="auto"/>
              <w:jc w:val="center"/>
            </w:pPr>
            <w:r>
              <w:rPr>
                <w:rFonts w:ascii="Arial" w:hAnsi="Arial" w:eastAsia="Arial"/>
                <w:b w:val="0"/>
                <w:color w:val="000000"/>
                <w:sz w:val="16"/>
              </w:rPr>
              <w:t>0.48</w:t>
            </w:r>
          </w:p>
        </w:tc>
        <w:tc>
          <w:tcPr>
            <w:tcW w:w="1020" w:type="dxa"/>
            <w:vAlign w:val="center"/>
            <w:shd w:val="clear" w:color="auto" w:fill="FFFFFF"/>
          </w:tcPr>
          <w:p w14:paraId="604747E0">
            <w:pPr>
              <w:spacing w:before="0" w:after="0" w:line="240" w:lineRule="auto"/>
              <w:jc w:val="center"/>
            </w:pPr>
            <w:r>
              <w:rPr>
                <w:rFonts w:ascii="Arial" w:hAnsi="Arial" w:eastAsia="Arial"/>
                <w:b w:val="0"/>
                <w:color w:val="000000"/>
                <w:sz w:val="16"/>
              </w:rPr>
              <w:t>1.16</w:t>
            </w:r>
          </w:p>
        </w:tc>
        <w:tc>
          <w:tcPr>
            <w:tcW w:w="4535" w:type="dxa"/>
            <w:vAlign w:val="center"/>
            <w:shd w:val="clear" w:color="auto" w:fill="FFFFFF"/>
          </w:tcPr>
          <w:p w14:paraId="02E2D7C6">
            <w:pPr>
              <w:spacing w:before="0" w:after="0" w:line="240" w:lineRule="auto"/>
              <w:jc w:val="left"/>
            </w:pPr>
            <w:r>
              <w:rPr>
                <w:rFonts w:ascii="Arial" w:hAnsi="Arial" w:eastAsia="Arial"/>
                <w:b w:val="0"/>
                <w:color w:val="000000"/>
                <w:sz w:val="16"/>
              </w:rPr>
              <w:t>Mahaffey et al., Circulation 2019</w:t>
            </w:r>
          </w:p>
        </w:tc>
      </w:tr>
      <w:tr w14:paraId="370F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78B11FAE">
            <w:pPr>
              <w:spacing w:before="0" w:after="0" w:line="240" w:lineRule="auto"/>
              <w:jc w:val="left"/>
            </w:pPr>
            <w:r>
              <w:rPr>
                <w:rFonts w:ascii="Arial" w:hAnsi="Arial" w:eastAsia="Arial"/>
                <w:b w:val="0"/>
                <w:color w:val="000000"/>
                <w:sz w:val="16"/>
              </w:rPr>
              <w:t>DAPA-CKD</w:t>
            </w:r>
          </w:p>
        </w:tc>
        <w:tc>
          <w:tcPr>
            <w:tcW w:w="1814" w:type="dxa"/>
            <w:vAlign w:val="center"/>
            <w:shd w:val="clear" w:color="auto" w:fill="FFFFFF"/>
          </w:tcPr>
          <w:p w14:paraId="1CF57264">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200648F6">
            <w:pPr>
              <w:spacing w:before="0" w:after="0" w:line="240" w:lineRule="auto"/>
              <w:jc w:val="center"/>
            </w:pPr>
            <w:r>
              <w:rPr>
                <w:rFonts w:ascii="Arial" w:hAnsi="Arial" w:eastAsia="Arial"/>
                <w:b w:val="0"/>
                <w:color w:val="000000"/>
                <w:sz w:val="16"/>
              </w:rPr>
              <w:t>0.85</w:t>
            </w:r>
          </w:p>
        </w:tc>
        <w:tc>
          <w:tcPr>
            <w:tcW w:w="1020" w:type="dxa"/>
            <w:vAlign w:val="center"/>
            <w:shd w:val="clear" w:color="auto" w:fill="FFFFFF"/>
          </w:tcPr>
          <w:p w14:paraId="607594F3">
            <w:pPr>
              <w:spacing w:before="0" w:after="0" w:line="240" w:lineRule="auto"/>
              <w:jc w:val="center"/>
            </w:pPr>
            <w:r>
              <w:rPr>
                <w:rFonts w:ascii="Arial" w:hAnsi="Arial" w:eastAsia="Arial"/>
                <w:b w:val="0"/>
                <w:color w:val="000000"/>
                <w:sz w:val="16"/>
              </w:rPr>
              <w:t>0.47</w:t>
            </w:r>
          </w:p>
        </w:tc>
        <w:tc>
          <w:tcPr>
            <w:tcW w:w="1020" w:type="dxa"/>
            <w:vAlign w:val="center"/>
            <w:shd w:val="clear" w:color="auto" w:fill="FFFFFF"/>
          </w:tcPr>
          <w:p w14:paraId="5AA40D37">
            <w:pPr>
              <w:spacing w:before="0" w:after="0" w:line="240" w:lineRule="auto"/>
              <w:jc w:val="center"/>
            </w:pPr>
            <w:r>
              <w:rPr>
                <w:rFonts w:ascii="Arial" w:hAnsi="Arial" w:eastAsia="Arial"/>
                <w:b w:val="0"/>
                <w:color w:val="000000"/>
                <w:sz w:val="16"/>
              </w:rPr>
              <w:t>1.54</w:t>
            </w:r>
          </w:p>
        </w:tc>
        <w:tc>
          <w:tcPr>
            <w:tcW w:w="4535" w:type="dxa"/>
            <w:vAlign w:val="center"/>
            <w:shd w:val="clear" w:color="auto" w:fill="FFFFFF"/>
          </w:tcPr>
          <w:p w14:paraId="116B360F">
            <w:pPr>
              <w:spacing w:before="0" w:after="0" w:line="240" w:lineRule="auto"/>
              <w:jc w:val="left"/>
            </w:pPr>
            <w:r>
              <w:rPr>
                <w:rFonts w:ascii="Arial" w:hAnsi="Arial" w:eastAsia="Arial"/>
                <w:b w:val="0"/>
                <w:color w:val="000000"/>
                <w:sz w:val="16"/>
              </w:rPr>
              <w:t>McMurray et al., Circulation 2021</w:t>
            </w:r>
          </w:p>
        </w:tc>
      </w:tr>
      <w:tr w14:paraId="7A40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shd w:val="clear" w:color="auto" w:fill="FFFFFF"/>
          </w:tcPr>
          <w:p w14:paraId="306210E7">
            <w:pPr>
              <w:spacing w:before="0" w:after="0" w:line="240" w:lineRule="auto"/>
              <w:jc w:val="left"/>
            </w:pPr>
            <w:r>
              <w:rPr>
                <w:rFonts w:ascii="Arial" w:hAnsi="Arial" w:eastAsia="Arial"/>
                <w:b w:val="0"/>
                <w:color w:val="000000"/>
                <w:sz w:val="16"/>
              </w:rPr>
              <w:t>DECLARE-TIMI 58</w:t>
            </w:r>
          </w:p>
        </w:tc>
        <w:tc>
          <w:tcPr>
            <w:tcW w:w="1814" w:type="dxa"/>
            <w:vAlign w:val="center"/>
            <w:shd w:val="clear" w:color="auto" w:fill="FFFFFF"/>
          </w:tcPr>
          <w:p w14:paraId="0B331C8C">
            <w:pPr>
              <w:spacing w:before="0" w:after="0" w:line="240" w:lineRule="auto"/>
              <w:jc w:val="left"/>
            </w:pPr>
            <w:r>
              <w:rPr>
                <w:rFonts w:ascii="Arial" w:hAnsi="Arial" w:eastAsia="Arial"/>
                <w:b w:val="0"/>
                <w:color w:val="000000"/>
                <w:sz w:val="16"/>
              </w:rPr>
              <w:t>CKM stages 2–3</w:t>
            </w:r>
          </w:p>
        </w:tc>
        <w:tc>
          <w:tcPr>
            <w:tcW w:w="850" w:type="dxa"/>
            <w:vAlign w:val="center"/>
            <w:shd w:val="clear" w:color="auto" w:fill="FFFFFF"/>
          </w:tcPr>
          <w:p w14:paraId="4BC94F16">
            <w:pPr>
              <w:spacing w:before="0" w:after="0" w:line="240" w:lineRule="auto"/>
              <w:jc w:val="center"/>
            </w:pPr>
            <w:r>
              <w:rPr>
                <w:rFonts w:ascii="Arial" w:hAnsi="Arial" w:eastAsia="Arial"/>
                <w:b w:val="0"/>
                <w:color w:val="000000"/>
                <w:sz w:val="16"/>
              </w:rPr>
              <w:t>1.06</w:t>
            </w:r>
          </w:p>
        </w:tc>
        <w:tc>
          <w:tcPr>
            <w:tcW w:w="1020" w:type="dxa"/>
            <w:vAlign w:val="center"/>
            <w:shd w:val="clear" w:color="auto" w:fill="FFFFFF"/>
          </w:tcPr>
          <w:p w14:paraId="578808B3">
            <w:pPr>
              <w:spacing w:before="0" w:after="0" w:line="240" w:lineRule="auto"/>
              <w:jc w:val="center"/>
            </w:pPr>
            <w:r>
              <w:rPr>
                <w:rFonts w:ascii="Arial" w:hAnsi="Arial" w:eastAsia="Arial"/>
                <w:b w:val="0"/>
                <w:color w:val="000000"/>
                <w:sz w:val="16"/>
              </w:rPr>
              <w:t>0.79</w:t>
            </w:r>
          </w:p>
        </w:tc>
        <w:tc>
          <w:tcPr>
            <w:tcW w:w="1020" w:type="dxa"/>
            <w:vAlign w:val="center"/>
            <w:shd w:val="clear" w:color="auto" w:fill="FFFFFF"/>
          </w:tcPr>
          <w:p w14:paraId="3B1909FE">
            <w:pPr>
              <w:spacing w:before="0" w:after="0" w:line="240" w:lineRule="auto"/>
              <w:jc w:val="center"/>
            </w:pPr>
            <w:r>
              <w:rPr>
                <w:rFonts w:ascii="Arial" w:hAnsi="Arial" w:eastAsia="Arial"/>
                <w:b w:val="0"/>
                <w:color w:val="000000"/>
                <w:sz w:val="16"/>
              </w:rPr>
              <w:t>1.42</w:t>
            </w:r>
          </w:p>
        </w:tc>
        <w:tc>
          <w:tcPr>
            <w:tcW w:w="4535" w:type="dxa"/>
            <w:vAlign w:val="center"/>
            <w:shd w:val="clear" w:color="auto" w:fill="FFFFFF"/>
          </w:tcPr>
          <w:p w14:paraId="20B61552">
            <w:pPr>
              <w:spacing w:before="0" w:after="0" w:line="240" w:lineRule="auto"/>
              <w:jc w:val="left"/>
            </w:pPr>
            <w:r>
              <w:rPr>
                <w:rFonts w:ascii="Arial" w:hAnsi="Arial" w:eastAsia="Arial"/>
                <w:b w:val="0"/>
                <w:color w:val="000000"/>
                <w:sz w:val="16"/>
              </w:rPr>
              <w:t>Wiviott et al., N Engl J Med 2019; published subgroup analysis</w:t>
            </w:r>
          </w:p>
        </w:tc>
      </w:tr>
    </w:tbl>
    <w:p w14:paraId="06ADFF39">
      <w:pPr>
        <w:pStyle w:val="3"/>
        <w:spacing w:before="160" w:after="80"/>
      </w:pPr>
      <w:r>
        <w:rPr>
          <w:rFonts w:ascii="Arial" w:hAnsi="Arial" w:eastAsia="Arial"/>
          <w:color w:val="000000"/>
        </w:rPr>
        <w:t>Supplementary Table S3. Detailed outcome definitions and selection rules</w:t>
      </w:r>
    </w:p>
    <w:p w14:paraId="5FCB4EE5">
      <w:pPr>
        <w:pStyle w:val="5"/>
        <w:spacing w:before="160" w:after="80"/>
      </w:pPr>
      <w:r>
        <w:rPr>
          <w:rFonts w:ascii="Arial" w:hAnsi="Arial" w:eastAsia="Arial"/>
          <w:color w:val="000000"/>
        </w:rPr>
        <w:t>Panel A. Composite heart failure endpoint</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93"/>
        <w:gridCol w:w="7222"/>
        <w:gridCol w:w="4457"/>
      </w:tblGrid>
      <w:tr w14:paraId="7C04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835" w:type="dxa"/>
            <w:vAlign w:val="center"/>
            <w:shd w:val="clear" w:color="auto" w:fill="FFFFFF"/>
          </w:tcPr>
          <w:p w14:paraId="40EFB094">
            <w:pPr>
              <w:spacing w:before="0" w:after="0" w:line="240" w:lineRule="auto"/>
              <w:jc w:val="center"/>
            </w:pPr>
            <w:r>
              <w:rPr>
                <w:rFonts w:ascii="Arial" w:hAnsi="Arial" w:eastAsia="Arial"/>
                <w:b/>
                <w:color w:val="000000"/>
                <w:sz w:val="16"/>
              </w:rPr>
              <w:t>Study or trial</w:t>
            </w:r>
          </w:p>
        </w:tc>
        <w:tc>
          <w:tcPr>
            <w:tcW w:w="7370" w:type="dxa"/>
            <w:vAlign w:val="center"/>
            <w:shd w:val="clear" w:color="auto" w:fill="FFFFFF"/>
          </w:tcPr>
          <w:p w14:paraId="55D66E93">
            <w:pPr>
              <w:spacing w:before="0" w:after="0" w:line="240" w:lineRule="auto"/>
              <w:jc w:val="center"/>
            </w:pPr>
            <w:r>
              <w:rPr>
                <w:rFonts w:ascii="Arial" w:hAnsi="Arial" w:eastAsia="Arial"/>
                <w:b/>
                <w:color w:val="000000"/>
                <w:sz w:val="16"/>
              </w:rPr>
              <w:t>Definition used in this meta-analysis</w:t>
            </w:r>
          </w:p>
        </w:tc>
        <w:tc>
          <w:tcPr>
            <w:tcW w:w="4535" w:type="dxa"/>
            <w:vAlign w:val="center"/>
            <w:shd w:val="clear" w:color="auto" w:fill="FFFFFF"/>
          </w:tcPr>
          <w:p w14:paraId="3AD3A44D">
            <w:pPr>
              <w:spacing w:before="0" w:after="0" w:line="240" w:lineRule="auto"/>
              <w:jc w:val="center"/>
            </w:pPr>
            <w:r>
              <w:rPr>
                <w:rFonts w:ascii="Arial" w:hAnsi="Arial" w:eastAsia="Arial"/>
                <w:b/>
                <w:color w:val="000000"/>
                <w:sz w:val="16"/>
              </w:rPr>
              <w:t>Data source</w:t>
            </w:r>
          </w:p>
        </w:tc>
      </w:tr>
      <w:tr w14:paraId="5DF2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2136B1F">
            <w:pPr>
              <w:spacing w:before="0" w:after="0" w:line="240" w:lineRule="auto"/>
              <w:jc w:val="left"/>
            </w:pPr>
            <w:r>
              <w:rPr>
                <w:rFonts w:ascii="Arial" w:hAnsi="Arial" w:eastAsia="Arial"/>
                <w:b w:val="0"/>
                <w:color w:val="000000"/>
                <w:sz w:val="16"/>
              </w:rPr>
              <w:t>CANVAS Program</w:t>
            </w:r>
          </w:p>
        </w:tc>
        <w:tc>
          <w:tcPr>
            <w:tcW w:w="7370" w:type="dxa"/>
            <w:vAlign w:val="center"/>
            <w:shd w:val="clear" w:color="auto" w:fill="FFFFFF"/>
          </w:tcPr>
          <w:p w14:paraId="613DDFBC">
            <w:pPr>
              <w:spacing w:before="0" w:after="0" w:line="240" w:lineRule="auto"/>
              <w:jc w:val="left"/>
            </w:pPr>
            <w:r>
              <w:rPr>
                <w:rFonts w:ascii="Arial" w:hAnsi="Arial" w:eastAsia="Arial"/>
                <w:b w:val="0"/>
                <w:color w:val="000000"/>
                <w:sz w:val="16"/>
              </w:rPr>
              <w:t>Cardiovascular death or hospitalization for heart failure</w:t>
            </w:r>
          </w:p>
        </w:tc>
        <w:tc>
          <w:tcPr>
            <w:tcW w:w="4535" w:type="dxa"/>
            <w:vAlign w:val="center"/>
            <w:shd w:val="clear" w:color="auto" w:fill="FFFFFF"/>
          </w:tcPr>
          <w:p w14:paraId="062E0949">
            <w:pPr>
              <w:spacing w:before="0" w:after="0" w:line="240" w:lineRule="auto"/>
              <w:jc w:val="left"/>
            </w:pPr>
            <w:r>
              <w:rPr>
                <w:rFonts w:ascii="Arial" w:hAnsi="Arial" w:eastAsia="Arial"/>
                <w:b w:val="0"/>
                <w:color w:val="000000"/>
                <w:sz w:val="16"/>
              </w:rPr>
              <w:t>Mahaffey et al., Circulation 2018</w:t>
            </w:r>
          </w:p>
        </w:tc>
      </w:tr>
      <w:tr w14:paraId="2F99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7D10816">
            <w:pPr>
              <w:spacing w:before="0" w:after="0" w:line="240" w:lineRule="auto"/>
              <w:jc w:val="left"/>
            </w:pPr>
            <w:r>
              <w:rPr>
                <w:rFonts w:ascii="Arial" w:hAnsi="Arial" w:eastAsia="Arial"/>
                <w:b w:val="0"/>
                <w:color w:val="000000"/>
                <w:sz w:val="16"/>
              </w:rPr>
              <w:t>CREDENCE</w:t>
            </w:r>
          </w:p>
        </w:tc>
        <w:tc>
          <w:tcPr>
            <w:tcW w:w="7370" w:type="dxa"/>
            <w:vAlign w:val="center"/>
            <w:shd w:val="clear" w:color="auto" w:fill="FFFFFF"/>
          </w:tcPr>
          <w:p w14:paraId="14DD68CB">
            <w:pPr>
              <w:spacing w:before="0" w:after="0" w:line="240" w:lineRule="auto"/>
              <w:jc w:val="left"/>
            </w:pPr>
            <w:r>
              <w:rPr>
                <w:rFonts w:ascii="Arial" w:hAnsi="Arial" w:eastAsia="Arial"/>
                <w:b w:val="0"/>
                <w:color w:val="000000"/>
                <w:sz w:val="16"/>
              </w:rPr>
              <w:t>Cardiovascular death or hospitalization for heart failure</w:t>
            </w:r>
          </w:p>
        </w:tc>
        <w:tc>
          <w:tcPr>
            <w:tcW w:w="4535" w:type="dxa"/>
            <w:vAlign w:val="center"/>
            <w:shd w:val="clear" w:color="auto" w:fill="FFFFFF"/>
          </w:tcPr>
          <w:p w14:paraId="0E162BF8">
            <w:pPr>
              <w:spacing w:before="0" w:after="0" w:line="240" w:lineRule="auto"/>
              <w:jc w:val="left"/>
            </w:pPr>
            <w:r>
              <w:rPr>
                <w:rFonts w:ascii="Arial" w:hAnsi="Arial" w:eastAsia="Arial"/>
                <w:b w:val="0"/>
                <w:color w:val="000000"/>
                <w:sz w:val="16"/>
              </w:rPr>
              <w:t>Mahaffey et al., Circulation 2019</w:t>
            </w:r>
          </w:p>
        </w:tc>
      </w:tr>
      <w:tr w14:paraId="6E17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7E660DF8">
            <w:pPr>
              <w:spacing w:before="0" w:after="0" w:line="240" w:lineRule="auto"/>
              <w:jc w:val="left"/>
            </w:pPr>
            <w:r>
              <w:rPr>
                <w:rFonts w:ascii="Arial" w:hAnsi="Arial" w:eastAsia="Arial"/>
                <w:b w:val="0"/>
                <w:color w:val="000000"/>
                <w:sz w:val="16"/>
              </w:rPr>
              <w:t>DAPA-CKD</w:t>
            </w:r>
          </w:p>
        </w:tc>
        <w:tc>
          <w:tcPr>
            <w:tcW w:w="7370" w:type="dxa"/>
            <w:vAlign w:val="center"/>
            <w:shd w:val="clear" w:color="auto" w:fill="FFFFFF"/>
          </w:tcPr>
          <w:p w14:paraId="65A00E1D">
            <w:pPr>
              <w:spacing w:before="0" w:after="0" w:line="240" w:lineRule="auto"/>
              <w:jc w:val="left"/>
            </w:pPr>
            <w:r>
              <w:rPr>
                <w:rFonts w:ascii="Arial" w:hAnsi="Arial" w:eastAsia="Arial"/>
                <w:b w:val="0"/>
                <w:color w:val="000000"/>
                <w:sz w:val="16"/>
              </w:rPr>
              <w:t>Cardiovascular death or hospitalization for heart failure</w:t>
            </w:r>
          </w:p>
        </w:tc>
        <w:tc>
          <w:tcPr>
            <w:tcW w:w="4535" w:type="dxa"/>
            <w:vAlign w:val="center"/>
            <w:shd w:val="clear" w:color="auto" w:fill="FFFFFF"/>
          </w:tcPr>
          <w:p w14:paraId="6CB5C864">
            <w:pPr>
              <w:spacing w:before="0" w:after="0" w:line="240" w:lineRule="auto"/>
              <w:jc w:val="left"/>
            </w:pPr>
            <w:r>
              <w:rPr>
                <w:rFonts w:ascii="Arial" w:hAnsi="Arial" w:eastAsia="Arial"/>
                <w:b w:val="0"/>
                <w:color w:val="000000"/>
                <w:sz w:val="16"/>
              </w:rPr>
              <w:t>McMurray et al., Circulation 2021</w:t>
            </w:r>
          </w:p>
        </w:tc>
      </w:tr>
      <w:tr w14:paraId="3F83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B048620">
            <w:pPr>
              <w:spacing w:before="0" w:after="0" w:line="240" w:lineRule="auto"/>
              <w:jc w:val="left"/>
            </w:pPr>
            <w:r>
              <w:rPr>
                <w:rFonts w:ascii="Arial" w:hAnsi="Arial" w:eastAsia="Arial"/>
                <w:b w:val="0"/>
                <w:color w:val="000000"/>
                <w:sz w:val="16"/>
              </w:rPr>
              <w:t>DAPA-HF</w:t>
            </w:r>
          </w:p>
        </w:tc>
        <w:tc>
          <w:tcPr>
            <w:tcW w:w="7370" w:type="dxa"/>
            <w:vAlign w:val="center"/>
            <w:shd w:val="clear" w:color="auto" w:fill="FFFFFF"/>
          </w:tcPr>
          <w:p w14:paraId="44CE308C">
            <w:pPr>
              <w:spacing w:before="0" w:after="0" w:line="240" w:lineRule="auto"/>
              <w:jc w:val="left"/>
            </w:pPr>
            <w:r>
              <w:rPr>
                <w:rFonts w:ascii="Arial" w:hAnsi="Arial" w:eastAsia="Arial"/>
                <w:b w:val="0"/>
                <w:color w:val="000000"/>
                <w:sz w:val="16"/>
              </w:rPr>
              <w:t>Cardiovascular death or heart-failure hospitalization</w:t>
            </w:r>
          </w:p>
        </w:tc>
        <w:tc>
          <w:tcPr>
            <w:tcW w:w="4535" w:type="dxa"/>
            <w:vAlign w:val="center"/>
            <w:shd w:val="clear" w:color="auto" w:fill="FFFFFF"/>
          </w:tcPr>
          <w:p w14:paraId="5A3FC8BA">
            <w:pPr>
              <w:spacing w:before="0" w:after="0" w:line="240" w:lineRule="auto"/>
              <w:jc w:val="left"/>
            </w:pPr>
            <w:r>
              <w:rPr>
                <w:rFonts w:ascii="Arial" w:hAnsi="Arial" w:eastAsia="Arial"/>
                <w:b w:val="0"/>
                <w:color w:val="000000"/>
                <w:sz w:val="16"/>
              </w:rPr>
              <w:t>McMurray et al., NEJM 2019</w:t>
            </w:r>
          </w:p>
        </w:tc>
      </w:tr>
      <w:tr w14:paraId="7864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17CE12E">
            <w:pPr>
              <w:spacing w:before="0" w:after="0" w:line="240" w:lineRule="auto"/>
              <w:jc w:val="left"/>
            </w:pPr>
            <w:r>
              <w:rPr>
                <w:rFonts w:ascii="Arial" w:hAnsi="Arial" w:eastAsia="Arial"/>
                <w:b w:val="0"/>
                <w:color w:val="000000"/>
                <w:sz w:val="16"/>
              </w:rPr>
              <w:t>DECLARE-TIMI 58</w:t>
            </w:r>
          </w:p>
        </w:tc>
        <w:tc>
          <w:tcPr>
            <w:tcW w:w="7370" w:type="dxa"/>
            <w:vAlign w:val="center"/>
            <w:shd w:val="clear" w:color="auto" w:fill="FFFFFF"/>
          </w:tcPr>
          <w:p w14:paraId="104E926E">
            <w:pPr>
              <w:spacing w:before="0" w:after="0" w:line="240" w:lineRule="auto"/>
              <w:jc w:val="left"/>
            </w:pPr>
            <w:r>
              <w:rPr>
                <w:rFonts w:ascii="Arial" w:hAnsi="Arial" w:eastAsia="Arial"/>
                <w:b w:val="0"/>
                <w:color w:val="000000"/>
                <w:sz w:val="16"/>
              </w:rPr>
              <w:t>Cardiovascular death or hospitalization for heart failure</w:t>
            </w:r>
          </w:p>
        </w:tc>
        <w:tc>
          <w:tcPr>
            <w:tcW w:w="4535" w:type="dxa"/>
            <w:vAlign w:val="center"/>
            <w:shd w:val="clear" w:color="auto" w:fill="FFFFFF"/>
          </w:tcPr>
          <w:p w14:paraId="4E320E8A">
            <w:pPr>
              <w:spacing w:before="0" w:after="0" w:line="240" w:lineRule="auto"/>
              <w:jc w:val="left"/>
            </w:pPr>
            <w:r>
              <w:rPr>
                <w:rFonts w:ascii="Arial" w:hAnsi="Arial" w:eastAsia="Arial"/>
                <w:b w:val="0"/>
                <w:color w:val="000000"/>
                <w:sz w:val="16"/>
              </w:rPr>
              <w:t>Wiviott et al., NEJM 2019; Cahn et al., Diabetes Care 2021; Supplementary Appendix</w:t>
            </w:r>
          </w:p>
        </w:tc>
      </w:tr>
      <w:tr w14:paraId="4A5F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2218EAD2">
            <w:pPr>
              <w:spacing w:before="0" w:after="0" w:line="240" w:lineRule="auto"/>
              <w:jc w:val="left"/>
            </w:pPr>
            <w:r>
              <w:rPr>
                <w:rFonts w:ascii="Arial" w:hAnsi="Arial" w:eastAsia="Arial"/>
                <w:b w:val="0"/>
                <w:color w:val="000000"/>
                <w:sz w:val="16"/>
              </w:rPr>
              <w:t>DELIVER</w:t>
            </w:r>
          </w:p>
        </w:tc>
        <w:tc>
          <w:tcPr>
            <w:tcW w:w="7370" w:type="dxa"/>
            <w:vAlign w:val="center"/>
            <w:shd w:val="clear" w:color="auto" w:fill="FFFFFF"/>
          </w:tcPr>
          <w:p w14:paraId="2A17548F">
            <w:pPr>
              <w:spacing w:before="0" w:after="0" w:line="240" w:lineRule="auto"/>
              <w:jc w:val="left"/>
            </w:pPr>
            <w:r>
              <w:rPr>
                <w:rFonts w:ascii="Arial" w:hAnsi="Arial" w:eastAsia="Arial"/>
                <w:b w:val="0"/>
                <w:color w:val="000000"/>
                <w:sz w:val="16"/>
              </w:rPr>
              <w:t>Cardiovascular death or first hospitalization for heart failure</w:t>
            </w:r>
          </w:p>
        </w:tc>
        <w:tc>
          <w:tcPr>
            <w:tcW w:w="4535" w:type="dxa"/>
            <w:vAlign w:val="center"/>
            <w:shd w:val="clear" w:color="auto" w:fill="FFFFFF"/>
          </w:tcPr>
          <w:p w14:paraId="7249F5CA">
            <w:pPr>
              <w:spacing w:before="0" w:after="0" w:line="240" w:lineRule="auto"/>
              <w:jc w:val="left"/>
            </w:pPr>
            <w:r>
              <w:rPr>
                <w:rFonts w:ascii="Arial" w:hAnsi="Arial" w:eastAsia="Arial"/>
                <w:b w:val="0"/>
                <w:color w:val="000000"/>
                <w:sz w:val="16"/>
              </w:rPr>
              <w:t>Chatur et al., Circulation 2023</w:t>
            </w:r>
          </w:p>
        </w:tc>
      </w:tr>
      <w:tr w14:paraId="2E70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28CF52D">
            <w:pPr>
              <w:spacing w:before="0" w:after="0" w:line="240" w:lineRule="auto"/>
              <w:jc w:val="left"/>
            </w:pPr>
            <w:r>
              <w:rPr>
                <w:rFonts w:ascii="Arial" w:hAnsi="Arial" w:eastAsia="Arial"/>
                <w:b w:val="0"/>
                <w:color w:val="000000"/>
                <w:sz w:val="16"/>
              </w:rPr>
              <w:t>EMPA-REG OUTCOME</w:t>
            </w:r>
          </w:p>
        </w:tc>
        <w:tc>
          <w:tcPr>
            <w:tcW w:w="7370" w:type="dxa"/>
            <w:vAlign w:val="center"/>
            <w:shd w:val="clear" w:color="auto" w:fill="FFFFFF"/>
          </w:tcPr>
          <w:p w14:paraId="25BB5445">
            <w:pPr>
              <w:spacing w:before="0" w:after="0" w:line="240" w:lineRule="auto"/>
              <w:jc w:val="left"/>
            </w:pPr>
            <w:r>
              <w:rPr>
                <w:rFonts w:ascii="Arial" w:hAnsi="Arial" w:eastAsia="Arial"/>
                <w:b w:val="0"/>
                <w:color w:val="000000"/>
                <w:sz w:val="16"/>
              </w:rPr>
              <w:t>Hospitalization for heart failure or cardiovascular death</w:t>
            </w:r>
          </w:p>
        </w:tc>
        <w:tc>
          <w:tcPr>
            <w:tcW w:w="4535" w:type="dxa"/>
            <w:vAlign w:val="center"/>
            <w:shd w:val="clear" w:color="auto" w:fill="FFFFFF"/>
          </w:tcPr>
          <w:p w14:paraId="6446071B">
            <w:pPr>
              <w:spacing w:before="0" w:after="0" w:line="240" w:lineRule="auto"/>
              <w:jc w:val="left"/>
            </w:pPr>
            <w:r>
              <w:rPr>
                <w:rFonts w:ascii="Arial" w:hAnsi="Arial" w:eastAsia="Arial"/>
                <w:b w:val="0"/>
                <w:color w:val="000000"/>
                <w:sz w:val="16"/>
              </w:rPr>
              <w:t>Zinman et al., NEJM 2015</w:t>
            </w:r>
          </w:p>
        </w:tc>
      </w:tr>
      <w:tr w14:paraId="4021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5A915B9D">
            <w:pPr>
              <w:spacing w:before="0" w:after="0" w:line="240" w:lineRule="auto"/>
              <w:jc w:val="left"/>
            </w:pPr>
            <w:r>
              <w:rPr>
                <w:rFonts w:ascii="Arial" w:hAnsi="Arial" w:eastAsia="Arial"/>
                <w:b w:val="0"/>
                <w:color w:val="000000"/>
                <w:sz w:val="16"/>
              </w:rPr>
              <w:t>EMPEROR-Preserved</w:t>
            </w:r>
          </w:p>
        </w:tc>
        <w:tc>
          <w:tcPr>
            <w:tcW w:w="7370" w:type="dxa"/>
            <w:vAlign w:val="center"/>
            <w:shd w:val="clear" w:color="auto" w:fill="FFFFFF"/>
          </w:tcPr>
          <w:p w14:paraId="63892F08">
            <w:pPr>
              <w:spacing w:before="0" w:after="0" w:line="240" w:lineRule="auto"/>
              <w:jc w:val="left"/>
            </w:pPr>
            <w:r>
              <w:rPr>
                <w:rFonts w:ascii="Arial" w:hAnsi="Arial" w:eastAsia="Arial"/>
                <w:b w:val="0"/>
                <w:color w:val="000000"/>
                <w:sz w:val="16"/>
              </w:rPr>
              <w:t>Cardiovascular death or hospitalization for heart failure</w:t>
            </w:r>
          </w:p>
        </w:tc>
        <w:tc>
          <w:tcPr>
            <w:tcW w:w="4535" w:type="dxa"/>
            <w:vAlign w:val="center"/>
            <w:shd w:val="clear" w:color="auto" w:fill="FFFFFF"/>
          </w:tcPr>
          <w:p w14:paraId="423085EF">
            <w:pPr>
              <w:spacing w:before="0" w:after="0" w:line="240" w:lineRule="auto"/>
              <w:jc w:val="left"/>
            </w:pPr>
            <w:r>
              <w:rPr>
                <w:rFonts w:ascii="Arial" w:hAnsi="Arial" w:eastAsia="Arial"/>
                <w:b w:val="0"/>
                <w:color w:val="000000"/>
                <w:sz w:val="16"/>
              </w:rPr>
              <w:t>Anker et al., NEJM 2021</w:t>
            </w:r>
          </w:p>
        </w:tc>
      </w:tr>
      <w:tr w14:paraId="7529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F3094E3">
            <w:pPr>
              <w:spacing w:before="0" w:after="0" w:line="240" w:lineRule="auto"/>
              <w:jc w:val="left"/>
            </w:pPr>
            <w:r>
              <w:rPr>
                <w:rFonts w:ascii="Arial" w:hAnsi="Arial" w:eastAsia="Arial"/>
                <w:b w:val="0"/>
                <w:color w:val="000000"/>
                <w:sz w:val="16"/>
              </w:rPr>
              <w:t>EMPEROR-Reduced</w:t>
            </w:r>
          </w:p>
        </w:tc>
        <w:tc>
          <w:tcPr>
            <w:tcW w:w="7370" w:type="dxa"/>
            <w:vAlign w:val="center"/>
            <w:shd w:val="clear" w:color="auto" w:fill="FFFFFF"/>
          </w:tcPr>
          <w:p w14:paraId="6BBB0B3A">
            <w:pPr>
              <w:spacing w:before="0" w:after="0" w:line="240" w:lineRule="auto"/>
              <w:jc w:val="left"/>
            </w:pPr>
            <w:r>
              <w:rPr>
                <w:rFonts w:ascii="Arial" w:hAnsi="Arial" w:eastAsia="Arial"/>
                <w:b w:val="0"/>
                <w:color w:val="000000"/>
                <w:sz w:val="16"/>
              </w:rPr>
              <w:t>Cardiovascular death or hospitalization for heart failure</w:t>
            </w:r>
          </w:p>
        </w:tc>
        <w:tc>
          <w:tcPr>
            <w:tcW w:w="4535" w:type="dxa"/>
            <w:vAlign w:val="center"/>
            <w:shd w:val="clear" w:color="auto" w:fill="FFFFFF"/>
          </w:tcPr>
          <w:p w14:paraId="2DB23D54">
            <w:pPr>
              <w:spacing w:before="0" w:after="0" w:line="240" w:lineRule="auto"/>
              <w:jc w:val="left"/>
            </w:pPr>
            <w:r>
              <w:rPr>
                <w:rFonts w:ascii="Arial" w:hAnsi="Arial" w:eastAsia="Arial"/>
                <w:b w:val="0"/>
                <w:color w:val="000000"/>
                <w:sz w:val="16"/>
              </w:rPr>
              <w:t>Packer et al., NEJM 2020</w:t>
            </w:r>
          </w:p>
        </w:tc>
      </w:tr>
      <w:tr w14:paraId="4392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10D8A315">
            <w:pPr>
              <w:spacing w:before="0" w:after="0" w:line="240" w:lineRule="auto"/>
              <w:jc w:val="left"/>
            </w:pPr>
            <w:r>
              <w:rPr>
                <w:rFonts w:ascii="Arial" w:hAnsi="Arial" w:eastAsia="Arial"/>
                <w:b w:val="0"/>
                <w:color w:val="000000"/>
                <w:sz w:val="16"/>
              </w:rPr>
              <w:t>VERTIS CV</w:t>
            </w:r>
          </w:p>
        </w:tc>
        <w:tc>
          <w:tcPr>
            <w:tcW w:w="7370" w:type="dxa"/>
            <w:vAlign w:val="center"/>
            <w:shd w:val="clear" w:color="auto" w:fill="FFFFFF"/>
          </w:tcPr>
          <w:p w14:paraId="7E4E6FE6">
            <w:pPr>
              <w:spacing w:before="0" w:after="0" w:line="240" w:lineRule="auto"/>
              <w:jc w:val="left"/>
            </w:pPr>
            <w:r>
              <w:rPr>
                <w:rFonts w:ascii="Arial" w:hAnsi="Arial" w:eastAsia="Arial"/>
                <w:b w:val="0"/>
                <w:color w:val="000000"/>
                <w:sz w:val="16"/>
              </w:rPr>
              <w:t>Cardiovascular death or hospitalization for heart failure</w:t>
            </w:r>
          </w:p>
        </w:tc>
        <w:tc>
          <w:tcPr>
            <w:tcW w:w="4535" w:type="dxa"/>
            <w:vAlign w:val="center"/>
            <w:shd w:val="clear" w:color="auto" w:fill="FFFFFF"/>
          </w:tcPr>
          <w:p w14:paraId="4C8380C8">
            <w:pPr>
              <w:spacing w:before="0" w:after="0" w:line="240" w:lineRule="auto"/>
              <w:jc w:val="left"/>
            </w:pPr>
            <w:r>
              <w:rPr>
                <w:rFonts w:ascii="Arial" w:hAnsi="Arial" w:eastAsia="Arial"/>
                <w:b w:val="0"/>
                <w:color w:val="000000"/>
                <w:sz w:val="16"/>
              </w:rPr>
              <w:t>Cannon et al., NEJM 2020</w:t>
            </w:r>
          </w:p>
        </w:tc>
      </w:tr>
    </w:tbl>
    <w:p w14:paraId="3905A12F">
      <w:r>
        <w:rPr>
          <w:color w:val="000000"/>
        </w:rPr>
        <w:br w:type="page"/>
      </w:r>
    </w:p>
    <w:p w14:paraId="47B39A49">
      <w:pPr>
        <w:pStyle w:val="5"/>
        <w:spacing w:before="160" w:after="80"/>
      </w:pPr>
      <w:r>
        <w:rPr>
          <w:rFonts w:ascii="Arial" w:hAnsi="Arial" w:eastAsia="Arial"/>
          <w:color w:val="000000"/>
        </w:rPr>
        <w:t>Panel B. Major adverse cardiovascular events</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93"/>
        <w:gridCol w:w="7222"/>
        <w:gridCol w:w="4457"/>
      </w:tblGrid>
      <w:tr w14:paraId="5531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835" w:type="dxa"/>
            <w:vAlign w:val="center"/>
            <w:shd w:val="clear" w:color="auto" w:fill="FFFFFF"/>
          </w:tcPr>
          <w:p w14:paraId="019E2EFF">
            <w:pPr>
              <w:spacing w:before="0" w:after="0" w:line="240" w:lineRule="auto"/>
              <w:jc w:val="center"/>
            </w:pPr>
            <w:r>
              <w:rPr>
                <w:rFonts w:ascii="Arial" w:hAnsi="Arial" w:eastAsia="Arial"/>
                <w:b/>
                <w:color w:val="000000"/>
                <w:sz w:val="16"/>
              </w:rPr>
              <w:t>Study or trial</w:t>
            </w:r>
          </w:p>
        </w:tc>
        <w:tc>
          <w:tcPr>
            <w:tcW w:w="7370" w:type="dxa"/>
            <w:vAlign w:val="center"/>
            <w:shd w:val="clear" w:color="auto" w:fill="FFFFFF"/>
          </w:tcPr>
          <w:p w14:paraId="35CF4F88">
            <w:pPr>
              <w:spacing w:before="0" w:after="0" w:line="240" w:lineRule="auto"/>
              <w:jc w:val="center"/>
            </w:pPr>
            <w:r>
              <w:rPr>
                <w:rFonts w:ascii="Arial" w:hAnsi="Arial" w:eastAsia="Arial"/>
                <w:b/>
                <w:color w:val="000000"/>
                <w:sz w:val="16"/>
              </w:rPr>
              <w:t>Definition used in this meta-analysis</w:t>
            </w:r>
          </w:p>
        </w:tc>
        <w:tc>
          <w:tcPr>
            <w:tcW w:w="4535" w:type="dxa"/>
            <w:vAlign w:val="center"/>
            <w:shd w:val="clear" w:color="auto" w:fill="FFFFFF"/>
          </w:tcPr>
          <w:p w14:paraId="65757769">
            <w:pPr>
              <w:spacing w:before="0" w:after="0" w:line="240" w:lineRule="auto"/>
              <w:jc w:val="center"/>
            </w:pPr>
            <w:r>
              <w:rPr>
                <w:rFonts w:ascii="Arial" w:hAnsi="Arial" w:eastAsia="Arial"/>
                <w:b/>
                <w:color w:val="000000"/>
                <w:sz w:val="16"/>
              </w:rPr>
              <w:t>Data source</w:t>
            </w:r>
          </w:p>
        </w:tc>
      </w:tr>
      <w:tr w14:paraId="20B6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71F088CD">
            <w:pPr>
              <w:spacing w:before="0" w:after="0" w:line="240" w:lineRule="auto"/>
              <w:jc w:val="left"/>
            </w:pPr>
            <w:r>
              <w:rPr>
                <w:rFonts w:ascii="Arial" w:hAnsi="Arial" w:eastAsia="Arial"/>
                <w:b w:val="0"/>
                <w:color w:val="000000"/>
                <w:sz w:val="16"/>
              </w:rPr>
              <w:t>CANVAS Program</w:t>
            </w:r>
          </w:p>
        </w:tc>
        <w:tc>
          <w:tcPr>
            <w:tcW w:w="7370" w:type="dxa"/>
            <w:vAlign w:val="center"/>
            <w:shd w:val="clear" w:color="auto" w:fill="FFFFFF"/>
          </w:tcPr>
          <w:p w14:paraId="1BC22D60">
            <w:pPr>
              <w:spacing w:before="0" w:after="0" w:line="240" w:lineRule="auto"/>
              <w:jc w:val="left"/>
            </w:pPr>
            <w:r>
              <w:rPr>
                <w:rFonts w:ascii="Arial" w:hAnsi="Arial" w:eastAsia="Arial"/>
                <w:b w:val="0"/>
                <w:color w:val="000000"/>
                <w:sz w:val="16"/>
              </w:rPr>
              <w:t>Cardiovascular death, nonfatal myocardial infarction, or nonfatal stroke</w:t>
            </w:r>
          </w:p>
        </w:tc>
        <w:tc>
          <w:tcPr>
            <w:tcW w:w="4535" w:type="dxa"/>
            <w:vAlign w:val="center"/>
            <w:shd w:val="clear" w:color="auto" w:fill="FFFFFF"/>
          </w:tcPr>
          <w:p w14:paraId="139A356B">
            <w:pPr>
              <w:spacing w:before="0" w:after="0" w:line="240" w:lineRule="auto"/>
              <w:jc w:val="left"/>
            </w:pPr>
            <w:r>
              <w:rPr>
                <w:rFonts w:ascii="Arial" w:hAnsi="Arial" w:eastAsia="Arial"/>
                <w:b w:val="0"/>
                <w:color w:val="000000"/>
                <w:sz w:val="16"/>
              </w:rPr>
              <w:t>Mahaffey et al., Circulation 2018</w:t>
            </w:r>
          </w:p>
        </w:tc>
      </w:tr>
      <w:tr w14:paraId="4474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7EC38E0E">
            <w:pPr>
              <w:spacing w:before="0" w:after="0" w:line="240" w:lineRule="auto"/>
              <w:jc w:val="left"/>
            </w:pPr>
            <w:r>
              <w:rPr>
                <w:rFonts w:ascii="Arial" w:hAnsi="Arial" w:eastAsia="Arial"/>
                <w:b w:val="0"/>
                <w:color w:val="000000"/>
                <w:sz w:val="16"/>
              </w:rPr>
              <w:t>CREDENCE</w:t>
            </w:r>
          </w:p>
        </w:tc>
        <w:tc>
          <w:tcPr>
            <w:tcW w:w="7370" w:type="dxa"/>
            <w:vAlign w:val="center"/>
            <w:shd w:val="clear" w:color="auto" w:fill="FFFFFF"/>
          </w:tcPr>
          <w:p w14:paraId="37528867">
            <w:pPr>
              <w:spacing w:before="0" w:after="0" w:line="240" w:lineRule="auto"/>
              <w:jc w:val="left"/>
            </w:pPr>
            <w:r>
              <w:rPr>
                <w:rFonts w:ascii="Arial" w:hAnsi="Arial" w:eastAsia="Arial"/>
                <w:b w:val="0"/>
                <w:color w:val="000000"/>
                <w:sz w:val="16"/>
              </w:rPr>
              <w:t>Cardiovascular death, nonfatal myocardial infarction, or nonfatal stroke</w:t>
            </w:r>
          </w:p>
        </w:tc>
        <w:tc>
          <w:tcPr>
            <w:tcW w:w="4535" w:type="dxa"/>
            <w:vAlign w:val="center"/>
            <w:shd w:val="clear" w:color="auto" w:fill="FFFFFF"/>
          </w:tcPr>
          <w:p w14:paraId="3F85E54A">
            <w:pPr>
              <w:spacing w:before="0" w:after="0" w:line="240" w:lineRule="auto"/>
              <w:jc w:val="left"/>
            </w:pPr>
            <w:r>
              <w:rPr>
                <w:rFonts w:ascii="Arial" w:hAnsi="Arial" w:eastAsia="Arial"/>
                <w:b w:val="0"/>
                <w:color w:val="000000"/>
                <w:sz w:val="16"/>
              </w:rPr>
              <w:t>Mahaffey et al., Circulation 2019</w:t>
            </w:r>
          </w:p>
        </w:tc>
      </w:tr>
      <w:tr w14:paraId="7337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5B801266">
            <w:pPr>
              <w:spacing w:before="0" w:after="0" w:line="240" w:lineRule="auto"/>
              <w:jc w:val="left"/>
            </w:pPr>
            <w:r>
              <w:rPr>
                <w:rFonts w:ascii="Arial" w:hAnsi="Arial" w:eastAsia="Arial"/>
                <w:b w:val="0"/>
                <w:color w:val="000000"/>
                <w:sz w:val="16"/>
              </w:rPr>
              <w:t>DAPA-CKD</w:t>
            </w:r>
          </w:p>
        </w:tc>
        <w:tc>
          <w:tcPr>
            <w:tcW w:w="7370" w:type="dxa"/>
            <w:vAlign w:val="center"/>
            <w:shd w:val="clear" w:color="auto" w:fill="FFFFFF"/>
          </w:tcPr>
          <w:p w14:paraId="1E99548B">
            <w:pPr>
              <w:spacing w:before="0" w:after="0" w:line="240" w:lineRule="auto"/>
              <w:jc w:val="left"/>
            </w:pPr>
            <w:r>
              <w:rPr>
                <w:rFonts w:ascii="Arial" w:hAnsi="Arial" w:eastAsia="Arial"/>
                <w:b w:val="0"/>
                <w:color w:val="000000"/>
                <w:sz w:val="16"/>
              </w:rPr>
              <w:t>Cardiovascular death, myocardial infarction, or stroke</w:t>
            </w:r>
          </w:p>
        </w:tc>
        <w:tc>
          <w:tcPr>
            <w:tcW w:w="4535" w:type="dxa"/>
            <w:vAlign w:val="center"/>
            <w:shd w:val="clear" w:color="auto" w:fill="FFFFFF"/>
          </w:tcPr>
          <w:p w14:paraId="55263A7D">
            <w:pPr>
              <w:spacing w:before="0" w:after="0" w:line="240" w:lineRule="auto"/>
              <w:jc w:val="left"/>
            </w:pPr>
            <w:r>
              <w:rPr>
                <w:rFonts w:ascii="Arial" w:hAnsi="Arial" w:eastAsia="Arial"/>
                <w:b w:val="0"/>
                <w:color w:val="000000"/>
                <w:sz w:val="16"/>
              </w:rPr>
              <w:t>McMurray et al., Circulation 2021</w:t>
            </w:r>
          </w:p>
        </w:tc>
      </w:tr>
      <w:tr w14:paraId="5F47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985E498">
            <w:pPr>
              <w:spacing w:before="0" w:after="0" w:line="240" w:lineRule="auto"/>
              <w:jc w:val="left"/>
            </w:pPr>
            <w:r>
              <w:rPr>
                <w:rFonts w:ascii="Arial" w:hAnsi="Arial" w:eastAsia="Arial"/>
                <w:b w:val="0"/>
                <w:color w:val="000000"/>
                <w:sz w:val="16"/>
              </w:rPr>
              <w:t>DECLARE-TIMI 58</w:t>
            </w:r>
          </w:p>
        </w:tc>
        <w:tc>
          <w:tcPr>
            <w:tcW w:w="7370" w:type="dxa"/>
            <w:vAlign w:val="center"/>
            <w:shd w:val="clear" w:color="auto" w:fill="FFFFFF"/>
          </w:tcPr>
          <w:p w14:paraId="7DC93FE0">
            <w:pPr>
              <w:spacing w:before="0" w:after="0" w:line="240" w:lineRule="auto"/>
              <w:jc w:val="left"/>
            </w:pPr>
            <w:r>
              <w:rPr>
                <w:rFonts w:ascii="Arial" w:hAnsi="Arial" w:eastAsia="Arial"/>
                <w:b w:val="0"/>
                <w:color w:val="000000"/>
                <w:sz w:val="16"/>
              </w:rPr>
              <w:t>Cardiovascular death, myocardial infarction, or ischemic stroke</w:t>
            </w:r>
          </w:p>
        </w:tc>
        <w:tc>
          <w:tcPr>
            <w:tcW w:w="4535" w:type="dxa"/>
            <w:vAlign w:val="center"/>
            <w:shd w:val="clear" w:color="auto" w:fill="FFFFFF"/>
          </w:tcPr>
          <w:p w14:paraId="67A77629">
            <w:pPr>
              <w:spacing w:before="0" w:after="0" w:line="240" w:lineRule="auto"/>
              <w:jc w:val="left"/>
            </w:pPr>
            <w:r>
              <w:rPr>
                <w:rFonts w:ascii="Arial" w:hAnsi="Arial" w:eastAsia="Arial"/>
                <w:b w:val="0"/>
                <w:color w:val="000000"/>
                <w:sz w:val="16"/>
              </w:rPr>
              <w:t>Wiviott et al., NEJM 2019; Cahn et al., Diabetes Care 2021; Supplementary Appendix where applicable</w:t>
            </w:r>
          </w:p>
        </w:tc>
      </w:tr>
      <w:tr w14:paraId="2D73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24B987A6">
            <w:pPr>
              <w:spacing w:before="0" w:after="0" w:line="240" w:lineRule="auto"/>
              <w:jc w:val="left"/>
            </w:pPr>
            <w:r>
              <w:rPr>
                <w:rFonts w:ascii="Arial" w:hAnsi="Arial" w:eastAsia="Arial"/>
                <w:b w:val="0"/>
                <w:color w:val="000000"/>
                <w:sz w:val="16"/>
              </w:rPr>
              <w:t>EMPA-REG OUTCOME</w:t>
            </w:r>
          </w:p>
        </w:tc>
        <w:tc>
          <w:tcPr>
            <w:tcW w:w="7370" w:type="dxa"/>
            <w:vAlign w:val="center"/>
            <w:shd w:val="clear" w:color="auto" w:fill="FFFFFF"/>
          </w:tcPr>
          <w:p w14:paraId="1AA31174">
            <w:pPr>
              <w:spacing w:before="0" w:after="0" w:line="240" w:lineRule="auto"/>
              <w:jc w:val="left"/>
            </w:pPr>
            <w:r>
              <w:rPr>
                <w:rFonts w:ascii="Arial" w:hAnsi="Arial" w:eastAsia="Arial"/>
                <w:b w:val="0"/>
                <w:color w:val="000000"/>
                <w:sz w:val="16"/>
              </w:rPr>
              <w:t>Cardiovascular death, nonfatal myocardial infarction, or nonfatal stroke</w:t>
            </w:r>
          </w:p>
        </w:tc>
        <w:tc>
          <w:tcPr>
            <w:tcW w:w="4535" w:type="dxa"/>
            <w:vAlign w:val="center"/>
            <w:shd w:val="clear" w:color="auto" w:fill="FFFFFF"/>
          </w:tcPr>
          <w:p w14:paraId="3A65E8BD">
            <w:pPr>
              <w:spacing w:before="0" w:after="0" w:line="240" w:lineRule="auto"/>
              <w:jc w:val="left"/>
            </w:pPr>
            <w:r>
              <w:rPr>
                <w:rFonts w:ascii="Arial" w:hAnsi="Arial" w:eastAsia="Arial"/>
                <w:b w:val="0"/>
                <w:color w:val="000000"/>
                <w:sz w:val="16"/>
              </w:rPr>
              <w:t>Zinman et al., NEJM 2015</w:t>
            </w:r>
          </w:p>
        </w:tc>
      </w:tr>
      <w:tr w14:paraId="6AA0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D5F3E31">
            <w:pPr>
              <w:spacing w:before="0" w:after="0" w:line="240" w:lineRule="auto"/>
              <w:jc w:val="left"/>
            </w:pPr>
            <w:r>
              <w:rPr>
                <w:rFonts w:ascii="Arial" w:hAnsi="Arial" w:eastAsia="Arial"/>
                <w:b w:val="0"/>
                <w:color w:val="000000"/>
                <w:sz w:val="16"/>
              </w:rPr>
              <w:t>VERTIS CV</w:t>
            </w:r>
          </w:p>
        </w:tc>
        <w:tc>
          <w:tcPr>
            <w:tcW w:w="7370" w:type="dxa"/>
            <w:vAlign w:val="center"/>
            <w:shd w:val="clear" w:color="auto" w:fill="FFFFFF"/>
          </w:tcPr>
          <w:p w14:paraId="429FA72B">
            <w:pPr>
              <w:spacing w:before="0" w:after="0" w:line="240" w:lineRule="auto"/>
              <w:jc w:val="left"/>
            </w:pPr>
            <w:r>
              <w:rPr>
                <w:rFonts w:ascii="Arial" w:hAnsi="Arial" w:eastAsia="Arial"/>
                <w:b w:val="0"/>
                <w:color w:val="000000"/>
                <w:sz w:val="16"/>
              </w:rPr>
              <w:t>Death from cardiovascular causes, nonfatal myocardial infarction, or nonfatal stroke</w:t>
            </w:r>
          </w:p>
        </w:tc>
        <w:tc>
          <w:tcPr>
            <w:tcW w:w="4535" w:type="dxa"/>
            <w:vAlign w:val="center"/>
            <w:shd w:val="clear" w:color="auto" w:fill="FFFFFF"/>
          </w:tcPr>
          <w:p w14:paraId="69CDD06C">
            <w:pPr>
              <w:spacing w:before="0" w:after="0" w:line="240" w:lineRule="auto"/>
              <w:jc w:val="left"/>
            </w:pPr>
            <w:r>
              <w:rPr>
                <w:rFonts w:ascii="Arial" w:hAnsi="Arial" w:eastAsia="Arial"/>
                <w:b w:val="0"/>
                <w:color w:val="000000"/>
                <w:sz w:val="16"/>
              </w:rPr>
              <w:t>Cannon et al., NEJM 2020</w:t>
            </w:r>
          </w:p>
        </w:tc>
      </w:tr>
      <w:tr w14:paraId="461C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2F522C02">
            <w:pPr>
              <w:spacing w:before="0" w:after="0" w:line="240" w:lineRule="auto"/>
              <w:jc w:val="left"/>
            </w:pPr>
            <w:r>
              <w:rPr>
                <w:rFonts w:ascii="Arial" w:hAnsi="Arial" w:eastAsia="Arial"/>
                <w:b w:val="0"/>
                <w:color w:val="000000"/>
                <w:sz w:val="16"/>
              </w:rPr>
              <w:t>DAPA-HF, DELIVER, EMPEROR-Preserved, EMPEROR-Reduced, SOLOIST-WHF</w:t>
            </w:r>
          </w:p>
        </w:tc>
        <w:tc>
          <w:tcPr>
            <w:tcW w:w="7370" w:type="dxa"/>
            <w:vAlign w:val="center"/>
            <w:shd w:val="clear" w:color="auto" w:fill="FFFFFF"/>
          </w:tcPr>
          <w:p w14:paraId="012BE216">
            <w:pPr>
              <w:spacing w:before="0" w:after="0" w:line="240" w:lineRule="auto"/>
              <w:jc w:val="left"/>
            </w:pPr>
            <w:r>
              <w:rPr>
                <w:rFonts w:ascii="Arial" w:hAnsi="Arial" w:eastAsia="Arial"/>
                <w:b w:val="0"/>
                <w:color w:val="000000"/>
                <w:sz w:val="16"/>
              </w:rPr>
              <w:t>Not included; standard three-point MACE was not available for the main MACE analysis</w:t>
            </w:r>
          </w:p>
        </w:tc>
        <w:tc>
          <w:tcPr>
            <w:tcW w:w="4535" w:type="dxa"/>
            <w:vAlign w:val="center"/>
            <w:shd w:val="clear" w:color="auto" w:fill="FFFFFF"/>
          </w:tcPr>
          <w:p w14:paraId="63590B49">
            <w:pPr>
              <w:spacing w:before="0" w:after="0" w:line="240" w:lineRule="auto"/>
              <w:jc w:val="left"/>
            </w:pPr>
            <w:r>
              <w:rPr>
                <w:rFonts w:ascii="Arial" w:hAnsi="Arial" w:eastAsia="Arial"/>
                <w:b w:val="0"/>
                <w:color w:val="000000"/>
                <w:sz w:val="16"/>
              </w:rPr>
              <w:t>Not applicable</w:t>
            </w:r>
          </w:p>
        </w:tc>
      </w:tr>
    </w:tbl>
    <w:p w14:paraId="4E71DB97">
      <w:r>
        <w:rPr>
          <w:color w:val="000000"/>
        </w:rPr>
        <w:br w:type="page"/>
      </w:r>
    </w:p>
    <w:p w14:paraId="4059AEC6">
      <w:pPr>
        <w:pStyle w:val="5"/>
        <w:spacing w:before="160" w:after="80"/>
      </w:pPr>
      <w:r>
        <w:rPr>
          <w:rFonts w:ascii="Arial" w:hAnsi="Arial" w:eastAsia="Arial"/>
          <w:color w:val="000000"/>
        </w:rPr>
        <w:t>Panel C. Hospitalization for heart failure</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93"/>
        <w:gridCol w:w="7223"/>
        <w:gridCol w:w="4456"/>
      </w:tblGrid>
      <w:tr w14:paraId="1774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835" w:type="dxa"/>
            <w:vAlign w:val="center"/>
            <w:shd w:val="clear" w:color="auto" w:fill="FFFFFF"/>
          </w:tcPr>
          <w:p w14:paraId="19B96CFB">
            <w:pPr>
              <w:spacing w:before="0" w:after="0" w:line="240" w:lineRule="auto"/>
              <w:jc w:val="center"/>
            </w:pPr>
            <w:r>
              <w:rPr>
                <w:rFonts w:ascii="Arial" w:hAnsi="Arial" w:eastAsia="Arial"/>
                <w:b/>
                <w:color w:val="000000"/>
                <w:sz w:val="16"/>
              </w:rPr>
              <w:t>Study or trial</w:t>
            </w:r>
          </w:p>
        </w:tc>
        <w:tc>
          <w:tcPr>
            <w:tcW w:w="7370" w:type="dxa"/>
            <w:vAlign w:val="center"/>
            <w:shd w:val="clear" w:color="auto" w:fill="FFFFFF"/>
          </w:tcPr>
          <w:p w14:paraId="009C74DF">
            <w:pPr>
              <w:spacing w:before="0" w:after="0" w:line="240" w:lineRule="auto"/>
              <w:jc w:val="center"/>
            </w:pPr>
            <w:r>
              <w:rPr>
                <w:rFonts w:ascii="Arial" w:hAnsi="Arial" w:eastAsia="Arial"/>
                <w:b/>
                <w:color w:val="000000"/>
                <w:sz w:val="16"/>
              </w:rPr>
              <w:t>Definition used in this meta-analysis</w:t>
            </w:r>
          </w:p>
        </w:tc>
        <w:tc>
          <w:tcPr>
            <w:tcW w:w="4535" w:type="dxa"/>
            <w:vAlign w:val="center"/>
            <w:shd w:val="clear" w:color="auto" w:fill="FFFFFF"/>
          </w:tcPr>
          <w:p w14:paraId="0FA6D880">
            <w:pPr>
              <w:spacing w:before="0" w:after="0" w:line="240" w:lineRule="auto"/>
              <w:jc w:val="center"/>
            </w:pPr>
            <w:r>
              <w:rPr>
                <w:rFonts w:ascii="Arial" w:hAnsi="Arial" w:eastAsia="Arial"/>
                <w:b/>
                <w:color w:val="000000"/>
                <w:sz w:val="16"/>
              </w:rPr>
              <w:t>Data source</w:t>
            </w:r>
          </w:p>
        </w:tc>
      </w:tr>
      <w:tr w14:paraId="1BE1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5F54E75A">
            <w:pPr>
              <w:spacing w:before="0" w:after="0" w:line="240" w:lineRule="auto"/>
              <w:jc w:val="left"/>
            </w:pPr>
            <w:r>
              <w:rPr>
                <w:rFonts w:ascii="Arial" w:hAnsi="Arial" w:eastAsia="Arial"/>
                <w:b w:val="0"/>
                <w:color w:val="000000"/>
                <w:sz w:val="16"/>
              </w:rPr>
              <w:t>CANVAS Program</w:t>
            </w:r>
          </w:p>
        </w:tc>
        <w:tc>
          <w:tcPr>
            <w:tcW w:w="7370" w:type="dxa"/>
            <w:vAlign w:val="center"/>
            <w:shd w:val="clear" w:color="auto" w:fill="FFFFFF"/>
          </w:tcPr>
          <w:p w14:paraId="76A94100">
            <w:pPr>
              <w:spacing w:before="0" w:after="0" w:line="240" w:lineRule="auto"/>
              <w:jc w:val="left"/>
            </w:pPr>
            <w:r>
              <w:rPr>
                <w:rFonts w:ascii="Arial" w:hAnsi="Arial" w:eastAsia="Arial"/>
                <w:b w:val="0"/>
                <w:color w:val="000000"/>
                <w:sz w:val="16"/>
              </w:rPr>
              <w:t>Hospitalization for heart failure</w:t>
            </w:r>
          </w:p>
        </w:tc>
        <w:tc>
          <w:tcPr>
            <w:tcW w:w="4535" w:type="dxa"/>
            <w:vAlign w:val="center"/>
            <w:shd w:val="clear" w:color="auto" w:fill="FFFFFF"/>
          </w:tcPr>
          <w:p w14:paraId="7A336CA9">
            <w:pPr>
              <w:spacing w:before="0" w:after="0" w:line="240" w:lineRule="auto"/>
              <w:jc w:val="left"/>
            </w:pPr>
            <w:r>
              <w:rPr>
                <w:rFonts w:ascii="Arial" w:hAnsi="Arial" w:eastAsia="Arial"/>
                <w:b w:val="0"/>
                <w:color w:val="000000"/>
                <w:sz w:val="16"/>
              </w:rPr>
              <w:t>Mahaffey et al., Circulation 2018</w:t>
            </w:r>
          </w:p>
        </w:tc>
      </w:tr>
      <w:tr w14:paraId="2AC6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3C9C4E18">
            <w:pPr>
              <w:spacing w:before="0" w:after="0" w:line="240" w:lineRule="auto"/>
              <w:jc w:val="left"/>
            </w:pPr>
            <w:r>
              <w:rPr>
                <w:rFonts w:ascii="Arial" w:hAnsi="Arial" w:eastAsia="Arial"/>
                <w:b w:val="0"/>
                <w:color w:val="000000"/>
                <w:sz w:val="16"/>
              </w:rPr>
              <w:t>CREDENCE</w:t>
            </w:r>
          </w:p>
        </w:tc>
        <w:tc>
          <w:tcPr>
            <w:tcW w:w="7370" w:type="dxa"/>
            <w:vAlign w:val="center"/>
            <w:shd w:val="clear" w:color="auto" w:fill="FFFFFF"/>
          </w:tcPr>
          <w:p w14:paraId="36123CEF">
            <w:pPr>
              <w:spacing w:before="0" w:after="0" w:line="240" w:lineRule="auto"/>
              <w:jc w:val="left"/>
            </w:pPr>
            <w:r>
              <w:rPr>
                <w:rFonts w:ascii="Arial" w:hAnsi="Arial" w:eastAsia="Arial"/>
                <w:b w:val="0"/>
                <w:color w:val="000000"/>
                <w:sz w:val="16"/>
              </w:rPr>
              <w:t>Hospitalization for heart failure</w:t>
            </w:r>
          </w:p>
        </w:tc>
        <w:tc>
          <w:tcPr>
            <w:tcW w:w="4535" w:type="dxa"/>
            <w:vAlign w:val="center"/>
            <w:shd w:val="clear" w:color="auto" w:fill="FFFFFF"/>
          </w:tcPr>
          <w:p w14:paraId="05FB92C4">
            <w:pPr>
              <w:spacing w:before="0" w:after="0" w:line="240" w:lineRule="auto"/>
              <w:jc w:val="left"/>
            </w:pPr>
            <w:r>
              <w:rPr>
                <w:rFonts w:ascii="Arial" w:hAnsi="Arial" w:eastAsia="Arial"/>
                <w:b w:val="0"/>
                <w:color w:val="000000"/>
                <w:sz w:val="16"/>
              </w:rPr>
              <w:t>Mahaffey et al., Circulation 2019</w:t>
            </w:r>
          </w:p>
        </w:tc>
      </w:tr>
      <w:tr w14:paraId="7227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7421FF96">
            <w:pPr>
              <w:spacing w:before="0" w:after="0" w:line="240" w:lineRule="auto"/>
              <w:jc w:val="left"/>
            </w:pPr>
            <w:r>
              <w:rPr>
                <w:rFonts w:ascii="Arial" w:hAnsi="Arial" w:eastAsia="Arial"/>
                <w:b w:val="0"/>
                <w:color w:val="000000"/>
                <w:sz w:val="16"/>
              </w:rPr>
              <w:t>DAPA-CKD</w:t>
            </w:r>
          </w:p>
        </w:tc>
        <w:tc>
          <w:tcPr>
            <w:tcW w:w="7370" w:type="dxa"/>
            <w:vAlign w:val="center"/>
            <w:shd w:val="clear" w:color="auto" w:fill="FFFFFF"/>
          </w:tcPr>
          <w:p w14:paraId="668BDFD0">
            <w:pPr>
              <w:spacing w:before="0" w:after="0" w:line="240" w:lineRule="auto"/>
              <w:jc w:val="left"/>
            </w:pPr>
            <w:r>
              <w:rPr>
                <w:rFonts w:ascii="Arial" w:hAnsi="Arial" w:eastAsia="Arial"/>
                <w:b w:val="0"/>
                <w:color w:val="000000"/>
                <w:sz w:val="16"/>
              </w:rPr>
              <w:t>First hospitalization for heart failure</w:t>
            </w:r>
          </w:p>
        </w:tc>
        <w:tc>
          <w:tcPr>
            <w:tcW w:w="4535" w:type="dxa"/>
            <w:vAlign w:val="center"/>
            <w:shd w:val="clear" w:color="auto" w:fill="FFFFFF"/>
          </w:tcPr>
          <w:p w14:paraId="4CA7DE82">
            <w:pPr>
              <w:spacing w:before="0" w:after="0" w:line="240" w:lineRule="auto"/>
              <w:jc w:val="left"/>
            </w:pPr>
            <w:r>
              <w:rPr>
                <w:rFonts w:ascii="Arial" w:hAnsi="Arial" w:eastAsia="Arial"/>
                <w:b w:val="0"/>
                <w:color w:val="000000"/>
                <w:sz w:val="16"/>
              </w:rPr>
              <w:t>McMurray et al., Circulation 2021</w:t>
            </w:r>
          </w:p>
        </w:tc>
      </w:tr>
      <w:tr w14:paraId="52A2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232BF2E0">
            <w:pPr>
              <w:spacing w:before="0" w:after="0" w:line="240" w:lineRule="auto"/>
              <w:jc w:val="left"/>
            </w:pPr>
            <w:r>
              <w:rPr>
                <w:rFonts w:ascii="Arial" w:hAnsi="Arial" w:eastAsia="Arial"/>
                <w:b w:val="0"/>
                <w:color w:val="000000"/>
                <w:sz w:val="16"/>
              </w:rPr>
              <w:t>DAPA-HF</w:t>
            </w:r>
          </w:p>
        </w:tc>
        <w:tc>
          <w:tcPr>
            <w:tcW w:w="7370" w:type="dxa"/>
            <w:vAlign w:val="center"/>
            <w:shd w:val="clear" w:color="auto" w:fill="FFFFFF"/>
          </w:tcPr>
          <w:p w14:paraId="2DE72530">
            <w:pPr>
              <w:spacing w:before="0" w:after="0" w:line="240" w:lineRule="auto"/>
              <w:jc w:val="left"/>
            </w:pPr>
            <w:r>
              <w:rPr>
                <w:rFonts w:ascii="Arial" w:hAnsi="Arial" w:eastAsia="Arial"/>
                <w:b w:val="0"/>
                <w:color w:val="000000"/>
                <w:sz w:val="16"/>
              </w:rPr>
              <w:t>Hospitalization for heart failure</w:t>
            </w:r>
          </w:p>
        </w:tc>
        <w:tc>
          <w:tcPr>
            <w:tcW w:w="4535" w:type="dxa"/>
            <w:vAlign w:val="center"/>
            <w:shd w:val="clear" w:color="auto" w:fill="FFFFFF"/>
          </w:tcPr>
          <w:p w14:paraId="3CAB3274">
            <w:pPr>
              <w:spacing w:before="0" w:after="0" w:line="240" w:lineRule="auto"/>
              <w:jc w:val="left"/>
            </w:pPr>
            <w:r>
              <w:rPr>
                <w:rFonts w:ascii="Arial" w:hAnsi="Arial" w:eastAsia="Arial"/>
                <w:b w:val="0"/>
                <w:color w:val="000000"/>
                <w:sz w:val="16"/>
              </w:rPr>
              <w:t>McMurray et al., NEJM 2019</w:t>
            </w:r>
          </w:p>
        </w:tc>
      </w:tr>
      <w:tr w14:paraId="40E7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41054572">
            <w:pPr>
              <w:spacing w:before="0" w:after="0" w:line="240" w:lineRule="auto"/>
              <w:jc w:val="left"/>
            </w:pPr>
            <w:r>
              <w:rPr>
                <w:rFonts w:ascii="Arial" w:hAnsi="Arial" w:eastAsia="Arial"/>
                <w:b w:val="0"/>
                <w:color w:val="000000"/>
                <w:sz w:val="16"/>
              </w:rPr>
              <w:t>DECLARE-TIMI 58</w:t>
            </w:r>
          </w:p>
        </w:tc>
        <w:tc>
          <w:tcPr>
            <w:tcW w:w="7370" w:type="dxa"/>
            <w:vAlign w:val="center"/>
            <w:shd w:val="clear" w:color="auto" w:fill="FFFFFF"/>
          </w:tcPr>
          <w:p w14:paraId="667CFDAC">
            <w:pPr>
              <w:spacing w:before="0" w:after="0" w:line="240" w:lineRule="auto"/>
              <w:jc w:val="left"/>
            </w:pPr>
            <w:r>
              <w:rPr>
                <w:rFonts w:ascii="Arial" w:hAnsi="Arial" w:eastAsia="Arial"/>
                <w:b w:val="0"/>
                <w:color w:val="000000"/>
                <w:sz w:val="16"/>
              </w:rPr>
              <w:t>Hospitalization for heart failure</w:t>
            </w:r>
          </w:p>
        </w:tc>
        <w:tc>
          <w:tcPr>
            <w:tcW w:w="4535" w:type="dxa"/>
            <w:vAlign w:val="center"/>
            <w:shd w:val="clear" w:color="auto" w:fill="FFFFFF"/>
          </w:tcPr>
          <w:p w14:paraId="69189ABD">
            <w:pPr>
              <w:spacing w:before="0" w:after="0" w:line="240" w:lineRule="auto"/>
              <w:jc w:val="left"/>
            </w:pPr>
            <w:r>
              <w:rPr>
                <w:rFonts w:ascii="Arial" w:hAnsi="Arial" w:eastAsia="Arial"/>
                <w:b w:val="0"/>
                <w:color w:val="000000"/>
                <w:sz w:val="16"/>
              </w:rPr>
              <w:t>Wiviott et al., NEJM 2019; Cahn et al., Diabetes Care 2021; Supplementary Appendix where applicable</w:t>
            </w:r>
          </w:p>
        </w:tc>
      </w:tr>
      <w:tr w14:paraId="7D14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EFC328B">
            <w:pPr>
              <w:spacing w:before="0" w:after="0" w:line="240" w:lineRule="auto"/>
              <w:jc w:val="left"/>
            </w:pPr>
            <w:r>
              <w:rPr>
                <w:rFonts w:ascii="Arial" w:hAnsi="Arial" w:eastAsia="Arial"/>
                <w:b w:val="0"/>
                <w:color w:val="000000"/>
                <w:sz w:val="16"/>
              </w:rPr>
              <w:t>DELIVER</w:t>
            </w:r>
          </w:p>
        </w:tc>
        <w:tc>
          <w:tcPr>
            <w:tcW w:w="7370" w:type="dxa"/>
            <w:vAlign w:val="center"/>
            <w:shd w:val="clear" w:color="auto" w:fill="FFFFFF"/>
          </w:tcPr>
          <w:p w14:paraId="70C53717">
            <w:pPr>
              <w:spacing w:before="0" w:after="0" w:line="240" w:lineRule="auto"/>
              <w:jc w:val="left"/>
            </w:pPr>
            <w:r>
              <w:rPr>
                <w:rFonts w:ascii="Arial" w:hAnsi="Arial" w:eastAsia="Arial"/>
                <w:b w:val="0"/>
                <w:color w:val="000000"/>
                <w:sz w:val="16"/>
              </w:rPr>
              <w:t>Hospitalization for heart failure</w:t>
            </w:r>
          </w:p>
        </w:tc>
        <w:tc>
          <w:tcPr>
            <w:tcW w:w="4535" w:type="dxa"/>
            <w:vAlign w:val="center"/>
            <w:shd w:val="clear" w:color="auto" w:fill="FFFFFF"/>
          </w:tcPr>
          <w:p w14:paraId="79D86F52">
            <w:pPr>
              <w:spacing w:before="0" w:after="0" w:line="240" w:lineRule="auto"/>
              <w:jc w:val="left"/>
            </w:pPr>
            <w:r>
              <w:rPr>
                <w:rFonts w:ascii="Arial" w:hAnsi="Arial" w:eastAsia="Arial"/>
                <w:b w:val="0"/>
                <w:color w:val="000000"/>
                <w:sz w:val="16"/>
              </w:rPr>
              <w:t>Solomon et al., NEJM 2022</w:t>
            </w:r>
          </w:p>
        </w:tc>
      </w:tr>
      <w:tr w14:paraId="6FB2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56443E83">
            <w:pPr>
              <w:spacing w:before="0" w:after="0" w:line="240" w:lineRule="auto"/>
              <w:jc w:val="left"/>
            </w:pPr>
            <w:r>
              <w:rPr>
                <w:rFonts w:ascii="Arial" w:hAnsi="Arial" w:eastAsia="Arial"/>
                <w:b w:val="0"/>
                <w:color w:val="000000"/>
                <w:sz w:val="16"/>
              </w:rPr>
              <w:t>EMPA-REG OUTCOME</w:t>
            </w:r>
          </w:p>
        </w:tc>
        <w:tc>
          <w:tcPr>
            <w:tcW w:w="7370" w:type="dxa"/>
            <w:vAlign w:val="center"/>
            <w:shd w:val="clear" w:color="auto" w:fill="FFFFFF"/>
          </w:tcPr>
          <w:p w14:paraId="48A45DD9">
            <w:pPr>
              <w:spacing w:before="0" w:after="0" w:line="240" w:lineRule="auto"/>
              <w:jc w:val="left"/>
            </w:pPr>
            <w:r>
              <w:rPr>
                <w:rFonts w:ascii="Arial" w:hAnsi="Arial" w:eastAsia="Arial"/>
                <w:b w:val="0"/>
                <w:color w:val="000000"/>
                <w:sz w:val="16"/>
              </w:rPr>
              <w:t>First hospitalization for heart failure</w:t>
            </w:r>
          </w:p>
        </w:tc>
        <w:tc>
          <w:tcPr>
            <w:tcW w:w="4535" w:type="dxa"/>
            <w:vAlign w:val="center"/>
            <w:shd w:val="clear" w:color="auto" w:fill="FFFFFF"/>
          </w:tcPr>
          <w:p w14:paraId="4DFEAC61">
            <w:pPr>
              <w:spacing w:before="0" w:after="0" w:line="240" w:lineRule="auto"/>
              <w:jc w:val="left"/>
            </w:pPr>
            <w:r>
              <w:rPr>
                <w:rFonts w:ascii="Arial" w:hAnsi="Arial" w:eastAsia="Arial"/>
                <w:b w:val="0"/>
                <w:color w:val="000000"/>
                <w:sz w:val="16"/>
              </w:rPr>
              <w:t>Zinman et al., NEJM 2015</w:t>
            </w:r>
          </w:p>
        </w:tc>
      </w:tr>
      <w:tr w14:paraId="41BE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2D53B0DD">
            <w:pPr>
              <w:spacing w:before="0" w:after="0" w:line="240" w:lineRule="auto"/>
              <w:jc w:val="left"/>
            </w:pPr>
            <w:r>
              <w:rPr>
                <w:rFonts w:ascii="Arial" w:hAnsi="Arial" w:eastAsia="Arial"/>
                <w:b w:val="0"/>
                <w:color w:val="000000"/>
                <w:sz w:val="16"/>
              </w:rPr>
              <w:t>EMPEROR-Preserved</w:t>
            </w:r>
          </w:p>
        </w:tc>
        <w:tc>
          <w:tcPr>
            <w:tcW w:w="7370" w:type="dxa"/>
            <w:vAlign w:val="center"/>
            <w:shd w:val="clear" w:color="auto" w:fill="FFFFFF"/>
          </w:tcPr>
          <w:p w14:paraId="31F3843C">
            <w:pPr>
              <w:spacing w:before="0" w:after="0" w:line="240" w:lineRule="auto"/>
              <w:jc w:val="left"/>
            </w:pPr>
            <w:r>
              <w:rPr>
                <w:rFonts w:ascii="Arial" w:hAnsi="Arial" w:eastAsia="Arial"/>
                <w:b w:val="0"/>
                <w:color w:val="000000"/>
                <w:sz w:val="16"/>
              </w:rPr>
              <w:t>First hospitalization for heart failure</w:t>
            </w:r>
          </w:p>
        </w:tc>
        <w:tc>
          <w:tcPr>
            <w:tcW w:w="4535" w:type="dxa"/>
            <w:vAlign w:val="center"/>
            <w:shd w:val="clear" w:color="auto" w:fill="FFFFFF"/>
          </w:tcPr>
          <w:p w14:paraId="7F0CD275">
            <w:pPr>
              <w:spacing w:before="0" w:after="0" w:line="240" w:lineRule="auto"/>
              <w:jc w:val="left"/>
            </w:pPr>
            <w:r>
              <w:rPr>
                <w:rFonts w:ascii="Arial" w:hAnsi="Arial" w:eastAsia="Arial"/>
                <w:b w:val="0"/>
                <w:color w:val="000000"/>
                <w:sz w:val="16"/>
              </w:rPr>
              <w:t>Anker et al., NEJM 2021</w:t>
            </w:r>
          </w:p>
        </w:tc>
      </w:tr>
      <w:tr w14:paraId="204E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ADD5682">
            <w:pPr>
              <w:spacing w:before="0" w:after="0" w:line="240" w:lineRule="auto"/>
              <w:jc w:val="left"/>
            </w:pPr>
            <w:r>
              <w:rPr>
                <w:rFonts w:ascii="Arial" w:hAnsi="Arial" w:eastAsia="Arial"/>
                <w:b w:val="0"/>
                <w:color w:val="000000"/>
                <w:sz w:val="16"/>
              </w:rPr>
              <w:t>EMPEROR-Reduced</w:t>
            </w:r>
          </w:p>
        </w:tc>
        <w:tc>
          <w:tcPr>
            <w:tcW w:w="7370" w:type="dxa"/>
            <w:vAlign w:val="center"/>
            <w:shd w:val="clear" w:color="auto" w:fill="FFFFFF"/>
          </w:tcPr>
          <w:p w14:paraId="590CED1B">
            <w:pPr>
              <w:spacing w:before="0" w:after="0" w:line="240" w:lineRule="auto"/>
              <w:jc w:val="left"/>
            </w:pPr>
            <w:r>
              <w:rPr>
                <w:rFonts w:ascii="Arial" w:hAnsi="Arial" w:eastAsia="Arial"/>
                <w:b w:val="0"/>
                <w:color w:val="000000"/>
                <w:sz w:val="16"/>
              </w:rPr>
              <w:t>First hospitalization for heart failure</w:t>
            </w:r>
          </w:p>
        </w:tc>
        <w:tc>
          <w:tcPr>
            <w:tcW w:w="4535" w:type="dxa"/>
            <w:vAlign w:val="center"/>
            <w:shd w:val="clear" w:color="auto" w:fill="FFFFFF"/>
          </w:tcPr>
          <w:p w14:paraId="32BFE58F">
            <w:pPr>
              <w:spacing w:before="0" w:after="0" w:line="240" w:lineRule="auto"/>
              <w:jc w:val="left"/>
            </w:pPr>
            <w:r>
              <w:rPr>
                <w:rFonts w:ascii="Arial" w:hAnsi="Arial" w:eastAsia="Arial"/>
                <w:b w:val="0"/>
                <w:color w:val="000000"/>
                <w:sz w:val="16"/>
              </w:rPr>
              <w:t>Packer et al., NEJM 2020</w:t>
            </w:r>
          </w:p>
        </w:tc>
      </w:tr>
      <w:tr w14:paraId="754F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4C96F686">
            <w:pPr>
              <w:spacing w:before="0" w:after="0" w:line="240" w:lineRule="auto"/>
              <w:jc w:val="left"/>
            </w:pPr>
            <w:r>
              <w:rPr>
                <w:rFonts w:ascii="Arial" w:hAnsi="Arial" w:eastAsia="Arial"/>
                <w:b w:val="0"/>
                <w:color w:val="000000"/>
                <w:sz w:val="16"/>
              </w:rPr>
              <w:t>VERTIS CV</w:t>
            </w:r>
          </w:p>
        </w:tc>
        <w:tc>
          <w:tcPr>
            <w:tcW w:w="7370" w:type="dxa"/>
            <w:vAlign w:val="center"/>
            <w:shd w:val="clear" w:color="auto" w:fill="FFFFFF"/>
          </w:tcPr>
          <w:p w14:paraId="4DAAAE22">
            <w:pPr>
              <w:spacing w:before="0" w:after="0" w:line="240" w:lineRule="auto"/>
              <w:jc w:val="left"/>
            </w:pPr>
            <w:r>
              <w:rPr>
                <w:rFonts w:ascii="Arial" w:hAnsi="Arial" w:eastAsia="Arial"/>
                <w:b w:val="0"/>
                <w:color w:val="000000"/>
                <w:sz w:val="16"/>
              </w:rPr>
              <w:t>Hospitalization for heart failure</w:t>
            </w:r>
          </w:p>
        </w:tc>
        <w:tc>
          <w:tcPr>
            <w:tcW w:w="4535" w:type="dxa"/>
            <w:vAlign w:val="center"/>
            <w:shd w:val="clear" w:color="auto" w:fill="FFFFFF"/>
          </w:tcPr>
          <w:p w14:paraId="69A3891B">
            <w:pPr>
              <w:spacing w:before="0" w:after="0" w:line="240" w:lineRule="auto"/>
              <w:jc w:val="left"/>
            </w:pPr>
            <w:r>
              <w:rPr>
                <w:rFonts w:ascii="Arial" w:hAnsi="Arial" w:eastAsia="Arial"/>
                <w:b w:val="0"/>
                <w:color w:val="000000"/>
                <w:sz w:val="16"/>
              </w:rPr>
              <w:t>Cannon et al., NEJM 2020</w:t>
            </w:r>
          </w:p>
        </w:tc>
      </w:tr>
      <w:tr w14:paraId="35DC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126216B1">
            <w:pPr>
              <w:spacing w:before="0" w:after="0" w:line="240" w:lineRule="auto"/>
              <w:jc w:val="left"/>
            </w:pPr>
            <w:r>
              <w:rPr>
                <w:rFonts w:ascii="Arial" w:hAnsi="Arial" w:eastAsia="Arial"/>
                <w:b w:val="0"/>
                <w:color w:val="000000"/>
                <w:sz w:val="16"/>
              </w:rPr>
              <w:t>SOLOIST-WHF</w:t>
            </w:r>
          </w:p>
        </w:tc>
        <w:tc>
          <w:tcPr>
            <w:tcW w:w="7370" w:type="dxa"/>
            <w:vAlign w:val="center"/>
            <w:shd w:val="clear" w:color="auto" w:fill="FFFFFF"/>
          </w:tcPr>
          <w:p w14:paraId="7D731DAD">
            <w:pPr>
              <w:spacing w:before="0" w:after="0" w:line="240" w:lineRule="auto"/>
              <w:jc w:val="left"/>
            </w:pPr>
            <w:r>
              <w:rPr>
                <w:rFonts w:ascii="Arial" w:hAnsi="Arial" w:eastAsia="Arial"/>
                <w:b w:val="0"/>
                <w:color w:val="000000"/>
                <w:sz w:val="16"/>
              </w:rPr>
              <w:t>Not included in the main HHF analysis; the available HF estimate included total hospitalizations for heart failure and urgent heart failure visits</w:t>
            </w:r>
          </w:p>
        </w:tc>
        <w:tc>
          <w:tcPr>
            <w:tcW w:w="4535" w:type="dxa"/>
            <w:vAlign w:val="center"/>
            <w:shd w:val="clear" w:color="auto" w:fill="FFFFFF"/>
          </w:tcPr>
          <w:p w14:paraId="5D727A38">
            <w:pPr>
              <w:spacing w:before="0" w:after="0" w:line="240" w:lineRule="auto"/>
              <w:jc w:val="left"/>
            </w:pPr>
            <w:r>
              <w:rPr>
                <w:rFonts w:ascii="Arial" w:hAnsi="Arial" w:eastAsia="Arial"/>
                <w:b w:val="0"/>
                <w:color w:val="000000"/>
                <w:sz w:val="16"/>
              </w:rPr>
              <w:t>Bhatt et al., NEJM 2021</w:t>
            </w:r>
          </w:p>
        </w:tc>
      </w:tr>
    </w:tbl>
    <w:p w14:paraId="57EC6991">
      <w:r>
        <w:rPr>
          <w:color w:val="000000"/>
        </w:rPr>
        <w:br w:type="page"/>
      </w:r>
    </w:p>
    <w:p w14:paraId="640FF6C5">
      <w:pPr>
        <w:pStyle w:val="5"/>
        <w:spacing w:before="160" w:after="80"/>
      </w:pPr>
      <w:r>
        <w:rPr>
          <w:rFonts w:ascii="Arial" w:hAnsi="Arial" w:eastAsia="Arial"/>
          <w:color w:val="000000"/>
        </w:rPr>
        <w:t>Panel D. Trial-defined kidney composite outcomes</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92"/>
        <w:gridCol w:w="7225"/>
        <w:gridCol w:w="4455"/>
      </w:tblGrid>
      <w:tr w14:paraId="74B0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835" w:type="dxa"/>
            <w:vAlign w:val="center"/>
            <w:shd w:val="clear" w:color="auto" w:fill="FFFFFF"/>
          </w:tcPr>
          <w:p w14:paraId="5D9D60D4">
            <w:pPr>
              <w:spacing w:before="0" w:after="0" w:line="240" w:lineRule="auto"/>
              <w:jc w:val="center"/>
            </w:pPr>
            <w:r>
              <w:rPr>
                <w:rFonts w:ascii="Arial" w:hAnsi="Arial" w:eastAsia="Arial"/>
                <w:b/>
                <w:color w:val="000000"/>
                <w:sz w:val="16"/>
              </w:rPr>
              <w:t>Study or trial</w:t>
            </w:r>
          </w:p>
        </w:tc>
        <w:tc>
          <w:tcPr>
            <w:tcW w:w="7370" w:type="dxa"/>
            <w:vAlign w:val="center"/>
            <w:shd w:val="clear" w:color="auto" w:fill="FFFFFF"/>
          </w:tcPr>
          <w:p w14:paraId="6FB2DF18">
            <w:pPr>
              <w:spacing w:before="0" w:after="0" w:line="240" w:lineRule="auto"/>
              <w:jc w:val="center"/>
            </w:pPr>
            <w:r>
              <w:rPr>
                <w:rFonts w:ascii="Arial" w:hAnsi="Arial" w:eastAsia="Arial"/>
                <w:b/>
                <w:color w:val="000000"/>
                <w:sz w:val="16"/>
              </w:rPr>
              <w:t>Definition used in this meta-analysis</w:t>
            </w:r>
          </w:p>
        </w:tc>
        <w:tc>
          <w:tcPr>
            <w:tcW w:w="4535" w:type="dxa"/>
            <w:vAlign w:val="center"/>
            <w:shd w:val="clear" w:color="auto" w:fill="FFFFFF"/>
          </w:tcPr>
          <w:p w14:paraId="1BE116BF">
            <w:pPr>
              <w:spacing w:before="0" w:after="0" w:line="240" w:lineRule="auto"/>
              <w:jc w:val="center"/>
            </w:pPr>
            <w:r>
              <w:rPr>
                <w:rFonts w:ascii="Arial" w:hAnsi="Arial" w:eastAsia="Arial"/>
                <w:b/>
                <w:color w:val="000000"/>
                <w:sz w:val="16"/>
              </w:rPr>
              <w:t>Data source</w:t>
            </w:r>
          </w:p>
        </w:tc>
      </w:tr>
      <w:tr w14:paraId="2188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152719CC">
            <w:pPr>
              <w:spacing w:before="0" w:after="0" w:line="240" w:lineRule="auto"/>
              <w:jc w:val="left"/>
            </w:pPr>
            <w:r>
              <w:rPr>
                <w:rFonts w:ascii="Arial" w:hAnsi="Arial" w:eastAsia="Arial"/>
                <w:b w:val="0"/>
                <w:color w:val="000000"/>
                <w:sz w:val="16"/>
              </w:rPr>
              <w:t>CANVAS Program</w:t>
            </w:r>
          </w:p>
        </w:tc>
        <w:tc>
          <w:tcPr>
            <w:tcW w:w="7370" w:type="dxa"/>
            <w:vAlign w:val="center"/>
            <w:shd w:val="clear" w:color="auto" w:fill="FFFFFF"/>
          </w:tcPr>
          <w:p w14:paraId="755D6968">
            <w:pPr>
              <w:spacing w:before="0" w:after="0" w:line="240" w:lineRule="auto"/>
              <w:jc w:val="left"/>
            </w:pPr>
            <w:r>
              <w:rPr>
                <w:rFonts w:ascii="Arial" w:hAnsi="Arial" w:eastAsia="Arial"/>
                <w:b w:val="0"/>
                <w:color w:val="000000"/>
                <w:sz w:val="16"/>
              </w:rPr>
              <w:t>40% reduction in eGFR, renal replacement therapy, or renal death</w:t>
            </w:r>
          </w:p>
        </w:tc>
        <w:tc>
          <w:tcPr>
            <w:tcW w:w="4535" w:type="dxa"/>
            <w:vAlign w:val="center"/>
            <w:shd w:val="clear" w:color="auto" w:fill="FFFFFF"/>
          </w:tcPr>
          <w:p w14:paraId="1D253594">
            <w:pPr>
              <w:spacing w:before="0" w:after="0" w:line="240" w:lineRule="auto"/>
              <w:jc w:val="left"/>
            </w:pPr>
            <w:r>
              <w:rPr>
                <w:rFonts w:ascii="Arial" w:hAnsi="Arial" w:eastAsia="Arial"/>
                <w:b w:val="0"/>
                <w:color w:val="000000"/>
                <w:sz w:val="16"/>
              </w:rPr>
              <w:t>Mahaffey et al., Circulation 2018</w:t>
            </w:r>
          </w:p>
        </w:tc>
      </w:tr>
      <w:tr w14:paraId="7218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B081C74">
            <w:pPr>
              <w:spacing w:before="0" w:after="0" w:line="240" w:lineRule="auto"/>
              <w:jc w:val="left"/>
            </w:pPr>
            <w:r>
              <w:rPr>
                <w:rFonts w:ascii="Arial" w:hAnsi="Arial" w:eastAsia="Arial"/>
                <w:b w:val="0"/>
                <w:color w:val="000000"/>
                <w:sz w:val="16"/>
              </w:rPr>
              <w:t>CREDENCE</w:t>
            </w:r>
          </w:p>
        </w:tc>
        <w:tc>
          <w:tcPr>
            <w:tcW w:w="7370" w:type="dxa"/>
            <w:vAlign w:val="center"/>
            <w:shd w:val="clear" w:color="auto" w:fill="FFFFFF"/>
          </w:tcPr>
          <w:p w14:paraId="47E46904">
            <w:pPr>
              <w:spacing w:before="0" w:after="0" w:line="240" w:lineRule="auto"/>
              <w:jc w:val="left"/>
            </w:pPr>
            <w:r>
              <w:rPr>
                <w:rFonts w:ascii="Arial" w:hAnsi="Arial" w:eastAsia="Arial"/>
                <w:b w:val="0"/>
                <w:color w:val="000000"/>
                <w:sz w:val="16"/>
              </w:rPr>
              <w:t>End-stage kidney disease, doubling of serum creatinine, or renal death</w:t>
            </w:r>
          </w:p>
        </w:tc>
        <w:tc>
          <w:tcPr>
            <w:tcW w:w="4535" w:type="dxa"/>
            <w:vAlign w:val="center"/>
            <w:shd w:val="clear" w:color="auto" w:fill="FFFFFF"/>
          </w:tcPr>
          <w:p w14:paraId="30B9DEB4">
            <w:pPr>
              <w:spacing w:before="0" w:after="0" w:line="240" w:lineRule="auto"/>
              <w:jc w:val="left"/>
            </w:pPr>
            <w:r>
              <w:rPr>
                <w:rFonts w:ascii="Arial" w:hAnsi="Arial" w:eastAsia="Arial"/>
                <w:b w:val="0"/>
                <w:color w:val="000000"/>
                <w:sz w:val="16"/>
              </w:rPr>
              <w:t>Mahaffey et al., Circulation 2019</w:t>
            </w:r>
          </w:p>
        </w:tc>
      </w:tr>
      <w:tr w14:paraId="52DA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20E7B1F6">
            <w:pPr>
              <w:spacing w:before="0" w:after="0" w:line="240" w:lineRule="auto"/>
              <w:jc w:val="left"/>
            </w:pPr>
            <w:r>
              <w:rPr>
                <w:rFonts w:ascii="Arial" w:hAnsi="Arial" w:eastAsia="Arial"/>
                <w:b w:val="0"/>
                <w:color w:val="000000"/>
                <w:sz w:val="16"/>
              </w:rPr>
              <w:t>DAPA-CKD</w:t>
            </w:r>
          </w:p>
        </w:tc>
        <w:tc>
          <w:tcPr>
            <w:tcW w:w="7370" w:type="dxa"/>
            <w:vAlign w:val="center"/>
            <w:shd w:val="clear" w:color="auto" w:fill="FFFFFF"/>
          </w:tcPr>
          <w:p w14:paraId="562041B7">
            <w:pPr>
              <w:spacing w:before="0" w:after="0" w:line="240" w:lineRule="auto"/>
              <w:jc w:val="left"/>
            </w:pPr>
            <w:r>
              <w:rPr>
                <w:rFonts w:ascii="Arial" w:hAnsi="Arial" w:eastAsia="Arial"/>
                <w:b w:val="0"/>
                <w:color w:val="000000"/>
                <w:sz w:val="16"/>
              </w:rPr>
              <w:t>Sustained &gt;=50% decline in eGFR, end-stage kidney disease, or death from renal causes</w:t>
            </w:r>
          </w:p>
        </w:tc>
        <w:tc>
          <w:tcPr>
            <w:tcW w:w="4535" w:type="dxa"/>
            <w:vAlign w:val="center"/>
            <w:shd w:val="clear" w:color="auto" w:fill="FFFFFF"/>
          </w:tcPr>
          <w:p w14:paraId="439EB573">
            <w:pPr>
              <w:spacing w:before="0" w:after="0" w:line="240" w:lineRule="auto"/>
              <w:jc w:val="left"/>
            </w:pPr>
            <w:r>
              <w:rPr>
                <w:rFonts w:ascii="Arial" w:hAnsi="Arial" w:eastAsia="Arial"/>
                <w:b w:val="0"/>
                <w:color w:val="000000"/>
                <w:sz w:val="16"/>
              </w:rPr>
              <w:t>McMurray et al., Circulation 2021</w:t>
            </w:r>
          </w:p>
        </w:tc>
      </w:tr>
      <w:tr w14:paraId="5346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E91E21E">
            <w:pPr>
              <w:spacing w:before="0" w:after="0" w:line="240" w:lineRule="auto"/>
              <w:jc w:val="left"/>
            </w:pPr>
            <w:r>
              <w:rPr>
                <w:rFonts w:ascii="Arial" w:hAnsi="Arial" w:eastAsia="Arial"/>
                <w:b w:val="0"/>
                <w:color w:val="000000"/>
                <w:sz w:val="16"/>
              </w:rPr>
              <w:t>DAPA-HF</w:t>
            </w:r>
          </w:p>
        </w:tc>
        <w:tc>
          <w:tcPr>
            <w:tcW w:w="7370" w:type="dxa"/>
            <w:vAlign w:val="center"/>
            <w:shd w:val="clear" w:color="auto" w:fill="FFFFFF"/>
          </w:tcPr>
          <w:p w14:paraId="14BE42CA">
            <w:pPr>
              <w:spacing w:before="0" w:after="0" w:line="240" w:lineRule="auto"/>
              <w:jc w:val="left"/>
            </w:pPr>
            <w:r>
              <w:rPr>
                <w:rFonts w:ascii="Arial" w:hAnsi="Arial" w:eastAsia="Arial"/>
                <w:b w:val="0"/>
                <w:color w:val="000000"/>
                <w:sz w:val="16"/>
              </w:rPr>
              <w:t>Sustained ≥50% decline in eGFR, end-stage renal disease, or renal death</w:t>
            </w:r>
          </w:p>
        </w:tc>
        <w:tc>
          <w:tcPr>
            <w:tcW w:w="4535" w:type="dxa"/>
            <w:vAlign w:val="center"/>
            <w:shd w:val="clear" w:color="auto" w:fill="FFFFFF"/>
          </w:tcPr>
          <w:p w14:paraId="524AB93C">
            <w:pPr>
              <w:spacing w:before="0" w:after="0" w:line="240" w:lineRule="auto"/>
              <w:jc w:val="left"/>
            </w:pPr>
            <w:r>
              <w:rPr>
                <w:rFonts w:ascii="Arial" w:hAnsi="Arial" w:eastAsia="Arial"/>
                <w:b w:val="0"/>
                <w:color w:val="000000"/>
                <w:sz w:val="16"/>
              </w:rPr>
              <w:t>McMurray et al., NEJM 2019</w:t>
            </w:r>
          </w:p>
        </w:tc>
      </w:tr>
      <w:tr w14:paraId="626C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B1C650C">
            <w:pPr>
              <w:spacing w:before="0" w:after="0" w:line="240" w:lineRule="auto"/>
              <w:jc w:val="left"/>
            </w:pPr>
            <w:r>
              <w:rPr>
                <w:rFonts w:ascii="Arial" w:hAnsi="Arial" w:eastAsia="Arial"/>
                <w:b w:val="0"/>
                <w:color w:val="000000"/>
                <w:sz w:val="16"/>
              </w:rPr>
              <w:t>DECLARE-TIMI 58</w:t>
            </w:r>
          </w:p>
        </w:tc>
        <w:tc>
          <w:tcPr>
            <w:tcW w:w="7370" w:type="dxa"/>
            <w:vAlign w:val="center"/>
            <w:shd w:val="clear" w:color="auto" w:fill="FFFFFF"/>
          </w:tcPr>
          <w:p w14:paraId="6F516169">
            <w:pPr>
              <w:spacing w:before="0" w:after="0" w:line="240" w:lineRule="auto"/>
              <w:jc w:val="left"/>
            </w:pPr>
            <w:r>
              <w:rPr>
                <w:rFonts w:ascii="Arial" w:hAnsi="Arial" w:eastAsia="Arial"/>
                <w:b w:val="0"/>
                <w:color w:val="000000"/>
                <w:sz w:val="16"/>
              </w:rPr>
              <w:t>Sustained ≥40% decrease in eGFR to &lt;60 mL/min/1.73 m², end-stage renal disease, or death from renal causes</w:t>
            </w:r>
          </w:p>
        </w:tc>
        <w:tc>
          <w:tcPr>
            <w:tcW w:w="4535" w:type="dxa"/>
            <w:vAlign w:val="center"/>
            <w:shd w:val="clear" w:color="auto" w:fill="FFFFFF"/>
          </w:tcPr>
          <w:p w14:paraId="37A94329">
            <w:pPr>
              <w:spacing w:before="0" w:after="0" w:line="240" w:lineRule="auto"/>
              <w:jc w:val="left"/>
            </w:pPr>
            <w:r>
              <w:rPr>
                <w:rFonts w:ascii="Arial" w:hAnsi="Arial" w:eastAsia="Arial"/>
                <w:b w:val="0"/>
                <w:color w:val="000000"/>
                <w:sz w:val="16"/>
              </w:rPr>
              <w:t>Wiviott et al., NEJM 2019; Mosenzon et al., Lancet Diabetes Endocrinol 2019; Cahn et al., Diabetes Care 2021; Supplementary Appendix where applicable</w:t>
            </w:r>
          </w:p>
        </w:tc>
      </w:tr>
      <w:tr w14:paraId="3D25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36C333D3">
            <w:pPr>
              <w:spacing w:before="0" w:after="0" w:line="240" w:lineRule="auto"/>
              <w:jc w:val="left"/>
            </w:pPr>
            <w:r>
              <w:rPr>
                <w:rFonts w:ascii="Arial" w:hAnsi="Arial" w:eastAsia="Arial"/>
                <w:b w:val="0"/>
                <w:color w:val="000000"/>
                <w:sz w:val="16"/>
              </w:rPr>
              <w:t>EMPA-REG OUTCOME</w:t>
            </w:r>
          </w:p>
        </w:tc>
        <w:tc>
          <w:tcPr>
            <w:tcW w:w="7370" w:type="dxa"/>
            <w:vAlign w:val="center"/>
            <w:shd w:val="clear" w:color="auto" w:fill="FFFFFF"/>
          </w:tcPr>
          <w:p w14:paraId="60F9A31E">
            <w:pPr>
              <w:spacing w:before="0" w:after="0" w:line="240" w:lineRule="auto"/>
              <w:jc w:val="left"/>
            </w:pPr>
            <w:r>
              <w:rPr>
                <w:rFonts w:ascii="Arial" w:hAnsi="Arial" w:eastAsia="Arial"/>
                <w:b w:val="0"/>
                <w:color w:val="000000"/>
                <w:sz w:val="16"/>
              </w:rPr>
              <w:t>Doubling of serum creatinine, initiation of renal replacement therapy, or death from renal disease</w:t>
            </w:r>
          </w:p>
        </w:tc>
        <w:tc>
          <w:tcPr>
            <w:tcW w:w="4535" w:type="dxa"/>
            <w:vAlign w:val="center"/>
            <w:shd w:val="clear" w:color="auto" w:fill="FFFFFF"/>
          </w:tcPr>
          <w:p w14:paraId="0619CB9E">
            <w:pPr>
              <w:spacing w:before="0" w:after="0" w:line="240" w:lineRule="auto"/>
              <w:jc w:val="left"/>
            </w:pPr>
            <w:r>
              <w:rPr>
                <w:rFonts w:ascii="Arial" w:hAnsi="Arial" w:eastAsia="Arial"/>
                <w:b w:val="0"/>
                <w:color w:val="000000"/>
                <w:sz w:val="16"/>
              </w:rPr>
              <w:t>Wanner et al., NEJM 2016</w:t>
            </w:r>
          </w:p>
        </w:tc>
      </w:tr>
      <w:tr w14:paraId="3A83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EF3E7BD">
            <w:pPr>
              <w:spacing w:before="0" w:after="0" w:line="240" w:lineRule="auto"/>
              <w:jc w:val="left"/>
            </w:pPr>
            <w:r>
              <w:rPr>
                <w:rFonts w:ascii="Arial" w:hAnsi="Arial" w:eastAsia="Arial"/>
                <w:b w:val="0"/>
                <w:color w:val="000000"/>
                <w:sz w:val="16"/>
              </w:rPr>
              <w:t>EMPEROR-Preserved</w:t>
            </w:r>
          </w:p>
        </w:tc>
        <w:tc>
          <w:tcPr>
            <w:tcW w:w="7370" w:type="dxa"/>
            <w:vAlign w:val="center"/>
            <w:shd w:val="clear" w:color="auto" w:fill="FFFFFF"/>
          </w:tcPr>
          <w:p w14:paraId="1C70C142">
            <w:pPr>
              <w:spacing w:before="0" w:after="0" w:line="240" w:lineRule="auto"/>
              <w:jc w:val="left"/>
            </w:pPr>
            <w:r>
              <w:rPr>
                <w:rFonts w:ascii="Arial" w:hAnsi="Arial" w:eastAsia="Arial"/>
                <w:b w:val="0"/>
                <w:color w:val="000000"/>
                <w:sz w:val="16"/>
              </w:rPr>
              <w:t>Sustained &gt;40% decline in eGFR, chronic dialysis or kidney transplantation, or sustained low eGFR (&lt;15 mL/min/1.73 m² for baseline eGFR &gt;=30; &lt;10 mL/min/1.73 m² for baseline eGFR &lt;30)</w:t>
            </w:r>
          </w:p>
        </w:tc>
        <w:tc>
          <w:tcPr>
            <w:tcW w:w="4535" w:type="dxa"/>
            <w:vAlign w:val="center"/>
            <w:shd w:val="clear" w:color="auto" w:fill="FFFFFF"/>
          </w:tcPr>
          <w:p w14:paraId="75CFD9A4">
            <w:pPr>
              <w:spacing w:before="0" w:after="0" w:line="240" w:lineRule="auto"/>
              <w:jc w:val="left"/>
            </w:pPr>
            <w:r>
              <w:rPr>
                <w:rFonts w:ascii="Arial" w:hAnsi="Arial" w:eastAsia="Arial"/>
                <w:b w:val="0"/>
                <w:color w:val="000000"/>
                <w:sz w:val="16"/>
              </w:rPr>
              <w:t>Anker et al., NEJM 2021; Supplementary Appendix</w:t>
            </w:r>
          </w:p>
        </w:tc>
      </w:tr>
      <w:tr w14:paraId="21B5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73ED947F">
            <w:pPr>
              <w:spacing w:before="0" w:after="0" w:line="240" w:lineRule="auto"/>
              <w:jc w:val="left"/>
            </w:pPr>
            <w:r>
              <w:rPr>
                <w:rFonts w:ascii="Arial" w:hAnsi="Arial" w:eastAsia="Arial"/>
                <w:b w:val="0"/>
                <w:color w:val="000000"/>
                <w:sz w:val="16"/>
              </w:rPr>
              <w:t>EMPEROR-Reduced</w:t>
            </w:r>
          </w:p>
        </w:tc>
        <w:tc>
          <w:tcPr>
            <w:tcW w:w="7370" w:type="dxa"/>
            <w:vAlign w:val="center"/>
            <w:shd w:val="clear" w:color="auto" w:fill="FFFFFF"/>
          </w:tcPr>
          <w:p w14:paraId="21E42182">
            <w:pPr>
              <w:spacing w:before="0" w:after="0" w:line="240" w:lineRule="auto"/>
              <w:jc w:val="left"/>
            </w:pPr>
            <w:r>
              <w:rPr>
                <w:rFonts w:ascii="Arial" w:hAnsi="Arial" w:eastAsia="Arial"/>
                <w:b w:val="0"/>
                <w:color w:val="000000"/>
                <w:sz w:val="16"/>
              </w:rPr>
              <w:t>Chronic dialysis, renal transplantation, sustained ≥40% reduction in eGFR, or sustained low eGFR threshold according to baseline eGFR</w:t>
            </w:r>
          </w:p>
        </w:tc>
        <w:tc>
          <w:tcPr>
            <w:tcW w:w="4535" w:type="dxa"/>
            <w:vAlign w:val="center"/>
            <w:shd w:val="clear" w:color="auto" w:fill="FFFFFF"/>
          </w:tcPr>
          <w:p w14:paraId="0C4BE620">
            <w:pPr>
              <w:spacing w:before="0" w:after="0" w:line="240" w:lineRule="auto"/>
              <w:jc w:val="left"/>
            </w:pPr>
            <w:r>
              <w:rPr>
                <w:rFonts w:ascii="Arial" w:hAnsi="Arial" w:eastAsia="Arial"/>
                <w:b w:val="0"/>
                <w:color w:val="000000"/>
                <w:sz w:val="16"/>
              </w:rPr>
              <w:t>Packer et al., NEJM 2020</w:t>
            </w:r>
          </w:p>
        </w:tc>
      </w:tr>
      <w:tr w14:paraId="6174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552F5975">
            <w:pPr>
              <w:spacing w:before="0" w:after="0" w:line="240" w:lineRule="auto"/>
              <w:jc w:val="left"/>
            </w:pPr>
            <w:r>
              <w:rPr>
                <w:rFonts w:ascii="Arial" w:hAnsi="Arial" w:eastAsia="Arial"/>
                <w:b w:val="0"/>
                <w:color w:val="000000"/>
                <w:sz w:val="16"/>
              </w:rPr>
              <w:t>VERTIS CV</w:t>
            </w:r>
          </w:p>
        </w:tc>
        <w:tc>
          <w:tcPr>
            <w:tcW w:w="7370" w:type="dxa"/>
            <w:vAlign w:val="center"/>
            <w:shd w:val="clear" w:color="auto" w:fill="FFFFFF"/>
          </w:tcPr>
          <w:p w14:paraId="1FD534D8">
            <w:pPr>
              <w:spacing w:before="0" w:after="0" w:line="240" w:lineRule="auto"/>
              <w:jc w:val="left"/>
            </w:pPr>
            <w:r>
              <w:rPr>
                <w:rFonts w:ascii="Arial" w:hAnsi="Arial" w:eastAsia="Arial"/>
                <w:b w:val="0"/>
                <w:color w:val="000000"/>
                <w:sz w:val="16"/>
              </w:rPr>
              <w:t>Death from renal causes, renal replacement therapy, or doubling of serum creatinine</w:t>
            </w:r>
          </w:p>
        </w:tc>
        <w:tc>
          <w:tcPr>
            <w:tcW w:w="4535" w:type="dxa"/>
            <w:vAlign w:val="center"/>
            <w:shd w:val="clear" w:color="auto" w:fill="FFFFFF"/>
          </w:tcPr>
          <w:p w14:paraId="04EEE3BC">
            <w:pPr>
              <w:spacing w:before="0" w:after="0" w:line="240" w:lineRule="auto"/>
              <w:jc w:val="left"/>
            </w:pPr>
            <w:r>
              <w:rPr>
                <w:rFonts w:ascii="Arial" w:hAnsi="Arial" w:eastAsia="Arial"/>
                <w:b w:val="0"/>
                <w:color w:val="000000"/>
                <w:sz w:val="16"/>
              </w:rPr>
              <w:t>Cannon et al., NEJM 2020</w:t>
            </w:r>
          </w:p>
        </w:tc>
      </w:tr>
      <w:tr w14:paraId="27FE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5441C579">
            <w:pPr>
              <w:spacing w:before="0" w:after="0" w:line="240" w:lineRule="auto"/>
              <w:jc w:val="left"/>
            </w:pPr>
            <w:r>
              <w:rPr>
                <w:rFonts w:ascii="Arial" w:hAnsi="Arial" w:eastAsia="Arial"/>
                <w:b w:val="0"/>
                <w:color w:val="000000"/>
                <w:sz w:val="16"/>
              </w:rPr>
              <w:t>DELIVER, SOLOIST-WHF</w:t>
            </w:r>
          </w:p>
        </w:tc>
        <w:tc>
          <w:tcPr>
            <w:tcW w:w="7370" w:type="dxa"/>
            <w:vAlign w:val="center"/>
            <w:shd w:val="clear" w:color="auto" w:fill="FFFFFF"/>
          </w:tcPr>
          <w:p w14:paraId="73D87237">
            <w:pPr>
              <w:spacing w:before="0" w:after="0" w:line="240" w:lineRule="auto"/>
              <w:jc w:val="left"/>
            </w:pPr>
            <w:r>
              <w:rPr>
                <w:rFonts w:ascii="Arial" w:hAnsi="Arial" w:eastAsia="Arial"/>
                <w:b w:val="0"/>
                <w:color w:val="000000"/>
                <w:sz w:val="16"/>
              </w:rPr>
              <w:t>Not included; no suitable kidney composite estimate was used in the main kidney analysis</w:t>
            </w:r>
          </w:p>
        </w:tc>
        <w:tc>
          <w:tcPr>
            <w:tcW w:w="4535" w:type="dxa"/>
            <w:vAlign w:val="center"/>
            <w:shd w:val="clear" w:color="auto" w:fill="FFFFFF"/>
          </w:tcPr>
          <w:p w14:paraId="78055790">
            <w:pPr>
              <w:spacing w:before="0" w:after="0" w:line="240" w:lineRule="auto"/>
              <w:jc w:val="left"/>
            </w:pPr>
            <w:r>
              <w:rPr>
                <w:rFonts w:ascii="Arial" w:hAnsi="Arial" w:eastAsia="Arial"/>
                <w:b w:val="0"/>
                <w:color w:val="000000"/>
                <w:sz w:val="16"/>
              </w:rPr>
              <w:t>Not applicable</w:t>
            </w:r>
          </w:p>
        </w:tc>
      </w:tr>
    </w:tbl>
    <w:p w14:paraId="3BC53732">
      <w:r>
        <w:rPr>
          <w:color w:val="000000"/>
        </w:rPr>
        <w:br w:type="page"/>
      </w:r>
    </w:p>
    <w:p w14:paraId="7A8D5A58">
      <w:pPr>
        <w:pStyle w:val="5"/>
        <w:spacing w:before="160" w:after="80"/>
      </w:pPr>
      <w:r>
        <w:rPr>
          <w:rFonts w:ascii="Arial" w:hAnsi="Arial" w:eastAsia="Arial"/>
          <w:color w:val="000000"/>
        </w:rPr>
        <w:t>Panel E. All-cause mortality</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94"/>
        <w:gridCol w:w="7219"/>
        <w:gridCol w:w="4459"/>
      </w:tblGrid>
      <w:tr w14:paraId="7D25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835" w:type="dxa"/>
            <w:vAlign w:val="center"/>
            <w:shd w:val="clear" w:color="auto" w:fill="FFFFFF"/>
          </w:tcPr>
          <w:p w14:paraId="010ADBA0">
            <w:pPr>
              <w:spacing w:before="0" w:after="0" w:line="240" w:lineRule="auto"/>
              <w:jc w:val="center"/>
            </w:pPr>
            <w:r>
              <w:rPr>
                <w:rFonts w:ascii="Arial" w:hAnsi="Arial" w:eastAsia="Arial"/>
                <w:b/>
                <w:color w:val="000000"/>
                <w:sz w:val="16"/>
              </w:rPr>
              <w:t>Study or trial</w:t>
            </w:r>
          </w:p>
        </w:tc>
        <w:tc>
          <w:tcPr>
            <w:tcW w:w="7370" w:type="dxa"/>
            <w:vAlign w:val="center"/>
            <w:shd w:val="clear" w:color="auto" w:fill="FFFFFF"/>
          </w:tcPr>
          <w:p w14:paraId="255A8483">
            <w:pPr>
              <w:spacing w:before="0" w:after="0" w:line="240" w:lineRule="auto"/>
              <w:jc w:val="center"/>
            </w:pPr>
            <w:r>
              <w:rPr>
                <w:rFonts w:ascii="Arial" w:hAnsi="Arial" w:eastAsia="Arial"/>
                <w:b/>
                <w:color w:val="000000"/>
                <w:sz w:val="16"/>
              </w:rPr>
              <w:t>Definition used in this meta-analysis</w:t>
            </w:r>
          </w:p>
        </w:tc>
        <w:tc>
          <w:tcPr>
            <w:tcW w:w="4535" w:type="dxa"/>
            <w:vAlign w:val="center"/>
            <w:shd w:val="clear" w:color="auto" w:fill="FFFFFF"/>
          </w:tcPr>
          <w:p w14:paraId="0DF5D242">
            <w:pPr>
              <w:spacing w:before="0" w:after="0" w:line="240" w:lineRule="auto"/>
              <w:jc w:val="center"/>
            </w:pPr>
            <w:r>
              <w:rPr>
                <w:rFonts w:ascii="Arial" w:hAnsi="Arial" w:eastAsia="Arial"/>
                <w:b/>
                <w:color w:val="000000"/>
                <w:sz w:val="16"/>
              </w:rPr>
              <w:t>Data source</w:t>
            </w:r>
          </w:p>
        </w:tc>
      </w:tr>
      <w:tr w14:paraId="6300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A8080F4">
            <w:pPr>
              <w:spacing w:before="0" w:after="0" w:line="240" w:lineRule="auto"/>
              <w:jc w:val="left"/>
            </w:pPr>
            <w:r>
              <w:rPr>
                <w:rFonts w:ascii="Arial" w:hAnsi="Arial" w:eastAsia="Arial"/>
                <w:b w:val="0"/>
                <w:color w:val="000000"/>
                <w:sz w:val="16"/>
              </w:rPr>
              <w:t>CANVAS Program</w:t>
            </w:r>
          </w:p>
        </w:tc>
        <w:tc>
          <w:tcPr>
            <w:tcW w:w="7370" w:type="dxa"/>
            <w:vAlign w:val="center"/>
            <w:shd w:val="clear" w:color="auto" w:fill="FFFFFF"/>
          </w:tcPr>
          <w:p w14:paraId="09671D7D">
            <w:pPr>
              <w:spacing w:before="0" w:after="0" w:line="240" w:lineRule="auto"/>
              <w:jc w:val="left"/>
            </w:pPr>
            <w:r>
              <w:rPr>
                <w:rFonts w:ascii="Arial" w:hAnsi="Arial" w:eastAsia="Arial"/>
                <w:b w:val="0"/>
                <w:color w:val="000000"/>
                <w:sz w:val="16"/>
              </w:rPr>
              <w:t>Death from any cause / all-cause mortality</w:t>
            </w:r>
          </w:p>
        </w:tc>
        <w:tc>
          <w:tcPr>
            <w:tcW w:w="4535" w:type="dxa"/>
            <w:vAlign w:val="center"/>
            <w:shd w:val="clear" w:color="auto" w:fill="FFFFFF"/>
          </w:tcPr>
          <w:p w14:paraId="7BA8DCD5">
            <w:pPr>
              <w:spacing w:before="0" w:after="0" w:line="240" w:lineRule="auto"/>
              <w:jc w:val="left"/>
            </w:pPr>
            <w:r>
              <w:rPr>
                <w:rFonts w:ascii="Arial" w:hAnsi="Arial" w:eastAsia="Arial"/>
                <w:b w:val="0"/>
                <w:color w:val="000000"/>
                <w:sz w:val="16"/>
              </w:rPr>
              <w:t>Mahaffey et al., Circulation 2018</w:t>
            </w:r>
          </w:p>
        </w:tc>
      </w:tr>
      <w:tr w14:paraId="04E9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4426A346">
            <w:pPr>
              <w:spacing w:before="0" w:after="0" w:line="240" w:lineRule="auto"/>
              <w:jc w:val="left"/>
            </w:pPr>
            <w:r>
              <w:rPr>
                <w:rFonts w:ascii="Arial" w:hAnsi="Arial" w:eastAsia="Arial"/>
                <w:b w:val="0"/>
                <w:color w:val="000000"/>
                <w:sz w:val="16"/>
              </w:rPr>
              <w:t>CREDENCE</w:t>
            </w:r>
          </w:p>
        </w:tc>
        <w:tc>
          <w:tcPr>
            <w:tcW w:w="7370" w:type="dxa"/>
            <w:vAlign w:val="center"/>
            <w:shd w:val="clear" w:color="auto" w:fill="FFFFFF"/>
          </w:tcPr>
          <w:p w14:paraId="4E48220D">
            <w:pPr>
              <w:spacing w:before="0" w:after="0" w:line="240" w:lineRule="auto"/>
              <w:jc w:val="left"/>
            </w:pPr>
            <w:r>
              <w:rPr>
                <w:rFonts w:ascii="Arial" w:hAnsi="Arial" w:eastAsia="Arial"/>
                <w:b w:val="0"/>
                <w:color w:val="000000"/>
                <w:sz w:val="16"/>
              </w:rPr>
              <w:t>Death from any cause / all-cause mortality</w:t>
            </w:r>
          </w:p>
        </w:tc>
        <w:tc>
          <w:tcPr>
            <w:tcW w:w="4535" w:type="dxa"/>
            <w:vAlign w:val="center"/>
            <w:shd w:val="clear" w:color="auto" w:fill="FFFFFF"/>
          </w:tcPr>
          <w:p w14:paraId="41FA421A">
            <w:pPr>
              <w:spacing w:before="0" w:after="0" w:line="240" w:lineRule="auto"/>
              <w:jc w:val="left"/>
            </w:pPr>
            <w:r>
              <w:rPr>
                <w:rFonts w:ascii="Arial" w:hAnsi="Arial" w:eastAsia="Arial"/>
                <w:b w:val="0"/>
                <w:color w:val="000000"/>
                <w:sz w:val="16"/>
              </w:rPr>
              <w:t>Mahaffey et al., Circulation 2019</w:t>
            </w:r>
          </w:p>
        </w:tc>
      </w:tr>
      <w:tr w14:paraId="5F57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121E955D">
            <w:pPr>
              <w:spacing w:before="0" w:after="0" w:line="240" w:lineRule="auto"/>
              <w:jc w:val="left"/>
            </w:pPr>
            <w:r>
              <w:rPr>
                <w:rFonts w:ascii="Arial" w:hAnsi="Arial" w:eastAsia="Arial"/>
                <w:b w:val="0"/>
                <w:color w:val="000000"/>
                <w:sz w:val="16"/>
              </w:rPr>
              <w:t>DAPA-CKD</w:t>
            </w:r>
          </w:p>
        </w:tc>
        <w:tc>
          <w:tcPr>
            <w:tcW w:w="7370" w:type="dxa"/>
            <w:vAlign w:val="center"/>
            <w:shd w:val="clear" w:color="auto" w:fill="FFFFFF"/>
          </w:tcPr>
          <w:p w14:paraId="18BCABE4">
            <w:pPr>
              <w:spacing w:before="0" w:after="0" w:line="240" w:lineRule="auto"/>
              <w:jc w:val="left"/>
            </w:pPr>
            <w:r>
              <w:rPr>
                <w:rFonts w:ascii="Arial" w:hAnsi="Arial" w:eastAsia="Arial"/>
                <w:b w:val="0"/>
                <w:color w:val="000000"/>
                <w:sz w:val="16"/>
              </w:rPr>
              <w:t>Death from any cause / all-cause mortality</w:t>
            </w:r>
          </w:p>
        </w:tc>
        <w:tc>
          <w:tcPr>
            <w:tcW w:w="4535" w:type="dxa"/>
            <w:vAlign w:val="center"/>
            <w:shd w:val="clear" w:color="auto" w:fill="FFFFFF"/>
          </w:tcPr>
          <w:p w14:paraId="75D07D08">
            <w:pPr>
              <w:spacing w:before="0" w:after="0" w:line="240" w:lineRule="auto"/>
              <w:jc w:val="left"/>
            </w:pPr>
            <w:r>
              <w:rPr>
                <w:rFonts w:ascii="Arial" w:hAnsi="Arial" w:eastAsia="Arial"/>
                <w:b w:val="0"/>
                <w:color w:val="000000"/>
                <w:sz w:val="16"/>
              </w:rPr>
              <w:t>McMurray et al., Circulation 2021</w:t>
            </w:r>
          </w:p>
        </w:tc>
      </w:tr>
      <w:tr w14:paraId="7F5A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18746993">
            <w:pPr>
              <w:spacing w:before="0" w:after="0" w:line="240" w:lineRule="auto"/>
              <w:jc w:val="left"/>
            </w:pPr>
            <w:r>
              <w:rPr>
                <w:rFonts w:ascii="Arial" w:hAnsi="Arial" w:eastAsia="Arial"/>
                <w:b w:val="0"/>
                <w:color w:val="000000"/>
                <w:sz w:val="16"/>
              </w:rPr>
              <w:t>DAPA-HF</w:t>
            </w:r>
          </w:p>
        </w:tc>
        <w:tc>
          <w:tcPr>
            <w:tcW w:w="7370" w:type="dxa"/>
            <w:vAlign w:val="center"/>
            <w:shd w:val="clear" w:color="auto" w:fill="FFFFFF"/>
          </w:tcPr>
          <w:p w14:paraId="57A30A3B">
            <w:pPr>
              <w:spacing w:before="0" w:after="0" w:line="240" w:lineRule="auto"/>
              <w:jc w:val="left"/>
            </w:pPr>
            <w:r>
              <w:rPr>
                <w:rFonts w:ascii="Arial" w:hAnsi="Arial" w:eastAsia="Arial"/>
                <w:b w:val="0"/>
                <w:color w:val="000000"/>
                <w:sz w:val="16"/>
              </w:rPr>
              <w:t>Death from any cause</w:t>
            </w:r>
          </w:p>
        </w:tc>
        <w:tc>
          <w:tcPr>
            <w:tcW w:w="4535" w:type="dxa"/>
            <w:vAlign w:val="center"/>
            <w:shd w:val="clear" w:color="auto" w:fill="FFFFFF"/>
          </w:tcPr>
          <w:p w14:paraId="4B6F1CCE">
            <w:pPr>
              <w:spacing w:before="0" w:after="0" w:line="240" w:lineRule="auto"/>
              <w:jc w:val="left"/>
            </w:pPr>
            <w:r>
              <w:rPr>
                <w:rFonts w:ascii="Arial" w:hAnsi="Arial" w:eastAsia="Arial"/>
                <w:b w:val="0"/>
                <w:color w:val="000000"/>
                <w:sz w:val="16"/>
              </w:rPr>
              <w:t>McMurray et al., NEJM 2019</w:t>
            </w:r>
          </w:p>
        </w:tc>
      </w:tr>
      <w:tr w14:paraId="652C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D94FD67">
            <w:pPr>
              <w:spacing w:before="0" w:after="0" w:line="240" w:lineRule="auto"/>
              <w:jc w:val="left"/>
            </w:pPr>
            <w:r>
              <w:rPr>
                <w:rFonts w:ascii="Arial" w:hAnsi="Arial" w:eastAsia="Arial"/>
                <w:b w:val="0"/>
                <w:color w:val="000000"/>
                <w:sz w:val="16"/>
              </w:rPr>
              <w:t>DECLARE-TIMI 58</w:t>
            </w:r>
          </w:p>
        </w:tc>
        <w:tc>
          <w:tcPr>
            <w:tcW w:w="7370" w:type="dxa"/>
            <w:vAlign w:val="center"/>
            <w:shd w:val="clear" w:color="auto" w:fill="FFFFFF"/>
          </w:tcPr>
          <w:p w14:paraId="587ADA19">
            <w:pPr>
              <w:spacing w:before="0" w:after="0" w:line="240" w:lineRule="auto"/>
              <w:jc w:val="left"/>
            </w:pPr>
            <w:r>
              <w:rPr>
                <w:rFonts w:ascii="Arial" w:hAnsi="Arial" w:eastAsia="Arial"/>
                <w:b w:val="0"/>
                <w:color w:val="000000"/>
                <w:sz w:val="16"/>
              </w:rPr>
              <w:t>All-cause mortality</w:t>
            </w:r>
          </w:p>
        </w:tc>
        <w:tc>
          <w:tcPr>
            <w:tcW w:w="4535" w:type="dxa"/>
            <w:vAlign w:val="center"/>
            <w:shd w:val="clear" w:color="auto" w:fill="FFFFFF"/>
          </w:tcPr>
          <w:p w14:paraId="1F7B9D69">
            <w:pPr>
              <w:spacing w:before="0" w:after="0" w:line="240" w:lineRule="auto"/>
              <w:jc w:val="left"/>
            </w:pPr>
            <w:r>
              <w:rPr>
                <w:rFonts w:ascii="Arial" w:hAnsi="Arial" w:eastAsia="Arial"/>
                <w:b w:val="0"/>
                <w:color w:val="000000"/>
                <w:sz w:val="16"/>
              </w:rPr>
              <w:t>Wiviott et al., NEJM 2019; Supplementary Appendix</w:t>
            </w:r>
          </w:p>
        </w:tc>
      </w:tr>
      <w:tr w14:paraId="3A6A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2B66BB82">
            <w:pPr>
              <w:spacing w:before="0" w:after="0" w:line="240" w:lineRule="auto"/>
              <w:jc w:val="left"/>
            </w:pPr>
            <w:r>
              <w:rPr>
                <w:rFonts w:ascii="Arial" w:hAnsi="Arial" w:eastAsia="Arial"/>
                <w:b w:val="0"/>
                <w:color w:val="000000"/>
                <w:sz w:val="16"/>
              </w:rPr>
              <w:t>DELIVER</w:t>
            </w:r>
          </w:p>
        </w:tc>
        <w:tc>
          <w:tcPr>
            <w:tcW w:w="7370" w:type="dxa"/>
            <w:vAlign w:val="center"/>
            <w:shd w:val="clear" w:color="auto" w:fill="FFFFFF"/>
          </w:tcPr>
          <w:p w14:paraId="436A7B45">
            <w:pPr>
              <w:spacing w:before="0" w:after="0" w:line="240" w:lineRule="auto"/>
              <w:jc w:val="left"/>
            </w:pPr>
            <w:r>
              <w:rPr>
                <w:rFonts w:ascii="Arial" w:hAnsi="Arial" w:eastAsia="Arial"/>
                <w:b w:val="0"/>
                <w:color w:val="000000"/>
                <w:sz w:val="16"/>
              </w:rPr>
              <w:t>Death from any cause</w:t>
            </w:r>
          </w:p>
        </w:tc>
        <w:tc>
          <w:tcPr>
            <w:tcW w:w="4535" w:type="dxa"/>
            <w:vAlign w:val="center"/>
            <w:shd w:val="clear" w:color="auto" w:fill="FFFFFF"/>
          </w:tcPr>
          <w:p w14:paraId="7BD37ED6">
            <w:pPr>
              <w:spacing w:before="0" w:after="0" w:line="240" w:lineRule="auto"/>
              <w:jc w:val="left"/>
            </w:pPr>
            <w:r>
              <w:rPr>
                <w:rFonts w:ascii="Arial" w:hAnsi="Arial" w:eastAsia="Arial"/>
                <w:b w:val="0"/>
                <w:color w:val="000000"/>
                <w:sz w:val="16"/>
              </w:rPr>
              <w:t>Solomon et al., NEJM 2022</w:t>
            </w:r>
          </w:p>
        </w:tc>
      </w:tr>
      <w:tr w14:paraId="10ED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0AD04526">
            <w:pPr>
              <w:spacing w:before="0" w:after="0" w:line="240" w:lineRule="auto"/>
              <w:jc w:val="left"/>
            </w:pPr>
            <w:r>
              <w:rPr>
                <w:rFonts w:ascii="Arial" w:hAnsi="Arial" w:eastAsia="Arial"/>
                <w:b w:val="0"/>
                <w:color w:val="000000"/>
                <w:sz w:val="16"/>
              </w:rPr>
              <w:t>EMPA-REG OUTCOME</w:t>
            </w:r>
          </w:p>
        </w:tc>
        <w:tc>
          <w:tcPr>
            <w:tcW w:w="7370" w:type="dxa"/>
            <w:vAlign w:val="center"/>
            <w:shd w:val="clear" w:color="auto" w:fill="FFFFFF"/>
          </w:tcPr>
          <w:p w14:paraId="5E7114A0">
            <w:pPr>
              <w:spacing w:before="0" w:after="0" w:line="240" w:lineRule="auto"/>
              <w:jc w:val="left"/>
            </w:pPr>
            <w:r>
              <w:rPr>
                <w:rFonts w:ascii="Arial" w:hAnsi="Arial" w:eastAsia="Arial"/>
                <w:b w:val="0"/>
                <w:color w:val="000000"/>
                <w:sz w:val="16"/>
              </w:rPr>
              <w:t>Death from any cause</w:t>
            </w:r>
          </w:p>
        </w:tc>
        <w:tc>
          <w:tcPr>
            <w:tcW w:w="4535" w:type="dxa"/>
            <w:vAlign w:val="center"/>
            <w:shd w:val="clear" w:color="auto" w:fill="FFFFFF"/>
          </w:tcPr>
          <w:p w14:paraId="2920CD04">
            <w:pPr>
              <w:spacing w:before="0" w:after="0" w:line="240" w:lineRule="auto"/>
              <w:jc w:val="left"/>
            </w:pPr>
            <w:r>
              <w:rPr>
                <w:rFonts w:ascii="Arial" w:hAnsi="Arial" w:eastAsia="Arial"/>
                <w:b w:val="0"/>
                <w:color w:val="000000"/>
                <w:sz w:val="16"/>
              </w:rPr>
              <w:t>Zinman et al., NEJM 2015</w:t>
            </w:r>
          </w:p>
        </w:tc>
      </w:tr>
      <w:tr w14:paraId="18DB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73E3DE3">
            <w:pPr>
              <w:spacing w:before="0" w:after="0" w:line="240" w:lineRule="auto"/>
              <w:jc w:val="left"/>
            </w:pPr>
            <w:r>
              <w:rPr>
                <w:rFonts w:ascii="Arial" w:hAnsi="Arial" w:eastAsia="Arial"/>
                <w:b w:val="0"/>
                <w:color w:val="000000"/>
                <w:sz w:val="16"/>
              </w:rPr>
              <w:t>EMPEROR-Preserved</w:t>
            </w:r>
          </w:p>
        </w:tc>
        <w:tc>
          <w:tcPr>
            <w:tcW w:w="7370" w:type="dxa"/>
            <w:vAlign w:val="center"/>
            <w:shd w:val="clear" w:color="auto" w:fill="FFFFFF"/>
          </w:tcPr>
          <w:p w14:paraId="2A715AD7">
            <w:pPr>
              <w:spacing w:before="0" w:after="0" w:line="240" w:lineRule="auto"/>
              <w:jc w:val="left"/>
            </w:pPr>
            <w:r>
              <w:rPr>
                <w:rFonts w:ascii="Arial" w:hAnsi="Arial" w:eastAsia="Arial"/>
                <w:b w:val="0"/>
                <w:color w:val="000000"/>
                <w:sz w:val="16"/>
              </w:rPr>
              <w:t>Death from any cause</w:t>
            </w:r>
          </w:p>
        </w:tc>
        <w:tc>
          <w:tcPr>
            <w:tcW w:w="4535" w:type="dxa"/>
            <w:vAlign w:val="center"/>
            <w:shd w:val="clear" w:color="auto" w:fill="FFFFFF"/>
          </w:tcPr>
          <w:p w14:paraId="59DDA55B">
            <w:pPr>
              <w:spacing w:before="0" w:after="0" w:line="240" w:lineRule="auto"/>
              <w:jc w:val="left"/>
            </w:pPr>
            <w:r>
              <w:rPr>
                <w:rFonts w:ascii="Arial" w:hAnsi="Arial" w:eastAsia="Arial"/>
                <w:b w:val="0"/>
                <w:color w:val="000000"/>
                <w:sz w:val="16"/>
              </w:rPr>
              <w:t>Anker et al., NEJM 2021</w:t>
            </w:r>
          </w:p>
        </w:tc>
      </w:tr>
      <w:tr w14:paraId="1F2C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13CD108C">
            <w:pPr>
              <w:spacing w:before="0" w:after="0" w:line="240" w:lineRule="auto"/>
              <w:jc w:val="left"/>
            </w:pPr>
            <w:r>
              <w:rPr>
                <w:rFonts w:ascii="Arial" w:hAnsi="Arial" w:eastAsia="Arial"/>
                <w:b w:val="0"/>
                <w:color w:val="000000"/>
                <w:sz w:val="16"/>
              </w:rPr>
              <w:t>EMPEROR-Reduced</w:t>
            </w:r>
          </w:p>
        </w:tc>
        <w:tc>
          <w:tcPr>
            <w:tcW w:w="7370" w:type="dxa"/>
            <w:vAlign w:val="center"/>
            <w:shd w:val="clear" w:color="auto" w:fill="FFFFFF"/>
          </w:tcPr>
          <w:p w14:paraId="1664B17A">
            <w:pPr>
              <w:spacing w:before="0" w:after="0" w:line="240" w:lineRule="auto"/>
              <w:jc w:val="left"/>
            </w:pPr>
            <w:r>
              <w:rPr>
                <w:rFonts w:ascii="Arial" w:hAnsi="Arial" w:eastAsia="Arial"/>
                <w:b w:val="0"/>
                <w:color w:val="000000"/>
                <w:sz w:val="16"/>
              </w:rPr>
              <w:t>Death from any cause</w:t>
            </w:r>
          </w:p>
        </w:tc>
        <w:tc>
          <w:tcPr>
            <w:tcW w:w="4535" w:type="dxa"/>
            <w:vAlign w:val="center"/>
            <w:shd w:val="clear" w:color="auto" w:fill="FFFFFF"/>
          </w:tcPr>
          <w:p w14:paraId="2027BC60">
            <w:pPr>
              <w:spacing w:before="0" w:after="0" w:line="240" w:lineRule="auto"/>
              <w:jc w:val="left"/>
            </w:pPr>
            <w:r>
              <w:rPr>
                <w:rFonts w:ascii="Arial" w:hAnsi="Arial" w:eastAsia="Arial"/>
                <w:b w:val="0"/>
                <w:color w:val="000000"/>
                <w:sz w:val="16"/>
              </w:rPr>
              <w:t>Packer et al., NEJM 2020</w:t>
            </w:r>
          </w:p>
        </w:tc>
      </w:tr>
      <w:tr w14:paraId="0716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DF9235D">
            <w:pPr>
              <w:spacing w:before="0" w:after="0" w:line="240" w:lineRule="auto"/>
              <w:jc w:val="left"/>
            </w:pPr>
            <w:r>
              <w:rPr>
                <w:rFonts w:ascii="Arial" w:hAnsi="Arial" w:eastAsia="Arial"/>
                <w:b w:val="0"/>
                <w:color w:val="000000"/>
                <w:sz w:val="16"/>
              </w:rPr>
              <w:t>VERTIS CV</w:t>
            </w:r>
          </w:p>
        </w:tc>
        <w:tc>
          <w:tcPr>
            <w:tcW w:w="7370" w:type="dxa"/>
            <w:vAlign w:val="center"/>
            <w:shd w:val="clear" w:color="auto" w:fill="FFFFFF"/>
          </w:tcPr>
          <w:p w14:paraId="2C3C6EE9">
            <w:pPr>
              <w:spacing w:before="0" w:after="0" w:line="240" w:lineRule="auto"/>
              <w:jc w:val="left"/>
            </w:pPr>
            <w:r>
              <w:rPr>
                <w:rFonts w:ascii="Arial" w:hAnsi="Arial" w:eastAsia="Arial"/>
                <w:b w:val="0"/>
                <w:color w:val="000000"/>
                <w:sz w:val="16"/>
              </w:rPr>
              <w:t>Death from any cause</w:t>
            </w:r>
          </w:p>
        </w:tc>
        <w:tc>
          <w:tcPr>
            <w:tcW w:w="4535" w:type="dxa"/>
            <w:vAlign w:val="center"/>
            <w:shd w:val="clear" w:color="auto" w:fill="FFFFFF"/>
          </w:tcPr>
          <w:p w14:paraId="48AEB523">
            <w:pPr>
              <w:spacing w:before="0" w:after="0" w:line="240" w:lineRule="auto"/>
              <w:jc w:val="left"/>
            </w:pPr>
            <w:r>
              <w:rPr>
                <w:rFonts w:ascii="Arial" w:hAnsi="Arial" w:eastAsia="Arial"/>
                <w:b w:val="0"/>
                <w:color w:val="000000"/>
                <w:sz w:val="16"/>
              </w:rPr>
              <w:t>Cannon et al., NEJM 2020</w:t>
            </w:r>
          </w:p>
        </w:tc>
      </w:tr>
      <w:tr w14:paraId="257A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10AAE867">
            <w:pPr>
              <w:spacing w:before="0" w:after="0" w:line="240" w:lineRule="auto"/>
              <w:jc w:val="left"/>
            </w:pPr>
            <w:r>
              <w:rPr>
                <w:rFonts w:ascii="Arial" w:hAnsi="Arial" w:eastAsia="Arial"/>
                <w:b w:val="0"/>
                <w:color w:val="000000"/>
                <w:sz w:val="16"/>
              </w:rPr>
              <w:t>SOLOIST-WHF</w:t>
            </w:r>
          </w:p>
        </w:tc>
        <w:tc>
          <w:tcPr>
            <w:tcW w:w="7370" w:type="dxa"/>
            <w:vAlign w:val="center"/>
            <w:shd w:val="clear" w:color="auto" w:fill="FFFFFF"/>
          </w:tcPr>
          <w:p w14:paraId="68060F78">
            <w:pPr>
              <w:spacing w:before="0" w:after="0" w:line="240" w:lineRule="auto"/>
              <w:jc w:val="left"/>
            </w:pPr>
            <w:r>
              <w:rPr>
                <w:rFonts w:ascii="Arial" w:hAnsi="Arial" w:eastAsia="Arial"/>
                <w:b w:val="0"/>
                <w:color w:val="000000"/>
                <w:sz w:val="16"/>
              </w:rPr>
              <w:t>Death from any cause</w:t>
            </w:r>
          </w:p>
        </w:tc>
        <w:tc>
          <w:tcPr>
            <w:tcW w:w="4535" w:type="dxa"/>
            <w:vAlign w:val="center"/>
            <w:shd w:val="clear" w:color="auto" w:fill="FFFFFF"/>
          </w:tcPr>
          <w:p w14:paraId="2881E554">
            <w:pPr>
              <w:spacing w:before="0" w:after="0" w:line="240" w:lineRule="auto"/>
              <w:jc w:val="left"/>
            </w:pPr>
            <w:r>
              <w:rPr>
                <w:rFonts w:ascii="Arial" w:hAnsi="Arial" w:eastAsia="Arial"/>
                <w:b w:val="0"/>
                <w:color w:val="000000"/>
                <w:sz w:val="16"/>
              </w:rPr>
              <w:t>Bhatt et al., NEJM 2021</w:t>
            </w:r>
          </w:p>
        </w:tc>
      </w:tr>
    </w:tbl>
    <w:p w14:paraId="207557BA">
      <w:r>
        <w:rPr>
          <w:color w:val="000000"/>
        </w:rPr>
        <w:br w:type="page"/>
      </w:r>
    </w:p>
    <w:p w14:paraId="7FAE47D8">
      <w:pPr>
        <w:pStyle w:val="5"/>
        <w:spacing w:before="160" w:after="80"/>
      </w:pPr>
      <w:r>
        <w:rPr>
          <w:rFonts w:ascii="Arial" w:hAnsi="Arial" w:eastAsia="Arial"/>
          <w:color w:val="000000"/>
        </w:rPr>
        <w:t>Panel F. Cardiovascular death</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93"/>
        <w:gridCol w:w="7222"/>
        <w:gridCol w:w="4457"/>
      </w:tblGrid>
      <w:tr w14:paraId="1B39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835" w:type="dxa"/>
            <w:vAlign w:val="center"/>
            <w:shd w:val="clear" w:color="auto" w:fill="FFFFFF"/>
          </w:tcPr>
          <w:p w14:paraId="1286C508">
            <w:pPr>
              <w:spacing w:before="0" w:after="0" w:line="240" w:lineRule="auto"/>
              <w:jc w:val="center"/>
            </w:pPr>
            <w:r>
              <w:rPr>
                <w:rFonts w:ascii="Arial" w:hAnsi="Arial" w:eastAsia="Arial"/>
                <w:b/>
                <w:color w:val="000000"/>
                <w:sz w:val="16"/>
              </w:rPr>
              <w:t>Study or trial</w:t>
            </w:r>
          </w:p>
        </w:tc>
        <w:tc>
          <w:tcPr>
            <w:tcW w:w="7370" w:type="dxa"/>
            <w:vAlign w:val="center"/>
            <w:shd w:val="clear" w:color="auto" w:fill="FFFFFF"/>
          </w:tcPr>
          <w:p w14:paraId="5C8F5DE5">
            <w:pPr>
              <w:spacing w:before="0" w:after="0" w:line="240" w:lineRule="auto"/>
              <w:jc w:val="center"/>
            </w:pPr>
            <w:r>
              <w:rPr>
                <w:rFonts w:ascii="Arial" w:hAnsi="Arial" w:eastAsia="Arial"/>
                <w:b/>
                <w:color w:val="000000"/>
                <w:sz w:val="16"/>
              </w:rPr>
              <w:t>Definition used in this meta-analysis</w:t>
            </w:r>
          </w:p>
        </w:tc>
        <w:tc>
          <w:tcPr>
            <w:tcW w:w="4535" w:type="dxa"/>
            <w:vAlign w:val="center"/>
            <w:shd w:val="clear" w:color="auto" w:fill="FFFFFF"/>
          </w:tcPr>
          <w:p w14:paraId="6CACE1F9">
            <w:pPr>
              <w:spacing w:before="0" w:after="0" w:line="240" w:lineRule="auto"/>
              <w:jc w:val="center"/>
            </w:pPr>
            <w:r>
              <w:rPr>
                <w:rFonts w:ascii="Arial" w:hAnsi="Arial" w:eastAsia="Arial"/>
                <w:b/>
                <w:color w:val="000000"/>
                <w:sz w:val="16"/>
              </w:rPr>
              <w:t>Data source</w:t>
            </w:r>
          </w:p>
        </w:tc>
      </w:tr>
      <w:tr w14:paraId="775B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347C7769">
            <w:pPr>
              <w:spacing w:before="0" w:after="0" w:line="240" w:lineRule="auto"/>
              <w:jc w:val="left"/>
            </w:pPr>
            <w:r>
              <w:rPr>
                <w:rFonts w:ascii="Arial" w:hAnsi="Arial" w:eastAsia="Arial"/>
                <w:b w:val="0"/>
                <w:color w:val="000000"/>
                <w:sz w:val="16"/>
              </w:rPr>
              <w:t>CANVAS Program</w:t>
            </w:r>
          </w:p>
        </w:tc>
        <w:tc>
          <w:tcPr>
            <w:tcW w:w="7370" w:type="dxa"/>
            <w:vAlign w:val="center"/>
            <w:shd w:val="clear" w:color="auto" w:fill="FFFFFF"/>
          </w:tcPr>
          <w:p w14:paraId="323ACC7B">
            <w:pPr>
              <w:spacing w:before="0" w:after="0" w:line="240" w:lineRule="auto"/>
              <w:jc w:val="left"/>
            </w:pPr>
            <w:r>
              <w:rPr>
                <w:rFonts w:ascii="Arial" w:hAnsi="Arial" w:eastAsia="Arial"/>
                <w:b w:val="0"/>
                <w:color w:val="000000"/>
                <w:sz w:val="16"/>
              </w:rPr>
              <w:t>Cardiovascular death</w:t>
            </w:r>
          </w:p>
        </w:tc>
        <w:tc>
          <w:tcPr>
            <w:tcW w:w="4535" w:type="dxa"/>
            <w:vAlign w:val="center"/>
            <w:shd w:val="clear" w:color="auto" w:fill="FFFFFF"/>
          </w:tcPr>
          <w:p w14:paraId="6FED4FA9">
            <w:pPr>
              <w:spacing w:before="0" w:after="0" w:line="240" w:lineRule="auto"/>
              <w:jc w:val="left"/>
            </w:pPr>
            <w:r>
              <w:rPr>
                <w:rFonts w:ascii="Arial" w:hAnsi="Arial" w:eastAsia="Arial"/>
                <w:b w:val="0"/>
                <w:color w:val="000000"/>
                <w:sz w:val="16"/>
              </w:rPr>
              <w:t>Mahaffey et al., Circulation 2018</w:t>
            </w:r>
          </w:p>
        </w:tc>
      </w:tr>
      <w:tr w14:paraId="591C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719FF748">
            <w:pPr>
              <w:spacing w:before="0" w:after="0" w:line="240" w:lineRule="auto"/>
              <w:jc w:val="left"/>
            </w:pPr>
            <w:r>
              <w:rPr>
                <w:rFonts w:ascii="Arial" w:hAnsi="Arial" w:eastAsia="Arial"/>
                <w:b w:val="0"/>
                <w:color w:val="000000"/>
                <w:sz w:val="16"/>
              </w:rPr>
              <w:t>CREDENCE</w:t>
            </w:r>
          </w:p>
        </w:tc>
        <w:tc>
          <w:tcPr>
            <w:tcW w:w="7370" w:type="dxa"/>
            <w:vAlign w:val="center"/>
            <w:shd w:val="clear" w:color="auto" w:fill="FFFFFF"/>
          </w:tcPr>
          <w:p w14:paraId="6EB0722A">
            <w:pPr>
              <w:spacing w:before="0" w:after="0" w:line="240" w:lineRule="auto"/>
              <w:jc w:val="left"/>
            </w:pPr>
            <w:r>
              <w:rPr>
                <w:rFonts w:ascii="Arial" w:hAnsi="Arial" w:eastAsia="Arial"/>
                <w:b w:val="0"/>
                <w:color w:val="000000"/>
                <w:sz w:val="16"/>
              </w:rPr>
              <w:t>Cardiovascular death</w:t>
            </w:r>
          </w:p>
        </w:tc>
        <w:tc>
          <w:tcPr>
            <w:tcW w:w="4535" w:type="dxa"/>
            <w:vAlign w:val="center"/>
            <w:shd w:val="clear" w:color="auto" w:fill="FFFFFF"/>
          </w:tcPr>
          <w:p w14:paraId="3F676731">
            <w:pPr>
              <w:spacing w:before="0" w:after="0" w:line="240" w:lineRule="auto"/>
              <w:jc w:val="left"/>
            </w:pPr>
            <w:r>
              <w:rPr>
                <w:rFonts w:ascii="Arial" w:hAnsi="Arial" w:eastAsia="Arial"/>
                <w:b w:val="0"/>
                <w:color w:val="000000"/>
                <w:sz w:val="16"/>
              </w:rPr>
              <w:t>Mahaffey et al., Circulation 2019</w:t>
            </w:r>
          </w:p>
        </w:tc>
      </w:tr>
      <w:tr w14:paraId="71B2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4DEFA086">
            <w:pPr>
              <w:spacing w:before="0" w:after="0" w:line="240" w:lineRule="auto"/>
              <w:jc w:val="left"/>
            </w:pPr>
            <w:r>
              <w:rPr>
                <w:rFonts w:ascii="Arial" w:hAnsi="Arial" w:eastAsia="Arial"/>
                <w:b w:val="0"/>
                <w:color w:val="000000"/>
                <w:sz w:val="16"/>
              </w:rPr>
              <w:t>DAPA-CKD</w:t>
            </w:r>
          </w:p>
        </w:tc>
        <w:tc>
          <w:tcPr>
            <w:tcW w:w="7370" w:type="dxa"/>
            <w:vAlign w:val="center"/>
            <w:shd w:val="clear" w:color="auto" w:fill="FFFFFF"/>
          </w:tcPr>
          <w:p w14:paraId="1B8C7049">
            <w:pPr>
              <w:spacing w:before="0" w:after="0" w:line="240" w:lineRule="auto"/>
              <w:jc w:val="left"/>
            </w:pPr>
            <w:r>
              <w:rPr>
                <w:rFonts w:ascii="Arial" w:hAnsi="Arial" w:eastAsia="Arial"/>
                <w:b w:val="0"/>
                <w:color w:val="000000"/>
                <w:sz w:val="16"/>
              </w:rPr>
              <w:t>Cardiovascular death</w:t>
            </w:r>
          </w:p>
        </w:tc>
        <w:tc>
          <w:tcPr>
            <w:tcW w:w="4535" w:type="dxa"/>
            <w:vAlign w:val="center"/>
            <w:shd w:val="clear" w:color="auto" w:fill="FFFFFF"/>
          </w:tcPr>
          <w:p w14:paraId="5F0DE682">
            <w:pPr>
              <w:spacing w:before="0" w:after="0" w:line="240" w:lineRule="auto"/>
              <w:jc w:val="left"/>
            </w:pPr>
            <w:r>
              <w:rPr>
                <w:rFonts w:ascii="Arial" w:hAnsi="Arial" w:eastAsia="Arial"/>
                <w:b w:val="0"/>
                <w:color w:val="000000"/>
                <w:sz w:val="16"/>
              </w:rPr>
              <w:t>McMurray et al., Circulation 2021</w:t>
            </w:r>
          </w:p>
        </w:tc>
      </w:tr>
      <w:tr w14:paraId="4287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4849D9D9">
            <w:pPr>
              <w:spacing w:before="0" w:after="0" w:line="240" w:lineRule="auto"/>
              <w:jc w:val="left"/>
            </w:pPr>
            <w:r>
              <w:rPr>
                <w:rFonts w:ascii="Arial" w:hAnsi="Arial" w:eastAsia="Arial"/>
                <w:b w:val="0"/>
                <w:color w:val="000000"/>
                <w:sz w:val="16"/>
              </w:rPr>
              <w:t>DAPA-HF</w:t>
            </w:r>
          </w:p>
        </w:tc>
        <w:tc>
          <w:tcPr>
            <w:tcW w:w="7370" w:type="dxa"/>
            <w:vAlign w:val="center"/>
            <w:shd w:val="clear" w:color="auto" w:fill="FFFFFF"/>
          </w:tcPr>
          <w:p w14:paraId="4AECC255">
            <w:pPr>
              <w:spacing w:before="0" w:after="0" w:line="240" w:lineRule="auto"/>
              <w:jc w:val="left"/>
            </w:pPr>
            <w:r>
              <w:rPr>
                <w:rFonts w:ascii="Arial" w:hAnsi="Arial" w:eastAsia="Arial"/>
                <w:b w:val="0"/>
                <w:color w:val="000000"/>
                <w:sz w:val="16"/>
              </w:rPr>
              <w:t>Death from cardiovascular causes</w:t>
            </w:r>
          </w:p>
        </w:tc>
        <w:tc>
          <w:tcPr>
            <w:tcW w:w="4535" w:type="dxa"/>
            <w:vAlign w:val="center"/>
            <w:shd w:val="clear" w:color="auto" w:fill="FFFFFF"/>
          </w:tcPr>
          <w:p w14:paraId="33A4294C">
            <w:pPr>
              <w:spacing w:before="0" w:after="0" w:line="240" w:lineRule="auto"/>
              <w:jc w:val="left"/>
            </w:pPr>
            <w:r>
              <w:rPr>
                <w:rFonts w:ascii="Arial" w:hAnsi="Arial" w:eastAsia="Arial"/>
                <w:b w:val="0"/>
                <w:color w:val="000000"/>
                <w:sz w:val="16"/>
              </w:rPr>
              <w:t>McMurray et al., NEJM 2019</w:t>
            </w:r>
          </w:p>
        </w:tc>
      </w:tr>
      <w:tr w14:paraId="607C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4D762C09">
            <w:pPr>
              <w:spacing w:before="0" w:after="0" w:line="240" w:lineRule="auto"/>
              <w:jc w:val="left"/>
            </w:pPr>
            <w:r>
              <w:rPr>
                <w:rFonts w:ascii="Arial" w:hAnsi="Arial" w:eastAsia="Arial"/>
                <w:b w:val="0"/>
                <w:color w:val="000000"/>
                <w:sz w:val="16"/>
              </w:rPr>
              <w:t>DECLARE-TIMI 58</w:t>
            </w:r>
          </w:p>
        </w:tc>
        <w:tc>
          <w:tcPr>
            <w:tcW w:w="7370" w:type="dxa"/>
            <w:vAlign w:val="center"/>
            <w:shd w:val="clear" w:color="auto" w:fill="FFFFFF"/>
          </w:tcPr>
          <w:p w14:paraId="73325A1A">
            <w:pPr>
              <w:spacing w:before="0" w:after="0" w:line="240" w:lineRule="auto"/>
              <w:jc w:val="left"/>
            </w:pPr>
            <w:r>
              <w:rPr>
                <w:rFonts w:ascii="Arial" w:hAnsi="Arial" w:eastAsia="Arial"/>
                <w:b w:val="0"/>
                <w:color w:val="000000"/>
                <w:sz w:val="16"/>
              </w:rPr>
              <w:t>Cardiovascular death</w:t>
            </w:r>
          </w:p>
        </w:tc>
        <w:tc>
          <w:tcPr>
            <w:tcW w:w="4535" w:type="dxa"/>
            <w:vAlign w:val="center"/>
            <w:shd w:val="clear" w:color="auto" w:fill="FFFFFF"/>
          </w:tcPr>
          <w:p w14:paraId="4F7DFA31">
            <w:pPr>
              <w:spacing w:before="0" w:after="0" w:line="240" w:lineRule="auto"/>
              <w:jc w:val="left"/>
            </w:pPr>
            <w:r>
              <w:rPr>
                <w:rFonts w:ascii="Arial" w:hAnsi="Arial" w:eastAsia="Arial"/>
                <w:b w:val="0"/>
                <w:color w:val="000000"/>
                <w:sz w:val="16"/>
              </w:rPr>
              <w:t>Wiviott et al., NEJM 2019; Supplementary Appendix / subgroup analysis where applicable</w:t>
            </w:r>
          </w:p>
        </w:tc>
      </w:tr>
      <w:tr w14:paraId="55E3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34633A28">
            <w:pPr>
              <w:spacing w:before="0" w:after="0" w:line="240" w:lineRule="auto"/>
              <w:jc w:val="left"/>
            </w:pPr>
            <w:r>
              <w:rPr>
                <w:rFonts w:ascii="Arial" w:hAnsi="Arial" w:eastAsia="Arial"/>
                <w:b w:val="0"/>
                <w:color w:val="000000"/>
                <w:sz w:val="16"/>
              </w:rPr>
              <w:t>DELIVER</w:t>
            </w:r>
          </w:p>
        </w:tc>
        <w:tc>
          <w:tcPr>
            <w:tcW w:w="7370" w:type="dxa"/>
            <w:vAlign w:val="center"/>
            <w:shd w:val="clear" w:color="auto" w:fill="FFFFFF"/>
          </w:tcPr>
          <w:p w14:paraId="7FFF716A">
            <w:pPr>
              <w:spacing w:before="0" w:after="0" w:line="240" w:lineRule="auto"/>
              <w:jc w:val="left"/>
            </w:pPr>
            <w:r>
              <w:rPr>
                <w:rFonts w:ascii="Arial" w:hAnsi="Arial" w:eastAsia="Arial"/>
                <w:b w:val="0"/>
                <w:color w:val="000000"/>
                <w:sz w:val="16"/>
              </w:rPr>
              <w:t>Cardiovascular death</w:t>
            </w:r>
          </w:p>
        </w:tc>
        <w:tc>
          <w:tcPr>
            <w:tcW w:w="4535" w:type="dxa"/>
            <w:vAlign w:val="center"/>
            <w:shd w:val="clear" w:color="auto" w:fill="FFFFFF"/>
          </w:tcPr>
          <w:p w14:paraId="2CAF6FE0">
            <w:pPr>
              <w:spacing w:before="0" w:after="0" w:line="240" w:lineRule="auto"/>
              <w:jc w:val="left"/>
            </w:pPr>
            <w:r>
              <w:rPr>
                <w:rFonts w:ascii="Arial" w:hAnsi="Arial" w:eastAsia="Arial"/>
                <w:b w:val="0"/>
                <w:color w:val="000000"/>
                <w:sz w:val="16"/>
              </w:rPr>
              <w:t>Solomon et al., NEJM 2022</w:t>
            </w:r>
          </w:p>
        </w:tc>
      </w:tr>
      <w:tr w14:paraId="79C0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5F52D231">
            <w:pPr>
              <w:spacing w:before="0" w:after="0" w:line="240" w:lineRule="auto"/>
              <w:jc w:val="left"/>
            </w:pPr>
            <w:r>
              <w:rPr>
                <w:rFonts w:ascii="Arial" w:hAnsi="Arial" w:eastAsia="Arial"/>
                <w:b w:val="0"/>
                <w:color w:val="000000"/>
                <w:sz w:val="16"/>
              </w:rPr>
              <w:t>EMPA-REG OUTCOME</w:t>
            </w:r>
          </w:p>
        </w:tc>
        <w:tc>
          <w:tcPr>
            <w:tcW w:w="7370" w:type="dxa"/>
            <w:vAlign w:val="center"/>
            <w:shd w:val="clear" w:color="auto" w:fill="FFFFFF"/>
          </w:tcPr>
          <w:p w14:paraId="77D79B3F">
            <w:pPr>
              <w:spacing w:before="0" w:after="0" w:line="240" w:lineRule="auto"/>
              <w:jc w:val="left"/>
            </w:pPr>
            <w:r>
              <w:rPr>
                <w:rFonts w:ascii="Arial" w:hAnsi="Arial" w:eastAsia="Arial"/>
                <w:b w:val="0"/>
                <w:color w:val="000000"/>
                <w:sz w:val="16"/>
              </w:rPr>
              <w:t>Death from cardiovascular causes</w:t>
            </w:r>
          </w:p>
        </w:tc>
        <w:tc>
          <w:tcPr>
            <w:tcW w:w="4535" w:type="dxa"/>
            <w:vAlign w:val="center"/>
            <w:shd w:val="clear" w:color="auto" w:fill="FFFFFF"/>
          </w:tcPr>
          <w:p w14:paraId="174DB270">
            <w:pPr>
              <w:spacing w:before="0" w:after="0" w:line="240" w:lineRule="auto"/>
              <w:jc w:val="left"/>
            </w:pPr>
            <w:r>
              <w:rPr>
                <w:rFonts w:ascii="Arial" w:hAnsi="Arial" w:eastAsia="Arial"/>
                <w:b w:val="0"/>
                <w:color w:val="000000"/>
                <w:sz w:val="16"/>
              </w:rPr>
              <w:t>Zinman et al., NEJM 2015</w:t>
            </w:r>
          </w:p>
        </w:tc>
      </w:tr>
      <w:tr w14:paraId="64BA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633FAF66">
            <w:pPr>
              <w:spacing w:before="0" w:after="0" w:line="240" w:lineRule="auto"/>
              <w:jc w:val="left"/>
            </w:pPr>
            <w:r>
              <w:rPr>
                <w:rFonts w:ascii="Arial" w:hAnsi="Arial" w:eastAsia="Arial"/>
                <w:b w:val="0"/>
                <w:color w:val="000000"/>
                <w:sz w:val="16"/>
              </w:rPr>
              <w:t>EMPEROR-Preserved</w:t>
            </w:r>
          </w:p>
        </w:tc>
        <w:tc>
          <w:tcPr>
            <w:tcW w:w="7370" w:type="dxa"/>
            <w:vAlign w:val="center"/>
            <w:shd w:val="clear" w:color="auto" w:fill="FFFFFF"/>
          </w:tcPr>
          <w:p w14:paraId="3ADD4998">
            <w:pPr>
              <w:spacing w:before="0" w:after="0" w:line="240" w:lineRule="auto"/>
              <w:jc w:val="left"/>
            </w:pPr>
            <w:r>
              <w:rPr>
                <w:rFonts w:ascii="Arial" w:hAnsi="Arial" w:eastAsia="Arial"/>
                <w:b w:val="0"/>
                <w:color w:val="000000"/>
                <w:sz w:val="16"/>
              </w:rPr>
              <w:t>Cardiovascular death</w:t>
            </w:r>
          </w:p>
        </w:tc>
        <w:tc>
          <w:tcPr>
            <w:tcW w:w="4535" w:type="dxa"/>
            <w:vAlign w:val="center"/>
            <w:shd w:val="clear" w:color="auto" w:fill="FFFFFF"/>
          </w:tcPr>
          <w:p w14:paraId="14B93394">
            <w:pPr>
              <w:spacing w:before="0" w:after="0" w:line="240" w:lineRule="auto"/>
              <w:jc w:val="left"/>
            </w:pPr>
            <w:r>
              <w:rPr>
                <w:rFonts w:ascii="Arial" w:hAnsi="Arial" w:eastAsia="Arial"/>
                <w:b w:val="0"/>
                <w:color w:val="000000"/>
                <w:sz w:val="16"/>
              </w:rPr>
              <w:t>Anker et al., NEJM 2021</w:t>
            </w:r>
          </w:p>
        </w:tc>
      </w:tr>
      <w:tr w14:paraId="480D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5C805A29">
            <w:pPr>
              <w:spacing w:before="0" w:after="0" w:line="240" w:lineRule="auto"/>
              <w:jc w:val="left"/>
            </w:pPr>
            <w:r>
              <w:rPr>
                <w:rFonts w:ascii="Arial" w:hAnsi="Arial" w:eastAsia="Arial"/>
                <w:b w:val="0"/>
                <w:color w:val="000000"/>
                <w:sz w:val="16"/>
              </w:rPr>
              <w:t>EMPEROR-Reduced</w:t>
            </w:r>
          </w:p>
        </w:tc>
        <w:tc>
          <w:tcPr>
            <w:tcW w:w="7370" w:type="dxa"/>
            <w:vAlign w:val="center"/>
            <w:shd w:val="clear" w:color="auto" w:fill="FFFFFF"/>
          </w:tcPr>
          <w:p w14:paraId="484C47B7">
            <w:pPr>
              <w:spacing w:before="0" w:after="0" w:line="240" w:lineRule="auto"/>
              <w:jc w:val="left"/>
            </w:pPr>
            <w:r>
              <w:rPr>
                <w:rFonts w:ascii="Arial" w:hAnsi="Arial" w:eastAsia="Arial"/>
                <w:b w:val="0"/>
                <w:color w:val="000000"/>
                <w:sz w:val="16"/>
              </w:rPr>
              <w:t>Cardiovascular death</w:t>
            </w:r>
          </w:p>
        </w:tc>
        <w:tc>
          <w:tcPr>
            <w:tcW w:w="4535" w:type="dxa"/>
            <w:vAlign w:val="center"/>
            <w:shd w:val="clear" w:color="auto" w:fill="FFFFFF"/>
          </w:tcPr>
          <w:p w14:paraId="598AF829">
            <w:pPr>
              <w:spacing w:before="0" w:after="0" w:line="240" w:lineRule="auto"/>
              <w:jc w:val="left"/>
            </w:pPr>
            <w:r>
              <w:rPr>
                <w:rFonts w:ascii="Arial" w:hAnsi="Arial" w:eastAsia="Arial"/>
                <w:b w:val="0"/>
                <w:color w:val="000000"/>
                <w:sz w:val="16"/>
              </w:rPr>
              <w:t>Packer et al., NEJM 2020</w:t>
            </w:r>
          </w:p>
        </w:tc>
      </w:tr>
      <w:tr w14:paraId="38AD6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48FD04B8">
            <w:pPr>
              <w:spacing w:before="0" w:after="0" w:line="240" w:lineRule="auto"/>
              <w:jc w:val="left"/>
            </w:pPr>
            <w:r>
              <w:rPr>
                <w:rFonts w:ascii="Arial" w:hAnsi="Arial" w:eastAsia="Arial"/>
                <w:b w:val="0"/>
                <w:color w:val="000000"/>
                <w:sz w:val="16"/>
              </w:rPr>
              <w:t>VERTIS CV</w:t>
            </w:r>
          </w:p>
        </w:tc>
        <w:tc>
          <w:tcPr>
            <w:tcW w:w="7370" w:type="dxa"/>
            <w:vAlign w:val="center"/>
            <w:shd w:val="clear" w:color="auto" w:fill="FFFFFF"/>
          </w:tcPr>
          <w:p w14:paraId="463D06BB">
            <w:pPr>
              <w:spacing w:before="0" w:after="0" w:line="240" w:lineRule="auto"/>
              <w:jc w:val="left"/>
            </w:pPr>
            <w:r>
              <w:rPr>
                <w:rFonts w:ascii="Arial" w:hAnsi="Arial" w:eastAsia="Arial"/>
                <w:b w:val="0"/>
                <w:color w:val="000000"/>
                <w:sz w:val="16"/>
              </w:rPr>
              <w:t>Death from cardiovascular causes</w:t>
            </w:r>
          </w:p>
        </w:tc>
        <w:tc>
          <w:tcPr>
            <w:tcW w:w="4535" w:type="dxa"/>
            <w:vAlign w:val="center"/>
            <w:shd w:val="clear" w:color="auto" w:fill="FFFFFF"/>
          </w:tcPr>
          <w:p w14:paraId="0D1B57E8">
            <w:pPr>
              <w:spacing w:before="0" w:after="0" w:line="240" w:lineRule="auto"/>
              <w:jc w:val="left"/>
            </w:pPr>
            <w:r>
              <w:rPr>
                <w:rFonts w:ascii="Arial" w:hAnsi="Arial" w:eastAsia="Arial"/>
                <w:b w:val="0"/>
                <w:color w:val="000000"/>
                <w:sz w:val="16"/>
              </w:rPr>
              <w:t>Cannon et al., NEJM 2020</w:t>
            </w:r>
          </w:p>
        </w:tc>
      </w:tr>
      <w:tr w14:paraId="0AEE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35" w:type="dxa"/>
            <w:vAlign w:val="center"/>
            <w:shd w:val="clear" w:color="auto" w:fill="FFFFFF"/>
          </w:tcPr>
          <w:p w14:paraId="15498C8B">
            <w:pPr>
              <w:spacing w:before="0" w:after="0" w:line="240" w:lineRule="auto"/>
              <w:jc w:val="left"/>
            </w:pPr>
            <w:r>
              <w:rPr>
                <w:rFonts w:ascii="Arial" w:hAnsi="Arial" w:eastAsia="Arial"/>
                <w:b w:val="0"/>
                <w:color w:val="000000"/>
                <w:sz w:val="16"/>
              </w:rPr>
              <w:t>SOLOIST-WHF</w:t>
            </w:r>
          </w:p>
        </w:tc>
        <w:tc>
          <w:tcPr>
            <w:tcW w:w="7370" w:type="dxa"/>
            <w:vAlign w:val="center"/>
            <w:shd w:val="clear" w:color="auto" w:fill="FFFFFF"/>
          </w:tcPr>
          <w:p w14:paraId="2E3F7039">
            <w:pPr>
              <w:spacing w:before="0" w:after="0" w:line="240" w:lineRule="auto"/>
              <w:jc w:val="left"/>
            </w:pPr>
            <w:r>
              <w:rPr>
                <w:rFonts w:ascii="Arial" w:hAnsi="Arial" w:eastAsia="Arial"/>
                <w:b w:val="0"/>
                <w:color w:val="000000"/>
                <w:sz w:val="16"/>
              </w:rPr>
              <w:t>Death from cardiovascular causes</w:t>
            </w:r>
          </w:p>
        </w:tc>
        <w:tc>
          <w:tcPr>
            <w:tcW w:w="4535" w:type="dxa"/>
            <w:vAlign w:val="center"/>
            <w:shd w:val="clear" w:color="auto" w:fill="FFFFFF"/>
          </w:tcPr>
          <w:p w14:paraId="1C9C3800">
            <w:pPr>
              <w:spacing w:before="0" w:after="0" w:line="240" w:lineRule="auto"/>
              <w:jc w:val="left"/>
            </w:pPr>
            <w:r>
              <w:rPr>
                <w:rFonts w:ascii="Arial" w:hAnsi="Arial" w:eastAsia="Arial"/>
                <w:b w:val="0"/>
                <w:color w:val="000000"/>
                <w:sz w:val="16"/>
              </w:rPr>
              <w:t>Bhatt et al., NEJM 2021</w:t>
            </w:r>
          </w:p>
        </w:tc>
      </w:tr>
      <w:tr w14:paraId="3891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56" w:type="dxa"/>
            <w:gridSpan w:val="3"/>
            <w:vAlign w:val="center"/>
            <w:shd w:val="clear" w:color="auto" w:fill="FFFFFF"/>
          </w:tcPr>
          <w:p w14:paraId="4C141667">
            <w:pPr>
              <w:spacing w:after="0" w:line="240" w:lineRule="auto"/>
              <w:jc w:val="left"/>
            </w:pPr>
            <w:r>
              <w:rPr>
                <w:rFonts w:ascii="Arial" w:hAnsi="Arial" w:eastAsia="Arial"/>
                <w:b w:val="0"/>
                <w:color w:val="000000"/>
                <w:sz w:val="17"/>
              </w:rPr>
              <w:t>Selection rule: When multiple definitions were available, the estimate most closely aligned with the prespecified time-to-first-event outcome was prioritized. Residual heterogeneity in outcome construction was addressed through sensitivity analysis and interpretation.</w:t>
            </w:r>
          </w:p>
        </w:tc>
      </w:tr>
    </w:tbl>
    <w:p w14:paraId="0134BD74">
      <w:r>
        <w:rPr>
          <w:color w:val="000000"/>
        </w:rPr>
        <w:br w:type="page"/>
      </w:r>
    </w:p>
    <w:p w14:paraId="59A5867D">
      <w:pPr>
        <w:pStyle w:val="3"/>
        <w:spacing w:before="160" w:after="80"/>
      </w:pPr>
      <w:r>
        <w:rPr>
          <w:rFonts w:ascii="Arial" w:hAnsi="Arial" w:eastAsia="Arial"/>
          <w:color w:val="000000"/>
        </w:rPr>
        <w:t>Supplementary Table S4. Risk-of-bias judgments for selected efficacy results</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82"/>
        <w:gridCol w:w="1782"/>
        <w:gridCol w:w="1782"/>
        <w:gridCol w:w="1782"/>
        <w:gridCol w:w="1782"/>
        <w:gridCol w:w="1782"/>
        <w:gridCol w:w="1782"/>
        <w:gridCol w:w="1782"/>
      </w:tblGrid>
      <w:tr w14:paraId="663A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782" w:type="dxa"/>
            <w:vAlign w:val="center"/>
            <w:shd w:val="clear" w:color="auto" w:fill="FFFFFF"/>
          </w:tcPr>
          <w:p w14:paraId="288313CE">
            <w:pPr>
              <w:spacing w:before="0" w:after="0" w:line="240" w:lineRule="auto"/>
            </w:pPr>
            <w:r>
              <w:rPr>
                <w:rFonts w:ascii="Arial" w:hAnsi="Arial" w:eastAsia="Arial"/>
                <w:b/>
                <w:sz w:val="15"/>
                <w:color w:val="000000"/>
              </w:rPr>
              <w:t>Study</w:t>
            </w:r>
          </w:p>
        </w:tc>
        <w:tc>
          <w:tcPr>
            <w:tcW w:w="1782" w:type="dxa"/>
            <w:vAlign w:val="center"/>
            <w:shd w:val="clear" w:color="auto" w:fill="FFFFFF"/>
          </w:tcPr>
          <w:p w14:paraId="363ED8DF">
            <w:pPr>
              <w:spacing w:before="0" w:after="0" w:line="240" w:lineRule="auto"/>
            </w:pPr>
            <w:r>
              <w:rPr>
                <w:rFonts w:ascii="Arial" w:hAnsi="Arial" w:eastAsia="Arial"/>
                <w:b/>
                <w:sz w:val="15"/>
                <w:color w:val="000000"/>
              </w:rPr>
              <w:t>Trial registration</w:t>
            </w:r>
          </w:p>
        </w:tc>
        <w:tc>
          <w:tcPr>
            <w:tcW w:w="1782" w:type="dxa"/>
            <w:vAlign w:val="center"/>
            <w:shd w:val="clear" w:color="auto" w:fill="FFFFFF"/>
          </w:tcPr>
          <w:p w14:paraId="0A77FEDF">
            <w:pPr>
              <w:spacing w:before="0" w:after="0" w:line="240" w:lineRule="auto"/>
            </w:pPr>
            <w:r>
              <w:rPr>
                <w:rFonts w:ascii="Arial" w:hAnsi="Arial" w:eastAsia="Arial"/>
                <w:b/>
                <w:sz w:val="15"/>
                <w:color w:val="000000"/>
              </w:rPr>
              <w:t>Randomization process</w:t>
            </w:r>
          </w:p>
        </w:tc>
        <w:tc>
          <w:tcPr>
            <w:tcW w:w="1782" w:type="dxa"/>
            <w:vAlign w:val="center"/>
            <w:shd w:val="clear" w:color="auto" w:fill="FFFFFF"/>
          </w:tcPr>
          <w:p w14:paraId="24C254AD">
            <w:pPr>
              <w:spacing w:before="0" w:after="0" w:line="240" w:lineRule="auto"/>
            </w:pPr>
            <w:r>
              <w:rPr>
                <w:rFonts w:ascii="Arial" w:hAnsi="Arial" w:eastAsia="Arial"/>
                <w:b/>
                <w:sz w:val="15"/>
                <w:color w:val="000000"/>
              </w:rPr>
              <w:t>Deviations from intended interventions</w:t>
            </w:r>
          </w:p>
        </w:tc>
        <w:tc>
          <w:tcPr>
            <w:tcW w:w="1782" w:type="dxa"/>
            <w:vAlign w:val="center"/>
            <w:shd w:val="clear" w:color="auto" w:fill="FFFFFF"/>
          </w:tcPr>
          <w:p w14:paraId="2B144AA6">
            <w:pPr>
              <w:spacing w:before="0" w:after="0" w:line="240" w:lineRule="auto"/>
            </w:pPr>
            <w:r>
              <w:rPr>
                <w:rFonts w:ascii="Arial" w:hAnsi="Arial" w:eastAsia="Arial"/>
                <w:b/>
                <w:sz w:val="15"/>
                <w:color w:val="000000"/>
              </w:rPr>
              <w:t>Missing outcome data</w:t>
            </w:r>
          </w:p>
        </w:tc>
        <w:tc>
          <w:tcPr>
            <w:tcW w:w="1782" w:type="dxa"/>
            <w:vAlign w:val="center"/>
            <w:shd w:val="clear" w:color="auto" w:fill="FFFFFF"/>
          </w:tcPr>
          <w:p w14:paraId="4C99B1C7">
            <w:pPr>
              <w:spacing w:before="0" w:after="0" w:line="240" w:lineRule="auto"/>
            </w:pPr>
            <w:r>
              <w:rPr>
                <w:rFonts w:ascii="Arial" w:hAnsi="Arial" w:eastAsia="Arial"/>
                <w:b/>
                <w:sz w:val="15"/>
                <w:color w:val="000000"/>
              </w:rPr>
              <w:t>Measurement of the outcome</w:t>
            </w:r>
          </w:p>
        </w:tc>
        <w:tc>
          <w:tcPr>
            <w:tcW w:w="1782" w:type="dxa"/>
            <w:vAlign w:val="center"/>
            <w:shd w:val="clear" w:color="auto" w:fill="FFFFFF"/>
          </w:tcPr>
          <w:p w14:paraId="509F36CE">
            <w:pPr>
              <w:spacing w:before="0" w:after="0" w:line="240" w:lineRule="auto"/>
            </w:pPr>
            <w:r>
              <w:rPr>
                <w:rFonts w:ascii="Arial" w:hAnsi="Arial" w:eastAsia="Arial"/>
                <w:b/>
                <w:sz w:val="15"/>
                <w:color w:val="000000"/>
              </w:rPr>
              <w:t>Selection of the reported result</w:t>
            </w:r>
          </w:p>
        </w:tc>
        <w:tc>
          <w:tcPr>
            <w:tcW w:w="1782" w:type="dxa"/>
            <w:vAlign w:val="center"/>
            <w:shd w:val="clear" w:color="auto" w:fill="FFFFFF"/>
          </w:tcPr>
          <w:p w14:paraId="4EE427C1">
            <w:pPr>
              <w:spacing w:before="0" w:after="0" w:line="240" w:lineRule="auto"/>
            </w:pPr>
            <w:r>
              <w:rPr>
                <w:rFonts w:ascii="Arial" w:hAnsi="Arial" w:eastAsia="Arial"/>
                <w:b/>
                <w:sz w:val="15"/>
                <w:color w:val="000000"/>
              </w:rPr>
              <w:t>Overall risk of bias</w:t>
            </w:r>
          </w:p>
        </w:tc>
      </w:tr>
      <w:tr w14:paraId="380B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431E43A4">
            <w:pPr>
              <w:spacing w:before="0" w:after="0" w:line="240" w:lineRule="auto"/>
            </w:pPr>
            <w:r>
              <w:rPr>
                <w:rFonts w:ascii="Arial" w:hAnsi="Arial" w:eastAsia="Arial"/>
                <w:sz w:val="15"/>
                <w:color w:val="000000"/>
              </w:rPr>
              <w:t>CREDENCE</w:t>
            </w:r>
          </w:p>
        </w:tc>
        <w:tc>
          <w:tcPr>
            <w:tcW w:w="1782" w:type="dxa"/>
            <w:vAlign w:val="center"/>
            <w:shd w:val="clear" w:color="auto" w:fill="FFFFFF"/>
          </w:tcPr>
          <w:p w14:paraId="15D743A7">
            <w:pPr>
              <w:spacing w:before="0" w:after="0" w:line="240" w:lineRule="auto"/>
            </w:pPr>
            <w:r>
              <w:rPr>
                <w:rFonts w:ascii="Arial" w:hAnsi="Arial" w:eastAsia="Arial"/>
                <w:sz w:val="15"/>
                <w:color w:val="000000"/>
              </w:rPr>
              <w:t>NCT02065791</w:t>
            </w:r>
          </w:p>
        </w:tc>
        <w:tc>
          <w:tcPr>
            <w:tcW w:w="1782" w:type="dxa"/>
            <w:vAlign w:val="center"/>
            <w:shd w:val="clear" w:color="auto" w:fill="FFFFFF"/>
          </w:tcPr>
          <w:p w14:paraId="59291B85">
            <w:pPr>
              <w:spacing w:before="0" w:after="0" w:line="240" w:lineRule="auto"/>
            </w:pPr>
            <w:r>
              <w:rPr>
                <w:rFonts w:ascii="Arial" w:hAnsi="Arial" w:eastAsia="Arial"/>
                <w:sz w:val="15"/>
                <w:color w:val="000000"/>
              </w:rPr>
              <w:t>Low</w:t>
            </w:r>
          </w:p>
        </w:tc>
        <w:tc>
          <w:tcPr>
            <w:tcW w:w="1782" w:type="dxa"/>
            <w:vAlign w:val="center"/>
            <w:shd w:val="clear" w:color="auto" w:fill="FFFFFF"/>
          </w:tcPr>
          <w:p w14:paraId="23C97C2F">
            <w:pPr>
              <w:spacing w:before="0" w:after="0" w:line="240" w:lineRule="auto"/>
            </w:pPr>
            <w:r>
              <w:rPr>
                <w:rFonts w:ascii="Arial" w:hAnsi="Arial" w:eastAsia="Arial"/>
                <w:sz w:val="15"/>
                <w:color w:val="000000"/>
              </w:rPr>
              <w:t>Low</w:t>
            </w:r>
          </w:p>
        </w:tc>
        <w:tc>
          <w:tcPr>
            <w:tcW w:w="1782" w:type="dxa"/>
            <w:vAlign w:val="center"/>
            <w:shd w:val="clear" w:color="auto" w:fill="FFFFFF"/>
          </w:tcPr>
          <w:p w14:paraId="6AFE4078">
            <w:pPr>
              <w:spacing w:before="0" w:after="0" w:line="240" w:lineRule="auto"/>
            </w:pPr>
            <w:r>
              <w:rPr>
                <w:rFonts w:ascii="Arial" w:hAnsi="Arial" w:eastAsia="Arial"/>
                <w:sz w:val="15"/>
                <w:color w:val="000000"/>
              </w:rPr>
              <w:t>Low</w:t>
            </w:r>
          </w:p>
        </w:tc>
        <w:tc>
          <w:tcPr>
            <w:tcW w:w="1782" w:type="dxa"/>
            <w:vAlign w:val="center"/>
            <w:shd w:val="clear" w:color="auto" w:fill="FFFFFF"/>
          </w:tcPr>
          <w:p w14:paraId="00E97E57">
            <w:pPr>
              <w:spacing w:before="0" w:after="0" w:line="240" w:lineRule="auto"/>
            </w:pPr>
            <w:r>
              <w:rPr>
                <w:rFonts w:ascii="Arial" w:hAnsi="Arial" w:eastAsia="Arial"/>
                <w:sz w:val="15"/>
                <w:color w:val="000000"/>
              </w:rPr>
              <w:t>Low</w:t>
            </w:r>
          </w:p>
        </w:tc>
        <w:tc>
          <w:tcPr>
            <w:tcW w:w="1782" w:type="dxa"/>
            <w:vAlign w:val="center"/>
            <w:shd w:val="clear" w:color="auto" w:fill="FFFFFF"/>
          </w:tcPr>
          <w:p w14:paraId="65E26AEF">
            <w:pPr>
              <w:spacing w:before="0" w:after="0" w:line="240" w:lineRule="auto"/>
            </w:pPr>
            <w:r>
              <w:rPr>
                <w:rFonts w:ascii="Arial" w:hAnsi="Arial" w:eastAsia="Arial"/>
                <w:sz w:val="15"/>
                <w:color w:val="000000"/>
              </w:rPr>
              <w:t>Low</w:t>
            </w:r>
          </w:p>
        </w:tc>
        <w:tc>
          <w:tcPr>
            <w:tcW w:w="1782" w:type="dxa"/>
            <w:vAlign w:val="center"/>
            <w:shd w:val="clear" w:color="auto" w:fill="FFFFFF"/>
          </w:tcPr>
          <w:p w14:paraId="7C4FD225">
            <w:pPr>
              <w:spacing w:before="0" w:after="0" w:line="240" w:lineRule="auto"/>
            </w:pPr>
            <w:r>
              <w:rPr>
                <w:rFonts w:ascii="Arial" w:hAnsi="Arial" w:eastAsia="Arial"/>
                <w:sz w:val="15"/>
                <w:color w:val="000000"/>
              </w:rPr>
              <w:t>Low</w:t>
            </w:r>
          </w:p>
        </w:tc>
      </w:tr>
      <w:tr w14:paraId="6064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431016FF">
            <w:pPr>
              <w:spacing w:before="0" w:after="0" w:line="240" w:lineRule="auto"/>
            </w:pPr>
            <w:r>
              <w:rPr>
                <w:rFonts w:ascii="Arial" w:hAnsi="Arial" w:eastAsia="Arial"/>
                <w:sz w:val="15"/>
                <w:color w:val="000000"/>
              </w:rPr>
              <w:t>DAPA-CKD</w:t>
            </w:r>
          </w:p>
        </w:tc>
        <w:tc>
          <w:tcPr>
            <w:tcW w:w="1782" w:type="dxa"/>
            <w:vAlign w:val="center"/>
            <w:shd w:val="clear" w:color="auto" w:fill="FFFFFF"/>
          </w:tcPr>
          <w:p w14:paraId="1698ABF4">
            <w:pPr>
              <w:spacing w:before="0" w:after="0" w:line="240" w:lineRule="auto"/>
            </w:pPr>
            <w:r>
              <w:rPr>
                <w:rFonts w:ascii="Arial" w:hAnsi="Arial" w:eastAsia="Arial"/>
                <w:sz w:val="15"/>
                <w:color w:val="000000"/>
              </w:rPr>
              <w:t>NCT03036150</w:t>
            </w:r>
          </w:p>
        </w:tc>
        <w:tc>
          <w:tcPr>
            <w:tcW w:w="1782" w:type="dxa"/>
            <w:vAlign w:val="center"/>
            <w:shd w:val="clear" w:color="auto" w:fill="FFFFFF"/>
          </w:tcPr>
          <w:p w14:paraId="3FE8A785">
            <w:pPr>
              <w:spacing w:before="0" w:after="0" w:line="240" w:lineRule="auto"/>
            </w:pPr>
            <w:r>
              <w:rPr>
                <w:rFonts w:ascii="Arial" w:hAnsi="Arial" w:eastAsia="Arial"/>
                <w:sz w:val="15"/>
                <w:color w:val="000000"/>
              </w:rPr>
              <w:t>Low</w:t>
            </w:r>
          </w:p>
        </w:tc>
        <w:tc>
          <w:tcPr>
            <w:tcW w:w="1782" w:type="dxa"/>
            <w:vAlign w:val="center"/>
            <w:shd w:val="clear" w:color="auto" w:fill="FFFFFF"/>
          </w:tcPr>
          <w:p w14:paraId="44D4DDF1">
            <w:pPr>
              <w:spacing w:before="0" w:after="0" w:line="240" w:lineRule="auto"/>
            </w:pPr>
            <w:r>
              <w:rPr>
                <w:rFonts w:ascii="Arial" w:hAnsi="Arial" w:eastAsia="Arial"/>
                <w:sz w:val="15"/>
                <w:color w:val="000000"/>
              </w:rPr>
              <w:t>Low</w:t>
            </w:r>
          </w:p>
        </w:tc>
        <w:tc>
          <w:tcPr>
            <w:tcW w:w="1782" w:type="dxa"/>
            <w:vAlign w:val="center"/>
            <w:shd w:val="clear" w:color="auto" w:fill="FFFFFF"/>
          </w:tcPr>
          <w:p w14:paraId="32E6E6CB">
            <w:pPr>
              <w:spacing w:before="0" w:after="0" w:line="240" w:lineRule="auto"/>
            </w:pPr>
            <w:r>
              <w:rPr>
                <w:rFonts w:ascii="Arial" w:hAnsi="Arial" w:eastAsia="Arial"/>
                <w:sz w:val="15"/>
                <w:color w:val="000000"/>
              </w:rPr>
              <w:t>Low</w:t>
            </w:r>
          </w:p>
        </w:tc>
        <w:tc>
          <w:tcPr>
            <w:tcW w:w="1782" w:type="dxa"/>
            <w:vAlign w:val="center"/>
            <w:shd w:val="clear" w:color="auto" w:fill="FFFFFF"/>
          </w:tcPr>
          <w:p w14:paraId="77986352">
            <w:pPr>
              <w:spacing w:before="0" w:after="0" w:line="240" w:lineRule="auto"/>
            </w:pPr>
            <w:r>
              <w:rPr>
                <w:rFonts w:ascii="Arial" w:hAnsi="Arial" w:eastAsia="Arial"/>
                <w:sz w:val="15"/>
                <w:color w:val="000000"/>
              </w:rPr>
              <w:t>Low</w:t>
            </w:r>
          </w:p>
        </w:tc>
        <w:tc>
          <w:tcPr>
            <w:tcW w:w="1782" w:type="dxa"/>
            <w:vAlign w:val="center"/>
            <w:shd w:val="clear" w:color="auto" w:fill="FFFFFF"/>
          </w:tcPr>
          <w:p w14:paraId="431102BE">
            <w:pPr>
              <w:spacing w:before="0" w:after="0" w:line="240" w:lineRule="auto"/>
            </w:pPr>
            <w:r>
              <w:rPr>
                <w:rFonts w:ascii="Arial" w:hAnsi="Arial" w:eastAsia="Arial"/>
                <w:sz w:val="15"/>
                <w:color w:val="000000"/>
              </w:rPr>
              <w:t>Low</w:t>
            </w:r>
          </w:p>
        </w:tc>
        <w:tc>
          <w:tcPr>
            <w:tcW w:w="1782" w:type="dxa"/>
            <w:vAlign w:val="center"/>
            <w:shd w:val="clear" w:color="auto" w:fill="FFFFFF"/>
          </w:tcPr>
          <w:p w14:paraId="7963C56B">
            <w:pPr>
              <w:spacing w:before="0" w:after="0" w:line="240" w:lineRule="auto"/>
            </w:pPr>
            <w:r>
              <w:rPr>
                <w:rFonts w:ascii="Arial" w:hAnsi="Arial" w:eastAsia="Arial"/>
                <w:sz w:val="15"/>
                <w:color w:val="000000"/>
              </w:rPr>
              <w:t>Low</w:t>
            </w:r>
          </w:p>
        </w:tc>
      </w:tr>
      <w:tr w14:paraId="6ABC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3DB7FBFB">
            <w:pPr>
              <w:spacing w:before="0" w:after="0" w:line="240" w:lineRule="auto"/>
            </w:pPr>
            <w:r>
              <w:rPr>
                <w:rFonts w:ascii="Arial" w:hAnsi="Arial" w:eastAsia="Arial"/>
                <w:sz w:val="15"/>
                <w:color w:val="000000"/>
              </w:rPr>
              <w:t>DAPA-HF</w:t>
            </w:r>
          </w:p>
        </w:tc>
        <w:tc>
          <w:tcPr>
            <w:tcW w:w="1782" w:type="dxa"/>
            <w:vAlign w:val="center"/>
            <w:shd w:val="clear" w:color="auto" w:fill="FFFFFF"/>
          </w:tcPr>
          <w:p w14:paraId="4F7C51FE">
            <w:pPr>
              <w:spacing w:before="0" w:after="0" w:line="240" w:lineRule="auto"/>
            </w:pPr>
            <w:r>
              <w:rPr>
                <w:rFonts w:ascii="Arial" w:hAnsi="Arial" w:eastAsia="Arial"/>
                <w:sz w:val="15"/>
                <w:color w:val="000000"/>
              </w:rPr>
              <w:t>NCT03036124</w:t>
            </w:r>
          </w:p>
        </w:tc>
        <w:tc>
          <w:tcPr>
            <w:tcW w:w="1782" w:type="dxa"/>
            <w:vAlign w:val="center"/>
            <w:shd w:val="clear" w:color="auto" w:fill="FFFFFF"/>
          </w:tcPr>
          <w:p w14:paraId="791F9AB6">
            <w:pPr>
              <w:spacing w:before="0" w:after="0" w:line="240" w:lineRule="auto"/>
            </w:pPr>
            <w:r>
              <w:rPr>
                <w:rFonts w:ascii="Arial" w:hAnsi="Arial" w:eastAsia="Arial"/>
                <w:sz w:val="15"/>
                <w:color w:val="000000"/>
              </w:rPr>
              <w:t>Low</w:t>
            </w:r>
          </w:p>
        </w:tc>
        <w:tc>
          <w:tcPr>
            <w:tcW w:w="1782" w:type="dxa"/>
            <w:vAlign w:val="center"/>
            <w:shd w:val="clear" w:color="auto" w:fill="FFFFFF"/>
          </w:tcPr>
          <w:p w14:paraId="1DC7F142">
            <w:pPr>
              <w:spacing w:before="0" w:after="0" w:line="240" w:lineRule="auto"/>
            </w:pPr>
            <w:r>
              <w:rPr>
                <w:rFonts w:ascii="Arial" w:hAnsi="Arial" w:eastAsia="Arial"/>
                <w:sz w:val="15"/>
                <w:color w:val="000000"/>
              </w:rPr>
              <w:t>Low</w:t>
            </w:r>
          </w:p>
        </w:tc>
        <w:tc>
          <w:tcPr>
            <w:tcW w:w="1782" w:type="dxa"/>
            <w:vAlign w:val="center"/>
            <w:shd w:val="clear" w:color="auto" w:fill="FFFFFF"/>
          </w:tcPr>
          <w:p w14:paraId="1DB9730A">
            <w:pPr>
              <w:spacing w:before="0" w:after="0" w:line="240" w:lineRule="auto"/>
            </w:pPr>
            <w:r>
              <w:rPr>
                <w:rFonts w:ascii="Arial" w:hAnsi="Arial" w:eastAsia="Arial"/>
                <w:sz w:val="15"/>
                <w:color w:val="000000"/>
              </w:rPr>
              <w:t>Low</w:t>
            </w:r>
          </w:p>
        </w:tc>
        <w:tc>
          <w:tcPr>
            <w:tcW w:w="1782" w:type="dxa"/>
            <w:vAlign w:val="center"/>
            <w:shd w:val="clear" w:color="auto" w:fill="FFFFFF"/>
          </w:tcPr>
          <w:p w14:paraId="6536F284">
            <w:pPr>
              <w:spacing w:before="0" w:after="0" w:line="240" w:lineRule="auto"/>
            </w:pPr>
            <w:r>
              <w:rPr>
                <w:rFonts w:ascii="Arial" w:hAnsi="Arial" w:eastAsia="Arial"/>
                <w:sz w:val="15"/>
                <w:color w:val="000000"/>
              </w:rPr>
              <w:t>Low</w:t>
            </w:r>
          </w:p>
        </w:tc>
        <w:tc>
          <w:tcPr>
            <w:tcW w:w="1782" w:type="dxa"/>
            <w:vAlign w:val="center"/>
            <w:shd w:val="clear" w:color="auto" w:fill="FFFFFF"/>
          </w:tcPr>
          <w:p w14:paraId="0A845EE6">
            <w:pPr>
              <w:spacing w:before="0" w:after="0" w:line="240" w:lineRule="auto"/>
            </w:pPr>
            <w:r>
              <w:rPr>
                <w:rFonts w:ascii="Arial" w:hAnsi="Arial" w:eastAsia="Arial"/>
                <w:sz w:val="15"/>
                <w:color w:val="000000"/>
              </w:rPr>
              <w:t>Low</w:t>
            </w:r>
          </w:p>
        </w:tc>
        <w:tc>
          <w:tcPr>
            <w:tcW w:w="1782" w:type="dxa"/>
            <w:vAlign w:val="center"/>
            <w:shd w:val="clear" w:color="auto" w:fill="FFFFFF"/>
          </w:tcPr>
          <w:p w14:paraId="12783EFE">
            <w:pPr>
              <w:spacing w:before="0" w:after="0" w:line="240" w:lineRule="auto"/>
            </w:pPr>
            <w:r>
              <w:rPr>
                <w:rFonts w:ascii="Arial" w:hAnsi="Arial" w:eastAsia="Arial"/>
                <w:sz w:val="15"/>
                <w:color w:val="000000"/>
              </w:rPr>
              <w:t>Low</w:t>
            </w:r>
          </w:p>
        </w:tc>
      </w:tr>
      <w:tr w14:paraId="2837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5AFF7FDD">
            <w:pPr>
              <w:spacing w:before="0" w:after="0" w:line="240" w:lineRule="auto"/>
            </w:pPr>
            <w:r>
              <w:rPr>
                <w:rFonts w:ascii="Arial" w:hAnsi="Arial" w:eastAsia="Arial"/>
                <w:sz w:val="15"/>
                <w:color w:val="000000"/>
              </w:rPr>
              <w:t>DECLARE-TIMI 58</w:t>
            </w:r>
          </w:p>
        </w:tc>
        <w:tc>
          <w:tcPr>
            <w:tcW w:w="1782" w:type="dxa"/>
            <w:vAlign w:val="center"/>
            <w:shd w:val="clear" w:color="auto" w:fill="FFFFFF"/>
          </w:tcPr>
          <w:p w14:paraId="51C8695C">
            <w:pPr>
              <w:spacing w:before="0" w:after="0" w:line="240" w:lineRule="auto"/>
            </w:pPr>
            <w:r>
              <w:rPr>
                <w:rFonts w:ascii="Arial" w:hAnsi="Arial" w:eastAsia="Arial"/>
                <w:sz w:val="15"/>
                <w:color w:val="000000"/>
              </w:rPr>
              <w:t>NCT01730534</w:t>
            </w:r>
          </w:p>
        </w:tc>
        <w:tc>
          <w:tcPr>
            <w:tcW w:w="1782" w:type="dxa"/>
            <w:vAlign w:val="center"/>
            <w:shd w:val="clear" w:color="auto" w:fill="FFFFFF"/>
          </w:tcPr>
          <w:p w14:paraId="406B07B4">
            <w:pPr>
              <w:spacing w:before="0" w:after="0" w:line="240" w:lineRule="auto"/>
            </w:pPr>
            <w:r>
              <w:rPr>
                <w:rFonts w:ascii="Arial" w:hAnsi="Arial" w:eastAsia="Arial"/>
                <w:sz w:val="15"/>
                <w:color w:val="000000"/>
              </w:rPr>
              <w:t>Low</w:t>
            </w:r>
          </w:p>
        </w:tc>
        <w:tc>
          <w:tcPr>
            <w:tcW w:w="1782" w:type="dxa"/>
            <w:vAlign w:val="center"/>
            <w:shd w:val="clear" w:color="auto" w:fill="FFFFFF"/>
          </w:tcPr>
          <w:p w14:paraId="64355623">
            <w:pPr>
              <w:spacing w:before="0" w:after="0" w:line="240" w:lineRule="auto"/>
            </w:pPr>
            <w:r>
              <w:rPr>
                <w:rFonts w:ascii="Arial" w:hAnsi="Arial" w:eastAsia="Arial"/>
                <w:sz w:val="15"/>
                <w:color w:val="000000"/>
              </w:rPr>
              <w:t>Low</w:t>
            </w:r>
          </w:p>
        </w:tc>
        <w:tc>
          <w:tcPr>
            <w:tcW w:w="1782" w:type="dxa"/>
            <w:vAlign w:val="center"/>
            <w:shd w:val="clear" w:color="auto" w:fill="FFFFFF"/>
          </w:tcPr>
          <w:p w14:paraId="12A8083A">
            <w:pPr>
              <w:spacing w:before="0" w:after="0" w:line="240" w:lineRule="auto"/>
            </w:pPr>
            <w:r>
              <w:rPr>
                <w:rFonts w:ascii="Arial" w:hAnsi="Arial" w:eastAsia="Arial"/>
                <w:sz w:val="15"/>
                <w:color w:val="000000"/>
              </w:rPr>
              <w:t>Low</w:t>
            </w:r>
          </w:p>
        </w:tc>
        <w:tc>
          <w:tcPr>
            <w:tcW w:w="1782" w:type="dxa"/>
            <w:vAlign w:val="center"/>
            <w:shd w:val="clear" w:color="auto" w:fill="FFFFFF"/>
          </w:tcPr>
          <w:p w14:paraId="6418EB6A">
            <w:pPr>
              <w:spacing w:before="0" w:after="0" w:line="240" w:lineRule="auto"/>
            </w:pPr>
            <w:r>
              <w:rPr>
                <w:rFonts w:ascii="Arial" w:hAnsi="Arial" w:eastAsia="Arial"/>
                <w:sz w:val="15"/>
                <w:color w:val="000000"/>
              </w:rPr>
              <w:t>Low</w:t>
            </w:r>
          </w:p>
        </w:tc>
        <w:tc>
          <w:tcPr>
            <w:tcW w:w="1782" w:type="dxa"/>
            <w:vAlign w:val="center"/>
            <w:shd w:val="clear" w:color="auto" w:fill="FFFFFF"/>
          </w:tcPr>
          <w:p w14:paraId="3A54159C">
            <w:pPr>
              <w:spacing w:before="0" w:after="0" w:line="240" w:lineRule="auto"/>
            </w:pPr>
            <w:r>
              <w:rPr>
                <w:rFonts w:ascii="Arial" w:hAnsi="Arial" w:eastAsia="Arial"/>
                <w:sz w:val="15"/>
                <w:color w:val="000000"/>
              </w:rPr>
              <w:t>Some concerns</w:t>
            </w:r>
          </w:p>
        </w:tc>
        <w:tc>
          <w:tcPr>
            <w:tcW w:w="1782" w:type="dxa"/>
            <w:vAlign w:val="center"/>
            <w:shd w:val="clear" w:color="auto" w:fill="FFFFFF"/>
          </w:tcPr>
          <w:p w14:paraId="521016B6">
            <w:pPr>
              <w:spacing w:before="0" w:after="0" w:line="240" w:lineRule="auto"/>
            </w:pPr>
            <w:r>
              <w:rPr>
                <w:rFonts w:ascii="Arial" w:hAnsi="Arial" w:eastAsia="Arial"/>
                <w:sz w:val="15"/>
                <w:color w:val="000000"/>
              </w:rPr>
              <w:t>Some concerns</w:t>
            </w:r>
          </w:p>
        </w:tc>
      </w:tr>
      <w:tr w14:paraId="3B7F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6FB01150">
            <w:pPr>
              <w:spacing w:before="0" w:after="0" w:line="240" w:lineRule="auto"/>
            </w:pPr>
            <w:r>
              <w:rPr>
                <w:rFonts w:ascii="Arial" w:hAnsi="Arial" w:eastAsia="Arial"/>
                <w:sz w:val="15"/>
                <w:color w:val="000000"/>
              </w:rPr>
              <w:t>DELIVER</w:t>
            </w:r>
          </w:p>
        </w:tc>
        <w:tc>
          <w:tcPr>
            <w:tcW w:w="1782" w:type="dxa"/>
            <w:vAlign w:val="center"/>
            <w:shd w:val="clear" w:color="auto" w:fill="FFFFFF"/>
          </w:tcPr>
          <w:p w14:paraId="5CCEFE66">
            <w:pPr>
              <w:spacing w:before="0" w:after="0" w:line="240" w:lineRule="auto"/>
            </w:pPr>
            <w:r>
              <w:rPr>
                <w:rFonts w:ascii="Arial" w:hAnsi="Arial" w:eastAsia="Arial"/>
                <w:sz w:val="15"/>
                <w:color w:val="000000"/>
              </w:rPr>
              <w:t>NCT03619213</w:t>
            </w:r>
          </w:p>
        </w:tc>
        <w:tc>
          <w:tcPr>
            <w:tcW w:w="1782" w:type="dxa"/>
            <w:vAlign w:val="center"/>
            <w:shd w:val="clear" w:color="auto" w:fill="FFFFFF"/>
          </w:tcPr>
          <w:p w14:paraId="40668BCE">
            <w:pPr>
              <w:spacing w:before="0" w:after="0" w:line="240" w:lineRule="auto"/>
            </w:pPr>
            <w:r>
              <w:rPr>
                <w:rFonts w:ascii="Arial" w:hAnsi="Arial" w:eastAsia="Arial"/>
                <w:sz w:val="15"/>
                <w:color w:val="000000"/>
              </w:rPr>
              <w:t>Low</w:t>
            </w:r>
          </w:p>
        </w:tc>
        <w:tc>
          <w:tcPr>
            <w:tcW w:w="1782" w:type="dxa"/>
            <w:vAlign w:val="center"/>
            <w:shd w:val="clear" w:color="auto" w:fill="FFFFFF"/>
          </w:tcPr>
          <w:p w14:paraId="3A86B73A">
            <w:pPr>
              <w:spacing w:before="0" w:after="0" w:line="240" w:lineRule="auto"/>
            </w:pPr>
            <w:r>
              <w:rPr>
                <w:rFonts w:ascii="Arial" w:hAnsi="Arial" w:eastAsia="Arial"/>
                <w:sz w:val="15"/>
                <w:color w:val="000000"/>
              </w:rPr>
              <w:t>Low</w:t>
            </w:r>
          </w:p>
        </w:tc>
        <w:tc>
          <w:tcPr>
            <w:tcW w:w="1782" w:type="dxa"/>
            <w:vAlign w:val="center"/>
            <w:shd w:val="clear" w:color="auto" w:fill="FFFFFF"/>
          </w:tcPr>
          <w:p w14:paraId="5BF54F92">
            <w:pPr>
              <w:spacing w:before="0" w:after="0" w:line="240" w:lineRule="auto"/>
            </w:pPr>
            <w:r>
              <w:rPr>
                <w:rFonts w:ascii="Arial" w:hAnsi="Arial" w:eastAsia="Arial"/>
                <w:sz w:val="15"/>
                <w:color w:val="000000"/>
              </w:rPr>
              <w:t>Low</w:t>
            </w:r>
          </w:p>
        </w:tc>
        <w:tc>
          <w:tcPr>
            <w:tcW w:w="1782" w:type="dxa"/>
            <w:vAlign w:val="center"/>
            <w:shd w:val="clear" w:color="auto" w:fill="FFFFFF"/>
          </w:tcPr>
          <w:p w14:paraId="50736D68">
            <w:pPr>
              <w:spacing w:before="0" w:after="0" w:line="240" w:lineRule="auto"/>
            </w:pPr>
            <w:r>
              <w:rPr>
                <w:rFonts w:ascii="Arial" w:hAnsi="Arial" w:eastAsia="Arial"/>
                <w:sz w:val="15"/>
                <w:color w:val="000000"/>
              </w:rPr>
              <w:t>Low</w:t>
            </w:r>
          </w:p>
        </w:tc>
        <w:tc>
          <w:tcPr>
            <w:tcW w:w="1782" w:type="dxa"/>
            <w:vAlign w:val="center"/>
            <w:shd w:val="clear" w:color="auto" w:fill="FFFFFF"/>
          </w:tcPr>
          <w:p w14:paraId="5134C7C4">
            <w:pPr>
              <w:spacing w:before="0" w:after="0" w:line="240" w:lineRule="auto"/>
            </w:pPr>
            <w:r>
              <w:rPr>
                <w:rFonts w:ascii="Arial" w:hAnsi="Arial" w:eastAsia="Arial"/>
                <w:sz w:val="15"/>
                <w:color w:val="000000"/>
              </w:rPr>
              <w:t>Low</w:t>
            </w:r>
          </w:p>
        </w:tc>
        <w:tc>
          <w:tcPr>
            <w:tcW w:w="1782" w:type="dxa"/>
            <w:vAlign w:val="center"/>
            <w:shd w:val="clear" w:color="auto" w:fill="FFFFFF"/>
          </w:tcPr>
          <w:p w14:paraId="70B966DA">
            <w:pPr>
              <w:spacing w:before="0" w:after="0" w:line="240" w:lineRule="auto"/>
            </w:pPr>
            <w:r>
              <w:rPr>
                <w:rFonts w:ascii="Arial" w:hAnsi="Arial" w:eastAsia="Arial"/>
                <w:sz w:val="15"/>
                <w:color w:val="000000"/>
              </w:rPr>
              <w:t>Low</w:t>
            </w:r>
          </w:p>
        </w:tc>
      </w:tr>
      <w:tr w14:paraId="6310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54FB9845">
            <w:pPr>
              <w:spacing w:before="0" w:after="0" w:line="240" w:lineRule="auto"/>
            </w:pPr>
            <w:r>
              <w:rPr>
                <w:rFonts w:ascii="Arial" w:hAnsi="Arial" w:eastAsia="Arial"/>
                <w:sz w:val="15"/>
                <w:color w:val="000000"/>
              </w:rPr>
              <w:t>EMPA-REG OUTCOME</w:t>
            </w:r>
          </w:p>
        </w:tc>
        <w:tc>
          <w:tcPr>
            <w:tcW w:w="1782" w:type="dxa"/>
            <w:vAlign w:val="center"/>
            <w:shd w:val="clear" w:color="auto" w:fill="FFFFFF"/>
          </w:tcPr>
          <w:p w14:paraId="05879093">
            <w:pPr>
              <w:spacing w:before="0" w:after="0" w:line="240" w:lineRule="auto"/>
            </w:pPr>
            <w:r>
              <w:rPr>
                <w:rFonts w:ascii="Arial" w:hAnsi="Arial" w:eastAsia="Arial"/>
                <w:sz w:val="15"/>
                <w:color w:val="000000"/>
              </w:rPr>
              <w:t>NCT01131676</w:t>
            </w:r>
          </w:p>
        </w:tc>
        <w:tc>
          <w:tcPr>
            <w:tcW w:w="1782" w:type="dxa"/>
            <w:vAlign w:val="center"/>
            <w:shd w:val="clear" w:color="auto" w:fill="FFFFFF"/>
          </w:tcPr>
          <w:p w14:paraId="0286B69B">
            <w:pPr>
              <w:spacing w:before="0" w:after="0" w:line="240" w:lineRule="auto"/>
            </w:pPr>
            <w:r>
              <w:rPr>
                <w:rFonts w:ascii="Arial" w:hAnsi="Arial" w:eastAsia="Arial"/>
                <w:sz w:val="15"/>
                <w:color w:val="000000"/>
              </w:rPr>
              <w:t>Low</w:t>
            </w:r>
          </w:p>
        </w:tc>
        <w:tc>
          <w:tcPr>
            <w:tcW w:w="1782" w:type="dxa"/>
            <w:vAlign w:val="center"/>
            <w:shd w:val="clear" w:color="auto" w:fill="FFFFFF"/>
          </w:tcPr>
          <w:p w14:paraId="28014141">
            <w:pPr>
              <w:spacing w:before="0" w:after="0" w:line="240" w:lineRule="auto"/>
            </w:pPr>
            <w:r>
              <w:rPr>
                <w:rFonts w:ascii="Arial" w:hAnsi="Arial" w:eastAsia="Arial"/>
                <w:sz w:val="15"/>
                <w:color w:val="000000"/>
              </w:rPr>
              <w:t>Low</w:t>
            </w:r>
          </w:p>
        </w:tc>
        <w:tc>
          <w:tcPr>
            <w:tcW w:w="1782" w:type="dxa"/>
            <w:vAlign w:val="center"/>
            <w:shd w:val="clear" w:color="auto" w:fill="FFFFFF"/>
          </w:tcPr>
          <w:p w14:paraId="4AB3D50C">
            <w:pPr>
              <w:spacing w:before="0" w:after="0" w:line="240" w:lineRule="auto"/>
            </w:pPr>
            <w:r>
              <w:rPr>
                <w:rFonts w:ascii="Arial" w:hAnsi="Arial" w:eastAsia="Arial"/>
                <w:sz w:val="15"/>
                <w:color w:val="000000"/>
              </w:rPr>
              <w:t>Low</w:t>
            </w:r>
          </w:p>
        </w:tc>
        <w:tc>
          <w:tcPr>
            <w:tcW w:w="1782" w:type="dxa"/>
            <w:vAlign w:val="center"/>
            <w:shd w:val="clear" w:color="auto" w:fill="FFFFFF"/>
          </w:tcPr>
          <w:p w14:paraId="71225EE2">
            <w:pPr>
              <w:spacing w:before="0" w:after="0" w:line="240" w:lineRule="auto"/>
            </w:pPr>
            <w:r>
              <w:rPr>
                <w:rFonts w:ascii="Arial" w:hAnsi="Arial" w:eastAsia="Arial"/>
                <w:sz w:val="15"/>
                <w:color w:val="000000"/>
              </w:rPr>
              <w:t>Low</w:t>
            </w:r>
          </w:p>
        </w:tc>
        <w:tc>
          <w:tcPr>
            <w:tcW w:w="1782" w:type="dxa"/>
            <w:vAlign w:val="center"/>
            <w:shd w:val="clear" w:color="auto" w:fill="FFFFFF"/>
          </w:tcPr>
          <w:p w14:paraId="49DCDABC">
            <w:pPr>
              <w:spacing w:before="0" w:after="0" w:line="240" w:lineRule="auto"/>
            </w:pPr>
            <w:r>
              <w:rPr>
                <w:rFonts w:ascii="Arial" w:hAnsi="Arial" w:eastAsia="Arial"/>
                <w:sz w:val="15"/>
                <w:color w:val="000000"/>
              </w:rPr>
              <w:t>Low</w:t>
            </w:r>
          </w:p>
        </w:tc>
        <w:tc>
          <w:tcPr>
            <w:tcW w:w="1782" w:type="dxa"/>
            <w:vAlign w:val="center"/>
            <w:shd w:val="clear" w:color="auto" w:fill="FFFFFF"/>
          </w:tcPr>
          <w:p w14:paraId="0DD4D2F8">
            <w:pPr>
              <w:spacing w:before="0" w:after="0" w:line="240" w:lineRule="auto"/>
            </w:pPr>
            <w:r>
              <w:rPr>
                <w:rFonts w:ascii="Arial" w:hAnsi="Arial" w:eastAsia="Arial"/>
                <w:sz w:val="15"/>
                <w:color w:val="000000"/>
              </w:rPr>
              <w:t>Low</w:t>
            </w:r>
          </w:p>
        </w:tc>
      </w:tr>
      <w:tr w14:paraId="2251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0F1971B1">
            <w:pPr>
              <w:spacing w:before="0" w:after="0" w:line="240" w:lineRule="auto"/>
            </w:pPr>
            <w:r>
              <w:rPr>
                <w:rFonts w:ascii="Arial" w:hAnsi="Arial" w:eastAsia="Arial"/>
                <w:sz w:val="15"/>
                <w:color w:val="000000"/>
              </w:rPr>
              <w:t>EMPEROR-Preserved</w:t>
            </w:r>
          </w:p>
        </w:tc>
        <w:tc>
          <w:tcPr>
            <w:tcW w:w="1782" w:type="dxa"/>
            <w:vAlign w:val="center"/>
            <w:shd w:val="clear" w:color="auto" w:fill="FFFFFF"/>
          </w:tcPr>
          <w:p w14:paraId="68382F3C">
            <w:pPr>
              <w:spacing w:before="0" w:after="0" w:line="240" w:lineRule="auto"/>
            </w:pPr>
            <w:r>
              <w:rPr>
                <w:rFonts w:ascii="Arial" w:hAnsi="Arial" w:eastAsia="Arial"/>
                <w:sz w:val="15"/>
                <w:color w:val="000000"/>
              </w:rPr>
              <w:t>NCT03057951</w:t>
            </w:r>
          </w:p>
        </w:tc>
        <w:tc>
          <w:tcPr>
            <w:tcW w:w="1782" w:type="dxa"/>
            <w:vAlign w:val="center"/>
            <w:shd w:val="clear" w:color="auto" w:fill="FFFFFF"/>
          </w:tcPr>
          <w:p w14:paraId="4A5ADEAB">
            <w:pPr>
              <w:spacing w:before="0" w:after="0" w:line="240" w:lineRule="auto"/>
            </w:pPr>
            <w:r>
              <w:rPr>
                <w:rFonts w:ascii="Arial" w:hAnsi="Arial" w:eastAsia="Arial"/>
                <w:sz w:val="15"/>
                <w:color w:val="000000"/>
              </w:rPr>
              <w:t>Low</w:t>
            </w:r>
          </w:p>
        </w:tc>
        <w:tc>
          <w:tcPr>
            <w:tcW w:w="1782" w:type="dxa"/>
            <w:vAlign w:val="center"/>
            <w:shd w:val="clear" w:color="auto" w:fill="FFFFFF"/>
          </w:tcPr>
          <w:p w14:paraId="37AF3428">
            <w:pPr>
              <w:spacing w:before="0" w:after="0" w:line="240" w:lineRule="auto"/>
            </w:pPr>
            <w:r>
              <w:rPr>
                <w:rFonts w:ascii="Arial" w:hAnsi="Arial" w:eastAsia="Arial"/>
                <w:sz w:val="15"/>
                <w:color w:val="000000"/>
              </w:rPr>
              <w:t>Low</w:t>
            </w:r>
          </w:p>
        </w:tc>
        <w:tc>
          <w:tcPr>
            <w:tcW w:w="1782" w:type="dxa"/>
            <w:vAlign w:val="center"/>
            <w:shd w:val="clear" w:color="auto" w:fill="FFFFFF"/>
          </w:tcPr>
          <w:p w14:paraId="5CA052B7">
            <w:pPr>
              <w:spacing w:before="0" w:after="0" w:line="240" w:lineRule="auto"/>
            </w:pPr>
            <w:r>
              <w:rPr>
                <w:rFonts w:ascii="Arial" w:hAnsi="Arial" w:eastAsia="Arial"/>
                <w:sz w:val="15"/>
                <w:color w:val="000000"/>
              </w:rPr>
              <w:t>Low</w:t>
            </w:r>
          </w:p>
        </w:tc>
        <w:tc>
          <w:tcPr>
            <w:tcW w:w="1782" w:type="dxa"/>
            <w:vAlign w:val="center"/>
            <w:shd w:val="clear" w:color="auto" w:fill="FFFFFF"/>
          </w:tcPr>
          <w:p w14:paraId="6BD70AAB">
            <w:pPr>
              <w:spacing w:before="0" w:after="0" w:line="240" w:lineRule="auto"/>
            </w:pPr>
            <w:r>
              <w:rPr>
                <w:rFonts w:ascii="Arial" w:hAnsi="Arial" w:eastAsia="Arial"/>
                <w:sz w:val="15"/>
                <w:color w:val="000000"/>
              </w:rPr>
              <w:t>Low</w:t>
            </w:r>
          </w:p>
        </w:tc>
        <w:tc>
          <w:tcPr>
            <w:tcW w:w="1782" w:type="dxa"/>
            <w:vAlign w:val="center"/>
            <w:shd w:val="clear" w:color="auto" w:fill="FFFFFF"/>
          </w:tcPr>
          <w:p w14:paraId="673EF279">
            <w:pPr>
              <w:spacing w:before="0" w:after="0" w:line="240" w:lineRule="auto"/>
            </w:pPr>
            <w:r>
              <w:rPr>
                <w:rFonts w:ascii="Arial" w:hAnsi="Arial" w:eastAsia="Arial"/>
                <w:sz w:val="15"/>
                <w:color w:val="000000"/>
              </w:rPr>
              <w:t>Low</w:t>
            </w:r>
          </w:p>
        </w:tc>
        <w:tc>
          <w:tcPr>
            <w:tcW w:w="1782" w:type="dxa"/>
            <w:vAlign w:val="center"/>
            <w:shd w:val="clear" w:color="auto" w:fill="FFFFFF"/>
          </w:tcPr>
          <w:p w14:paraId="3B5CECED">
            <w:pPr>
              <w:spacing w:before="0" w:after="0" w:line="240" w:lineRule="auto"/>
            </w:pPr>
            <w:r>
              <w:rPr>
                <w:rFonts w:ascii="Arial" w:hAnsi="Arial" w:eastAsia="Arial"/>
                <w:sz w:val="15"/>
                <w:color w:val="000000"/>
              </w:rPr>
              <w:t>Low</w:t>
            </w:r>
          </w:p>
        </w:tc>
      </w:tr>
      <w:tr w14:paraId="0D22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11E8DEE3">
            <w:pPr>
              <w:spacing w:before="0" w:after="0" w:line="240" w:lineRule="auto"/>
            </w:pPr>
            <w:r>
              <w:rPr>
                <w:rFonts w:ascii="Arial" w:hAnsi="Arial" w:eastAsia="Arial"/>
                <w:sz w:val="15"/>
                <w:color w:val="000000"/>
              </w:rPr>
              <w:t>EMPEROR-Reduced</w:t>
            </w:r>
          </w:p>
        </w:tc>
        <w:tc>
          <w:tcPr>
            <w:tcW w:w="1782" w:type="dxa"/>
            <w:vAlign w:val="center"/>
            <w:shd w:val="clear" w:color="auto" w:fill="FFFFFF"/>
          </w:tcPr>
          <w:p w14:paraId="3BBE1E10">
            <w:pPr>
              <w:spacing w:before="0" w:after="0" w:line="240" w:lineRule="auto"/>
            </w:pPr>
            <w:r>
              <w:rPr>
                <w:rFonts w:ascii="Arial" w:hAnsi="Arial" w:eastAsia="Arial"/>
                <w:sz w:val="15"/>
                <w:color w:val="000000"/>
              </w:rPr>
              <w:t>NCT03057977</w:t>
            </w:r>
          </w:p>
        </w:tc>
        <w:tc>
          <w:tcPr>
            <w:tcW w:w="1782" w:type="dxa"/>
            <w:vAlign w:val="center"/>
            <w:shd w:val="clear" w:color="auto" w:fill="FFFFFF"/>
          </w:tcPr>
          <w:p w14:paraId="061EA371">
            <w:pPr>
              <w:spacing w:before="0" w:after="0" w:line="240" w:lineRule="auto"/>
            </w:pPr>
            <w:r>
              <w:rPr>
                <w:rFonts w:ascii="Arial" w:hAnsi="Arial" w:eastAsia="Arial"/>
                <w:sz w:val="15"/>
                <w:color w:val="000000"/>
              </w:rPr>
              <w:t>Low</w:t>
            </w:r>
          </w:p>
        </w:tc>
        <w:tc>
          <w:tcPr>
            <w:tcW w:w="1782" w:type="dxa"/>
            <w:vAlign w:val="center"/>
            <w:shd w:val="clear" w:color="auto" w:fill="FFFFFF"/>
          </w:tcPr>
          <w:p w14:paraId="22E5D132">
            <w:pPr>
              <w:spacing w:before="0" w:after="0" w:line="240" w:lineRule="auto"/>
            </w:pPr>
            <w:r>
              <w:rPr>
                <w:rFonts w:ascii="Arial" w:hAnsi="Arial" w:eastAsia="Arial"/>
                <w:sz w:val="15"/>
                <w:color w:val="000000"/>
              </w:rPr>
              <w:t>Low</w:t>
            </w:r>
          </w:p>
        </w:tc>
        <w:tc>
          <w:tcPr>
            <w:tcW w:w="1782" w:type="dxa"/>
            <w:vAlign w:val="center"/>
            <w:shd w:val="clear" w:color="auto" w:fill="FFFFFF"/>
          </w:tcPr>
          <w:p w14:paraId="244B6348">
            <w:pPr>
              <w:spacing w:before="0" w:after="0" w:line="240" w:lineRule="auto"/>
            </w:pPr>
            <w:r>
              <w:rPr>
                <w:rFonts w:ascii="Arial" w:hAnsi="Arial" w:eastAsia="Arial"/>
                <w:sz w:val="15"/>
                <w:color w:val="000000"/>
              </w:rPr>
              <w:t>Low</w:t>
            </w:r>
          </w:p>
        </w:tc>
        <w:tc>
          <w:tcPr>
            <w:tcW w:w="1782" w:type="dxa"/>
            <w:vAlign w:val="center"/>
            <w:shd w:val="clear" w:color="auto" w:fill="FFFFFF"/>
          </w:tcPr>
          <w:p w14:paraId="43BA94E7">
            <w:pPr>
              <w:spacing w:before="0" w:after="0" w:line="240" w:lineRule="auto"/>
            </w:pPr>
            <w:r>
              <w:rPr>
                <w:rFonts w:ascii="Arial" w:hAnsi="Arial" w:eastAsia="Arial"/>
                <w:sz w:val="15"/>
                <w:color w:val="000000"/>
              </w:rPr>
              <w:t>Low</w:t>
            </w:r>
          </w:p>
        </w:tc>
        <w:tc>
          <w:tcPr>
            <w:tcW w:w="1782" w:type="dxa"/>
            <w:vAlign w:val="center"/>
            <w:shd w:val="clear" w:color="auto" w:fill="FFFFFF"/>
          </w:tcPr>
          <w:p w14:paraId="618A959F">
            <w:pPr>
              <w:spacing w:before="0" w:after="0" w:line="240" w:lineRule="auto"/>
            </w:pPr>
            <w:r>
              <w:rPr>
                <w:rFonts w:ascii="Arial" w:hAnsi="Arial" w:eastAsia="Arial"/>
                <w:sz w:val="15"/>
                <w:color w:val="000000"/>
              </w:rPr>
              <w:t>Low</w:t>
            </w:r>
          </w:p>
        </w:tc>
        <w:tc>
          <w:tcPr>
            <w:tcW w:w="1782" w:type="dxa"/>
            <w:vAlign w:val="center"/>
            <w:shd w:val="clear" w:color="auto" w:fill="FFFFFF"/>
          </w:tcPr>
          <w:p w14:paraId="012ABF76">
            <w:pPr>
              <w:spacing w:before="0" w:after="0" w:line="240" w:lineRule="auto"/>
            </w:pPr>
            <w:r>
              <w:rPr>
                <w:rFonts w:ascii="Arial" w:hAnsi="Arial" w:eastAsia="Arial"/>
                <w:sz w:val="15"/>
                <w:color w:val="000000"/>
              </w:rPr>
              <w:t>Low</w:t>
            </w:r>
          </w:p>
        </w:tc>
      </w:tr>
      <w:tr w14:paraId="1A06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56AC5D32">
            <w:pPr>
              <w:spacing w:before="0" w:after="0" w:line="240" w:lineRule="auto"/>
            </w:pPr>
            <w:r>
              <w:rPr>
                <w:rFonts w:ascii="Arial" w:hAnsi="Arial" w:eastAsia="Arial"/>
                <w:sz w:val="15"/>
                <w:color w:val="000000"/>
              </w:rPr>
              <w:t>SOLOIST-WHF</w:t>
            </w:r>
          </w:p>
        </w:tc>
        <w:tc>
          <w:tcPr>
            <w:tcW w:w="1782" w:type="dxa"/>
            <w:vAlign w:val="center"/>
            <w:shd w:val="clear" w:color="auto" w:fill="FFFFFF"/>
          </w:tcPr>
          <w:p w14:paraId="18FE7721">
            <w:pPr>
              <w:spacing w:before="0" w:after="0" w:line="240" w:lineRule="auto"/>
            </w:pPr>
            <w:r>
              <w:rPr>
                <w:rFonts w:ascii="Arial" w:hAnsi="Arial" w:eastAsia="Arial"/>
                <w:sz w:val="15"/>
                <w:color w:val="000000"/>
              </w:rPr>
              <w:t>NCT03521934</w:t>
            </w:r>
          </w:p>
        </w:tc>
        <w:tc>
          <w:tcPr>
            <w:tcW w:w="1782" w:type="dxa"/>
            <w:vAlign w:val="center"/>
            <w:shd w:val="clear" w:color="auto" w:fill="FFFFFF"/>
          </w:tcPr>
          <w:p w14:paraId="2CC2D850">
            <w:pPr>
              <w:spacing w:before="0" w:after="0" w:line="240" w:lineRule="auto"/>
            </w:pPr>
            <w:r>
              <w:rPr>
                <w:rFonts w:ascii="Arial" w:hAnsi="Arial" w:eastAsia="Arial"/>
                <w:sz w:val="15"/>
                <w:color w:val="000000"/>
              </w:rPr>
              <w:t>Low</w:t>
            </w:r>
          </w:p>
        </w:tc>
        <w:tc>
          <w:tcPr>
            <w:tcW w:w="1782" w:type="dxa"/>
            <w:vAlign w:val="center"/>
            <w:shd w:val="clear" w:color="auto" w:fill="FFFFFF"/>
          </w:tcPr>
          <w:p w14:paraId="6A70F607">
            <w:pPr>
              <w:spacing w:before="0" w:after="0" w:line="240" w:lineRule="auto"/>
            </w:pPr>
            <w:r>
              <w:rPr>
                <w:rFonts w:ascii="Arial" w:hAnsi="Arial" w:eastAsia="Arial"/>
                <w:sz w:val="15"/>
                <w:color w:val="000000"/>
              </w:rPr>
              <w:t>Low</w:t>
            </w:r>
          </w:p>
        </w:tc>
        <w:tc>
          <w:tcPr>
            <w:tcW w:w="1782" w:type="dxa"/>
            <w:vAlign w:val="center"/>
            <w:shd w:val="clear" w:color="auto" w:fill="FFFFFF"/>
          </w:tcPr>
          <w:p w14:paraId="6DB4366F">
            <w:pPr>
              <w:spacing w:before="0" w:after="0" w:line="240" w:lineRule="auto"/>
            </w:pPr>
            <w:r>
              <w:rPr>
                <w:rFonts w:ascii="Arial" w:hAnsi="Arial" w:eastAsia="Arial"/>
                <w:sz w:val="15"/>
                <w:color w:val="000000"/>
              </w:rPr>
              <w:t>Low</w:t>
            </w:r>
          </w:p>
        </w:tc>
        <w:tc>
          <w:tcPr>
            <w:tcW w:w="1782" w:type="dxa"/>
            <w:vAlign w:val="center"/>
            <w:shd w:val="clear" w:color="auto" w:fill="FFFFFF"/>
          </w:tcPr>
          <w:p w14:paraId="5094A4A5">
            <w:pPr>
              <w:spacing w:before="0" w:after="0" w:line="240" w:lineRule="auto"/>
            </w:pPr>
            <w:r>
              <w:rPr>
                <w:rFonts w:ascii="Arial" w:hAnsi="Arial" w:eastAsia="Arial"/>
                <w:sz w:val="15"/>
                <w:color w:val="000000"/>
              </w:rPr>
              <w:t>Some concerns</w:t>
            </w:r>
          </w:p>
        </w:tc>
        <w:tc>
          <w:tcPr>
            <w:tcW w:w="1782" w:type="dxa"/>
            <w:vAlign w:val="center"/>
            <w:shd w:val="clear" w:color="auto" w:fill="FFFFFF"/>
          </w:tcPr>
          <w:p w14:paraId="2B03DDB0">
            <w:pPr>
              <w:spacing w:before="0" w:after="0" w:line="240" w:lineRule="auto"/>
            </w:pPr>
            <w:r>
              <w:rPr>
                <w:rFonts w:ascii="Arial" w:hAnsi="Arial" w:eastAsia="Arial"/>
                <w:sz w:val="15"/>
                <w:color w:val="000000"/>
              </w:rPr>
              <w:t>High</w:t>
            </w:r>
          </w:p>
        </w:tc>
        <w:tc>
          <w:tcPr>
            <w:tcW w:w="1782" w:type="dxa"/>
            <w:vAlign w:val="center"/>
            <w:shd w:val="clear" w:color="auto" w:fill="FFFFFF"/>
          </w:tcPr>
          <w:p w14:paraId="2D988404">
            <w:pPr>
              <w:spacing w:before="0" w:after="0" w:line="240" w:lineRule="auto"/>
            </w:pPr>
            <w:r>
              <w:rPr>
                <w:rFonts w:ascii="Arial" w:hAnsi="Arial" w:eastAsia="Arial"/>
                <w:sz w:val="15"/>
                <w:color w:val="000000"/>
              </w:rPr>
              <w:t>High</w:t>
            </w:r>
          </w:p>
        </w:tc>
      </w:tr>
      <w:tr w14:paraId="39FC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03A599E3">
            <w:pPr>
              <w:spacing w:before="0" w:after="0" w:line="240" w:lineRule="auto"/>
            </w:pPr>
            <w:r>
              <w:rPr>
                <w:rFonts w:ascii="Arial" w:hAnsi="Arial" w:eastAsia="Arial"/>
                <w:sz w:val="15"/>
                <w:color w:val="000000"/>
              </w:rPr>
              <w:t>VERTIS CV</w:t>
            </w:r>
          </w:p>
        </w:tc>
        <w:tc>
          <w:tcPr>
            <w:tcW w:w="1782" w:type="dxa"/>
            <w:vAlign w:val="center"/>
            <w:shd w:val="clear" w:color="auto" w:fill="FFFFFF"/>
          </w:tcPr>
          <w:p w14:paraId="432D5F9E">
            <w:pPr>
              <w:spacing w:before="0" w:after="0" w:line="240" w:lineRule="auto"/>
            </w:pPr>
            <w:r>
              <w:rPr>
                <w:rFonts w:ascii="Arial" w:hAnsi="Arial" w:eastAsia="Arial"/>
                <w:sz w:val="15"/>
                <w:color w:val="000000"/>
              </w:rPr>
              <w:t>NCT01986881</w:t>
            </w:r>
          </w:p>
        </w:tc>
        <w:tc>
          <w:tcPr>
            <w:tcW w:w="1782" w:type="dxa"/>
            <w:vAlign w:val="center"/>
            <w:shd w:val="clear" w:color="auto" w:fill="FFFFFF"/>
          </w:tcPr>
          <w:p w14:paraId="11009C3C">
            <w:pPr>
              <w:spacing w:before="0" w:after="0" w:line="240" w:lineRule="auto"/>
            </w:pPr>
            <w:r>
              <w:rPr>
                <w:rFonts w:ascii="Arial" w:hAnsi="Arial" w:eastAsia="Arial"/>
                <w:sz w:val="15"/>
                <w:color w:val="000000"/>
              </w:rPr>
              <w:t>Low</w:t>
            </w:r>
          </w:p>
        </w:tc>
        <w:tc>
          <w:tcPr>
            <w:tcW w:w="1782" w:type="dxa"/>
            <w:vAlign w:val="center"/>
            <w:shd w:val="clear" w:color="auto" w:fill="FFFFFF"/>
          </w:tcPr>
          <w:p w14:paraId="3EB69212">
            <w:pPr>
              <w:spacing w:before="0" w:after="0" w:line="240" w:lineRule="auto"/>
            </w:pPr>
            <w:r>
              <w:rPr>
                <w:rFonts w:ascii="Arial" w:hAnsi="Arial" w:eastAsia="Arial"/>
                <w:sz w:val="15"/>
                <w:color w:val="000000"/>
              </w:rPr>
              <w:t>Low</w:t>
            </w:r>
          </w:p>
        </w:tc>
        <w:tc>
          <w:tcPr>
            <w:tcW w:w="1782" w:type="dxa"/>
            <w:vAlign w:val="center"/>
            <w:shd w:val="clear" w:color="auto" w:fill="FFFFFF"/>
          </w:tcPr>
          <w:p w14:paraId="165182D3">
            <w:pPr>
              <w:spacing w:before="0" w:after="0" w:line="240" w:lineRule="auto"/>
            </w:pPr>
            <w:r>
              <w:rPr>
                <w:rFonts w:ascii="Arial" w:hAnsi="Arial" w:eastAsia="Arial"/>
                <w:sz w:val="15"/>
                <w:color w:val="000000"/>
              </w:rPr>
              <w:t>Low</w:t>
            </w:r>
          </w:p>
        </w:tc>
        <w:tc>
          <w:tcPr>
            <w:tcW w:w="1782" w:type="dxa"/>
            <w:vAlign w:val="center"/>
            <w:shd w:val="clear" w:color="auto" w:fill="FFFFFF"/>
          </w:tcPr>
          <w:p w14:paraId="3A494A61">
            <w:pPr>
              <w:spacing w:before="0" w:after="0" w:line="240" w:lineRule="auto"/>
            </w:pPr>
            <w:r>
              <w:rPr>
                <w:rFonts w:ascii="Arial" w:hAnsi="Arial" w:eastAsia="Arial"/>
                <w:sz w:val="15"/>
                <w:color w:val="000000"/>
              </w:rPr>
              <w:t>Low</w:t>
            </w:r>
          </w:p>
        </w:tc>
        <w:tc>
          <w:tcPr>
            <w:tcW w:w="1782" w:type="dxa"/>
            <w:vAlign w:val="center"/>
            <w:shd w:val="clear" w:color="auto" w:fill="FFFFFF"/>
          </w:tcPr>
          <w:p w14:paraId="1BCD8A92">
            <w:pPr>
              <w:spacing w:before="0" w:after="0" w:line="240" w:lineRule="auto"/>
            </w:pPr>
            <w:r>
              <w:rPr>
                <w:rFonts w:ascii="Arial" w:hAnsi="Arial" w:eastAsia="Arial"/>
                <w:sz w:val="15"/>
                <w:color w:val="000000"/>
              </w:rPr>
              <w:t>Low</w:t>
            </w:r>
          </w:p>
        </w:tc>
        <w:tc>
          <w:tcPr>
            <w:tcW w:w="1782" w:type="dxa"/>
            <w:vAlign w:val="center"/>
            <w:shd w:val="clear" w:color="auto" w:fill="FFFFFF"/>
          </w:tcPr>
          <w:p w14:paraId="27201C0F">
            <w:pPr>
              <w:spacing w:before="0" w:after="0" w:line="240" w:lineRule="auto"/>
            </w:pPr>
            <w:r>
              <w:rPr>
                <w:rFonts w:ascii="Arial" w:hAnsi="Arial" w:eastAsia="Arial"/>
                <w:sz w:val="15"/>
                <w:color w:val="000000"/>
              </w:rPr>
              <w:t>Low</w:t>
            </w:r>
          </w:p>
        </w:tc>
      </w:tr>
      <w:tr w14:paraId="275B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82" w:type="dxa"/>
            <w:vAlign w:val="center"/>
            <w:shd w:val="clear" w:color="auto" w:fill="FFFFFF"/>
          </w:tcPr>
          <w:p w14:paraId="7FDB2270">
            <w:pPr>
              <w:spacing w:before="0" w:after="0" w:line="240" w:lineRule="auto"/>
            </w:pPr>
            <w:r>
              <w:rPr>
                <w:rFonts w:ascii="Arial" w:hAnsi="Arial" w:eastAsia="Arial"/>
                <w:sz w:val="15"/>
                <w:color w:val="000000"/>
              </w:rPr>
              <w:t>CANVAS Program</w:t>
            </w:r>
          </w:p>
        </w:tc>
        <w:tc>
          <w:tcPr>
            <w:tcW w:w="1782" w:type="dxa"/>
            <w:vAlign w:val="center"/>
            <w:shd w:val="clear" w:color="auto" w:fill="FFFFFF"/>
          </w:tcPr>
          <w:p w14:paraId="485244E3">
            <w:pPr>
              <w:spacing w:before="0" w:after="0" w:line="240" w:lineRule="auto"/>
            </w:pPr>
            <w:r>
              <w:rPr>
                <w:rFonts w:ascii="Arial" w:hAnsi="Arial" w:eastAsia="Arial"/>
                <w:sz w:val="15"/>
                <w:color w:val="000000"/>
              </w:rPr>
              <w:t>NCT01032629  NCT01989754</w:t>
            </w:r>
          </w:p>
        </w:tc>
        <w:tc>
          <w:tcPr>
            <w:tcW w:w="1782" w:type="dxa"/>
            <w:vAlign w:val="center"/>
            <w:shd w:val="clear" w:color="auto" w:fill="FFFFFF"/>
          </w:tcPr>
          <w:p w14:paraId="277BA1CE">
            <w:pPr>
              <w:spacing w:before="0" w:after="0" w:line="240" w:lineRule="auto"/>
            </w:pPr>
            <w:r>
              <w:rPr>
                <w:rFonts w:ascii="Arial" w:hAnsi="Arial" w:eastAsia="Arial"/>
                <w:sz w:val="15"/>
                <w:color w:val="000000"/>
              </w:rPr>
              <w:t>Low</w:t>
            </w:r>
          </w:p>
        </w:tc>
        <w:tc>
          <w:tcPr>
            <w:tcW w:w="1782" w:type="dxa"/>
            <w:vAlign w:val="center"/>
            <w:shd w:val="clear" w:color="auto" w:fill="FFFFFF"/>
          </w:tcPr>
          <w:p w14:paraId="3A3AFC85">
            <w:pPr>
              <w:spacing w:before="0" w:after="0" w:line="240" w:lineRule="auto"/>
            </w:pPr>
            <w:r>
              <w:rPr>
                <w:rFonts w:ascii="Arial" w:hAnsi="Arial" w:eastAsia="Arial"/>
                <w:sz w:val="15"/>
                <w:color w:val="000000"/>
              </w:rPr>
              <w:t>Low</w:t>
            </w:r>
          </w:p>
        </w:tc>
        <w:tc>
          <w:tcPr>
            <w:tcW w:w="1782" w:type="dxa"/>
            <w:vAlign w:val="center"/>
            <w:shd w:val="clear" w:color="auto" w:fill="FFFFFF"/>
          </w:tcPr>
          <w:p w14:paraId="3AC68A98">
            <w:pPr>
              <w:spacing w:before="0" w:after="0" w:line="240" w:lineRule="auto"/>
            </w:pPr>
            <w:r>
              <w:rPr>
                <w:rFonts w:ascii="Arial" w:hAnsi="Arial" w:eastAsia="Arial"/>
                <w:sz w:val="15"/>
                <w:color w:val="000000"/>
              </w:rPr>
              <w:t>Low</w:t>
            </w:r>
          </w:p>
        </w:tc>
        <w:tc>
          <w:tcPr>
            <w:tcW w:w="1782" w:type="dxa"/>
            <w:vAlign w:val="center"/>
            <w:shd w:val="clear" w:color="auto" w:fill="FFFFFF"/>
          </w:tcPr>
          <w:p w14:paraId="57323D1E">
            <w:pPr>
              <w:spacing w:before="0" w:after="0" w:line="240" w:lineRule="auto"/>
            </w:pPr>
            <w:r>
              <w:rPr>
                <w:rFonts w:ascii="Arial" w:hAnsi="Arial" w:eastAsia="Arial"/>
                <w:sz w:val="15"/>
                <w:color w:val="000000"/>
              </w:rPr>
              <w:t>Low</w:t>
            </w:r>
          </w:p>
        </w:tc>
        <w:tc>
          <w:tcPr>
            <w:tcW w:w="1782" w:type="dxa"/>
            <w:vAlign w:val="center"/>
            <w:shd w:val="clear" w:color="auto" w:fill="FFFFFF"/>
          </w:tcPr>
          <w:p w14:paraId="3B62A44A">
            <w:pPr>
              <w:spacing w:before="0" w:after="0" w:line="240" w:lineRule="auto"/>
            </w:pPr>
            <w:r>
              <w:rPr>
                <w:rFonts w:ascii="Arial" w:hAnsi="Arial" w:eastAsia="Arial"/>
                <w:sz w:val="15"/>
                <w:color w:val="000000"/>
              </w:rPr>
              <w:t>Low</w:t>
            </w:r>
          </w:p>
        </w:tc>
        <w:tc>
          <w:tcPr>
            <w:tcW w:w="1782" w:type="dxa"/>
            <w:vAlign w:val="center"/>
            <w:shd w:val="clear" w:color="auto" w:fill="FFFFFF"/>
          </w:tcPr>
          <w:p w14:paraId="4822093E">
            <w:pPr>
              <w:spacing w:before="0" w:after="0" w:line="240" w:lineRule="auto"/>
            </w:pPr>
            <w:r>
              <w:rPr>
                <w:rFonts w:ascii="Arial" w:hAnsi="Arial" w:eastAsia="Arial"/>
                <w:sz w:val="15"/>
                <w:color w:val="000000"/>
              </w:rPr>
              <w:t>Low</w:t>
            </w:r>
          </w:p>
        </w:tc>
      </w:tr>
      <w:tr w14:paraId="4FAE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56" w:type="dxa"/>
            <w:gridSpan w:val="8"/>
            <w:vAlign w:val="center"/>
            <w:shd w:val="clear" w:color="auto" w:fill="FFFFFF"/>
          </w:tcPr>
          <w:p w14:paraId="762C46D1">
            <w:pPr>
              <w:spacing w:after="0" w:line="240" w:lineRule="auto"/>
              <w:jc w:val="left"/>
            </w:pPr>
            <w:r>
              <w:rPr>
                <w:rFonts w:ascii="Arial" w:hAnsi="Arial" w:eastAsia="Arial"/>
                <w:b w:val="0"/>
                <w:color w:val="000000"/>
                <w:sz w:val="17"/>
              </w:rPr>
              <w:t>Table note: Assessments used the Cochrane Risk of Bias 2 tool and targeted the effect of assignment to intervention (intention-to-treat effect). One selected efficacy result was assessed for each parent randomized trial.</w:t>
            </w:r>
          </w:p>
        </w:tc>
      </w:tr>
    </w:tbl>
    <w:p w14:paraId="3F3559D7">
      <w:pPr>
        <w:pStyle w:val="3"/>
        <w:spacing w:before="160" w:after="80"/>
      </w:pPr>
      <w:r>
        <w:rPr>
          <w:rFonts w:ascii="Arial" w:hAnsi="Arial" w:eastAsia="Arial"/>
          <w:color w:val="000000"/>
        </w:rPr>
        <w:t>Supplementary Table S5. Certainty-of-evidence assessment</w:t>
      </w:r>
    </w:p>
    <w:p w14:paraId="193AA430">
      <w:pPr>
        <w:pStyle w:val="5"/>
        <w:spacing w:before="160" w:after="80"/>
      </w:pPr>
      <w:r>
        <w:rPr>
          <w:rFonts w:ascii="Arial" w:hAnsi="Arial"/>
          <w:i/>
          <w:color w:val="000000"/>
          <w:sz w:val="18"/>
        </w:rPr>
        <w:t>Final stage-group-specific GRADE assessment</w:t>
      </w:r>
    </w:p>
    <w:tbl>
      <w:tblPr>
        <w:tblStyle w:val="33"/>
        <w:tblW w:type="auto" w:w="0"/>
        <w:jc w:val="center"/>
        <w:tblLook w:firstColumn="1" w:firstRow="1" w:lastColumn="0" w:lastRow="0" w:noHBand="0" w:noVBand="1" w:val="04A0"/>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426"/>
        <w:gridCol w:w="1426"/>
        <w:gridCol w:w="1426"/>
        <w:gridCol w:w="1426"/>
        <w:gridCol w:w="1426"/>
        <w:gridCol w:w="1426"/>
        <w:gridCol w:w="1426"/>
        <w:gridCol w:w="1426"/>
        <w:gridCol w:w="1426"/>
        <w:gridCol w:w="1426"/>
      </w:tblGrid>
      <w:tr>
        <w:trPr>
          <w:tblHeader w:val="true"/>
        </w:trPr>
        <w:tc>
          <w:tcPr>
            <w:tcW w:type="dxa" w:w="2050"/>
            <w:vAlign w:val="center"/>
            <w:shd w:val="clear" w:color="auto" w:fill="FFFFFF"/>
          </w:tcPr>
          <w:p>
            <w:pPr>
              <w:spacing w:before="0" w:after="0" w:line="240" w:lineRule="auto"/>
              <w:jc w:val="center"/>
            </w:pPr>
            <w:r>
              <w:rPr>
                <w:rFonts w:ascii="Arial" w:hAnsi="Arial"/>
                <w:b/>
                <w:color w:val="000000"/>
                <w:sz w:val="13"/>
              </w:rPr>
              <w:t>Outcome</w:t>
            </w:r>
          </w:p>
        </w:tc>
        <w:tc>
          <w:tcPr>
            <w:tcW w:type="dxa" w:w="1300"/>
            <w:vAlign w:val="center"/>
            <w:shd w:val="clear" w:color="auto" w:fill="FFFFFF"/>
          </w:tcPr>
          <w:p>
            <w:pPr>
              <w:spacing w:before="0" w:after="0" w:line="240" w:lineRule="auto"/>
              <w:jc w:val="center"/>
            </w:pPr>
            <w:r>
              <w:rPr>
                <w:rFonts w:ascii="Arial" w:hAnsi="Arial"/>
                <w:b/>
                <w:color w:val="000000"/>
                <w:sz w:val="13"/>
              </w:rPr>
              <w:t>CKM stage group</w:t>
            </w:r>
          </w:p>
        </w:tc>
        <w:tc>
          <w:tcPr>
            <w:tcW w:type="dxa" w:w="380"/>
            <w:vAlign w:val="center"/>
            <w:shd w:val="clear" w:color="auto" w:fill="FFFFFF"/>
          </w:tcPr>
          <w:p>
            <w:pPr>
              <w:spacing w:before="0" w:after="0" w:line="240" w:lineRule="auto"/>
              <w:jc w:val="center"/>
            </w:pPr>
            <w:r>
              <w:rPr>
                <w:rFonts w:ascii="Arial" w:hAnsi="Arial"/>
                <w:b/>
                <w:color w:val="000000"/>
                <w:sz w:val="13"/>
              </w:rPr>
              <w:t>k</w:t>
            </w:r>
          </w:p>
        </w:tc>
        <w:tc>
          <w:tcPr>
            <w:tcW w:type="dxa" w:w="1400"/>
            <w:vAlign w:val="center"/>
            <w:shd w:val="clear" w:color="auto" w:fill="FFFFFF"/>
          </w:tcPr>
          <w:p>
            <w:pPr>
              <w:spacing w:before="0" w:after="0" w:line="240" w:lineRule="auto"/>
              <w:jc w:val="center"/>
            </w:pPr>
            <w:r>
              <w:rPr>
                <w:rFonts w:ascii="Arial" w:hAnsi="Arial"/>
                <w:b/>
                <w:color w:val="000000"/>
                <w:sz w:val="13"/>
              </w:rPr>
              <w:t>HR (95% CI)</w:t>
            </w:r>
          </w:p>
        </w:tc>
        <w:tc>
          <w:tcPr>
            <w:tcW w:type="dxa" w:w="1000"/>
            <w:vAlign w:val="center"/>
            <w:shd w:val="clear" w:color="auto" w:fill="FFFFFF"/>
          </w:tcPr>
          <w:p>
            <w:pPr>
              <w:spacing w:before="0" w:after="0" w:line="240" w:lineRule="auto"/>
              <w:jc w:val="center"/>
            </w:pPr>
            <w:r>
              <w:rPr>
                <w:rFonts w:ascii="Arial" w:hAnsi="Arial"/>
                <w:b/>
                <w:color w:val="000000"/>
                <w:sz w:val="13"/>
              </w:rPr>
              <w:t>Risk of bias</w:t>
            </w:r>
          </w:p>
        </w:tc>
        <w:tc>
          <w:tcPr>
            <w:tcW w:type="dxa" w:w="1000"/>
            <w:vAlign w:val="center"/>
            <w:shd w:val="clear" w:color="auto" w:fill="FFFFFF"/>
          </w:tcPr>
          <w:p>
            <w:pPr>
              <w:spacing w:before="0" w:after="0" w:line="240" w:lineRule="auto"/>
              <w:jc w:val="center"/>
            </w:pPr>
            <w:r>
              <w:rPr>
                <w:rFonts w:ascii="Arial" w:hAnsi="Arial"/>
                <w:b/>
                <w:color w:val="000000"/>
                <w:sz w:val="13"/>
              </w:rPr>
              <w:t>Inconsistency</w:t>
            </w:r>
          </w:p>
        </w:tc>
        <w:tc>
          <w:tcPr>
            <w:tcW w:type="dxa" w:w="1000"/>
            <w:vAlign w:val="center"/>
            <w:shd w:val="clear" w:color="auto" w:fill="FFFFFF"/>
          </w:tcPr>
          <w:p>
            <w:pPr>
              <w:spacing w:before="0" w:after="0" w:line="240" w:lineRule="auto"/>
              <w:jc w:val="center"/>
            </w:pPr>
            <w:r>
              <w:rPr>
                <w:rFonts w:ascii="Arial" w:hAnsi="Arial"/>
                <w:b/>
                <w:color w:val="000000"/>
                <w:sz w:val="13"/>
              </w:rPr>
              <w:t>Indirectness</w:t>
            </w:r>
          </w:p>
        </w:tc>
        <w:tc>
          <w:tcPr>
            <w:tcW w:type="dxa" w:w="1000"/>
            <w:vAlign w:val="center"/>
            <w:shd w:val="clear" w:color="auto" w:fill="FFFFFF"/>
          </w:tcPr>
          <w:p>
            <w:pPr>
              <w:spacing w:before="0" w:after="0" w:line="240" w:lineRule="auto"/>
              <w:jc w:val="center"/>
            </w:pPr>
            <w:r>
              <w:rPr>
                <w:rFonts w:ascii="Arial" w:hAnsi="Arial"/>
                <w:b/>
                <w:color w:val="000000"/>
                <w:sz w:val="13"/>
              </w:rPr>
              <w:t>Imprecision</w:t>
            </w:r>
          </w:p>
        </w:tc>
        <w:tc>
          <w:tcPr>
            <w:tcW w:type="dxa" w:w="1300"/>
            <w:vAlign w:val="center"/>
            <w:shd w:val="clear" w:color="auto" w:fill="FFFFFF"/>
          </w:tcPr>
          <w:p>
            <w:pPr>
              <w:spacing w:before="0" w:after="0" w:line="240" w:lineRule="auto"/>
              <w:jc w:val="center"/>
            </w:pPr>
            <w:r>
              <w:rPr>
                <w:rFonts w:ascii="Arial" w:hAnsi="Arial"/>
                <w:b/>
                <w:color w:val="000000"/>
                <w:sz w:val="13"/>
              </w:rPr>
              <w:t>Publication bias</w:t>
            </w:r>
          </w:p>
        </w:tc>
        <w:tc>
          <w:tcPr>
            <w:tcW w:type="dxa" w:w="850"/>
            <w:vAlign w:val="center"/>
            <w:shd w:val="clear" w:color="auto" w:fill="FFFFFF"/>
          </w:tcPr>
          <w:p>
            <w:pPr>
              <w:spacing w:before="0" w:after="0" w:line="240" w:lineRule="auto"/>
              <w:jc w:val="center"/>
            </w:pPr>
            <w:r>
              <w:rPr>
                <w:rFonts w:ascii="Arial" w:hAnsi="Arial"/>
                <w:b/>
                <w:color w:val="000000"/>
                <w:sz w:val="13"/>
              </w:rPr>
              <w:t>Certainty</w:t>
            </w:r>
          </w:p>
        </w:tc>
      </w:tr>
      <w:tr>
        <w:tc>
          <w:tcPr>
            <w:tcW w:type="dxa" w:w="2050"/>
            <w:vAlign w:val="center"/>
            <w:shd w:val="clear" w:color="auto" w:fill="FFFFFF"/>
          </w:tcPr>
          <w:p>
            <w:pPr>
              <w:spacing w:before="0" w:after="0" w:line="240" w:lineRule="auto"/>
            </w:pPr>
            <w:r>
              <w:rPr>
                <w:rFonts w:ascii="Arial" w:hAnsi="Arial"/>
                <w:sz w:val="13"/>
                <w:color w:val="000000"/>
              </w:rPr>
              <w:t>Composite heart failure endpoint</w:t>
            </w:r>
          </w:p>
        </w:tc>
        <w:tc>
          <w:tcPr>
            <w:tcW w:type="dxa" w:w="1300"/>
            <w:vAlign w:val="center"/>
            <w:shd w:val="clear" w:color="auto" w:fill="FFFFFF"/>
          </w:tcPr>
          <w:p>
            <w:pPr>
              <w:spacing w:before="0" w:after="0" w:line="240" w:lineRule="auto"/>
            </w:pPr>
            <w:r>
              <w:rPr>
                <w:rFonts w:ascii="Arial" w:hAnsi="Arial"/>
                <w:sz w:val="13"/>
                <w:color w:val="000000"/>
              </w:rPr>
              <w:t>CKM stages 2–3</w:t>
            </w:r>
          </w:p>
        </w:tc>
        <w:tc>
          <w:tcPr>
            <w:tcW w:type="dxa" w:w="380"/>
            <w:vAlign w:val="center"/>
            <w:shd w:val="clear" w:color="auto" w:fill="FFFFFF"/>
          </w:tcPr>
          <w:p>
            <w:pPr>
              <w:spacing w:before="0" w:after="0" w:line="240" w:lineRule="auto"/>
            </w:pPr>
            <w:r>
              <w:rPr>
                <w:rFonts w:ascii="Arial" w:hAnsi="Arial"/>
                <w:sz w:val="13"/>
                <w:color w:val="000000"/>
              </w:rPr>
              <w:t>4</w:t>
            </w:r>
          </w:p>
        </w:tc>
        <w:tc>
          <w:tcPr>
            <w:tcW w:type="dxa" w:w="1400"/>
            <w:vAlign w:val="center"/>
            <w:shd w:val="clear" w:color="auto" w:fill="FFFFFF"/>
          </w:tcPr>
          <w:p>
            <w:pPr>
              <w:spacing w:before="0" w:after="0" w:line="240" w:lineRule="auto"/>
            </w:pPr>
            <w:r>
              <w:rPr>
                <w:rFonts w:ascii="Arial" w:hAnsi="Arial"/>
                <w:sz w:val="13"/>
                <w:color w:val="000000"/>
              </w:rPr>
              <w:t>0.80 (0.68-0.93)</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Moderate</w:t>
            </w:r>
          </w:p>
        </w:tc>
      </w:tr>
      <w:tr>
        <w:tc>
          <w:tcPr>
            <w:tcW w:type="dxa" w:w="2050"/>
            <w:vAlign w:val="center"/>
            <w:shd w:val="clear" w:color="auto" w:fill="FFFFFF"/>
          </w:tcPr>
          <w:p>
            <w:pPr>
              <w:spacing w:before="0" w:after="0" w:line="240" w:lineRule="auto"/>
            </w:pPr>
            <w:r>
              <w:rPr>
                <w:rFonts w:ascii="Arial" w:hAnsi="Arial"/>
                <w:sz w:val="13"/>
                <w:color w:val="000000"/>
              </w:rPr>
              <w:t>Composite heart failure endpoint</w:t>
            </w:r>
          </w:p>
        </w:tc>
        <w:tc>
          <w:tcPr>
            <w:tcW w:type="dxa" w:w="1300"/>
            <w:vAlign w:val="center"/>
            <w:shd w:val="clear" w:color="auto" w:fill="FFFFFF"/>
          </w:tcPr>
          <w:p>
            <w:pPr>
              <w:spacing w:before="0" w:after="0" w:line="240" w:lineRule="auto"/>
            </w:pPr>
            <w:r>
              <w:rPr>
                <w:rFonts w:ascii="Arial" w:hAnsi="Arial"/>
                <w:sz w:val="13"/>
                <w:color w:val="000000"/>
              </w:rPr>
              <w:t>CKM stage 4</w:t>
            </w:r>
          </w:p>
        </w:tc>
        <w:tc>
          <w:tcPr>
            <w:tcW w:type="dxa" w:w="380"/>
            <w:vAlign w:val="center"/>
            <w:shd w:val="clear" w:color="auto" w:fill="FFFFFF"/>
          </w:tcPr>
          <w:p>
            <w:pPr>
              <w:spacing w:before="0" w:after="0" w:line="240" w:lineRule="auto"/>
            </w:pPr>
            <w:r>
              <w:rPr>
                <w:rFonts w:ascii="Arial" w:hAnsi="Arial"/>
                <w:sz w:val="13"/>
                <w:color w:val="000000"/>
              </w:rPr>
              <w:t>11</w:t>
            </w:r>
          </w:p>
        </w:tc>
        <w:tc>
          <w:tcPr>
            <w:tcW w:type="dxa" w:w="1400"/>
            <w:vAlign w:val="center"/>
            <w:shd w:val="clear" w:color="auto" w:fill="FFFFFF"/>
          </w:tcPr>
          <w:p>
            <w:pPr>
              <w:spacing w:before="0" w:after="0" w:line="240" w:lineRule="auto"/>
            </w:pPr>
            <w:r>
              <w:rPr>
                <w:rFonts w:ascii="Arial" w:hAnsi="Arial"/>
                <w:sz w:val="13"/>
                <w:color w:val="000000"/>
              </w:rPr>
              <w:t>0.77 (0.73-0.81)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Moderate</w:t>
            </w:r>
          </w:p>
        </w:tc>
      </w:tr>
      <w:tr>
        <w:tc>
          <w:tcPr>
            <w:tcW w:type="dxa" w:w="2050"/>
            <w:vAlign w:val="center"/>
            <w:shd w:val="clear" w:color="auto" w:fill="FFFFFF"/>
          </w:tcPr>
          <w:p>
            <w:pPr>
              <w:spacing w:before="0" w:after="0" w:line="240" w:lineRule="auto"/>
            </w:pPr>
            <w:r>
              <w:rPr>
                <w:rFonts w:ascii="Arial" w:hAnsi="Arial"/>
                <w:sz w:val="13"/>
                <w:color w:val="000000"/>
              </w:rPr>
              <w:t>Major adverse cardiovascular events</w:t>
            </w:r>
          </w:p>
        </w:tc>
        <w:tc>
          <w:tcPr>
            <w:tcW w:type="dxa" w:w="1300"/>
            <w:vAlign w:val="center"/>
            <w:shd w:val="clear" w:color="auto" w:fill="FFFFFF"/>
          </w:tcPr>
          <w:p>
            <w:pPr>
              <w:spacing w:before="0" w:after="0" w:line="240" w:lineRule="auto"/>
            </w:pPr>
            <w:r>
              <w:rPr>
                <w:rFonts w:ascii="Arial" w:hAnsi="Arial"/>
                <w:sz w:val="13"/>
                <w:color w:val="000000"/>
              </w:rPr>
              <w:t>CKM stages 2–3</w:t>
            </w:r>
          </w:p>
        </w:tc>
        <w:tc>
          <w:tcPr>
            <w:tcW w:type="dxa" w:w="380"/>
            <w:vAlign w:val="center"/>
            <w:shd w:val="clear" w:color="auto" w:fill="FFFFFF"/>
          </w:tcPr>
          <w:p>
            <w:pPr>
              <w:spacing w:before="0" w:after="0" w:line="240" w:lineRule="auto"/>
            </w:pPr>
            <w:r>
              <w:rPr>
                <w:rFonts w:ascii="Arial" w:hAnsi="Arial"/>
                <w:sz w:val="13"/>
                <w:color w:val="000000"/>
              </w:rPr>
              <w:t>4</w:t>
            </w:r>
          </w:p>
        </w:tc>
        <w:tc>
          <w:tcPr>
            <w:tcW w:type="dxa" w:w="1400"/>
            <w:vAlign w:val="center"/>
            <w:shd w:val="clear" w:color="auto" w:fill="FFFFFF"/>
          </w:tcPr>
          <w:p>
            <w:pPr>
              <w:spacing w:before="0" w:after="0" w:line="240" w:lineRule="auto"/>
            </w:pPr>
            <w:r>
              <w:rPr>
                <w:rFonts w:ascii="Arial" w:hAnsi="Arial"/>
                <w:sz w:val="13"/>
                <w:color w:val="000000"/>
              </w:rPr>
              <w:t>0.90 (0.75-1.08)</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Low</w:t>
            </w:r>
          </w:p>
        </w:tc>
      </w:tr>
      <w:tr>
        <w:tc>
          <w:tcPr>
            <w:tcW w:type="dxa" w:w="2050"/>
            <w:vAlign w:val="center"/>
            <w:shd w:val="clear" w:color="auto" w:fill="FFFFFF"/>
          </w:tcPr>
          <w:p>
            <w:pPr>
              <w:spacing w:before="0" w:after="0" w:line="240" w:lineRule="auto"/>
            </w:pPr>
            <w:r>
              <w:rPr>
                <w:rFonts w:ascii="Arial" w:hAnsi="Arial"/>
                <w:sz w:val="13"/>
                <w:color w:val="000000"/>
              </w:rPr>
              <w:t>Major adverse cardiovascular events</w:t>
            </w:r>
          </w:p>
        </w:tc>
        <w:tc>
          <w:tcPr>
            <w:tcW w:type="dxa" w:w="1300"/>
            <w:vAlign w:val="center"/>
            <w:shd w:val="clear" w:color="auto" w:fill="FFFFFF"/>
          </w:tcPr>
          <w:p>
            <w:pPr>
              <w:spacing w:before="0" w:after="0" w:line="240" w:lineRule="auto"/>
            </w:pPr>
            <w:r>
              <w:rPr>
                <w:rFonts w:ascii="Arial" w:hAnsi="Arial"/>
                <w:sz w:val="13"/>
                <w:color w:val="000000"/>
              </w:rPr>
              <w:t>CKM stage 4</w:t>
            </w:r>
          </w:p>
        </w:tc>
        <w:tc>
          <w:tcPr>
            <w:tcW w:type="dxa" w:w="380"/>
            <w:vAlign w:val="center"/>
            <w:shd w:val="clear" w:color="auto" w:fill="FFFFFF"/>
          </w:tcPr>
          <w:p>
            <w:pPr>
              <w:spacing w:before="0" w:after="0" w:line="240" w:lineRule="auto"/>
            </w:pPr>
            <w:r>
              <w:rPr>
                <w:rFonts w:ascii="Arial" w:hAnsi="Arial"/>
                <w:sz w:val="13"/>
                <w:color w:val="000000"/>
              </w:rPr>
              <w:t>6</w:t>
            </w:r>
          </w:p>
        </w:tc>
        <w:tc>
          <w:tcPr>
            <w:tcW w:type="dxa" w:w="1400"/>
            <w:vAlign w:val="center"/>
            <w:shd w:val="clear" w:color="auto" w:fill="FFFFFF"/>
          </w:tcPr>
          <w:p>
            <w:pPr>
              <w:spacing w:before="0" w:after="0" w:line="240" w:lineRule="auto"/>
            </w:pPr>
            <w:r>
              <w:rPr>
                <w:rFonts w:ascii="Arial" w:hAnsi="Arial"/>
                <w:sz w:val="13"/>
                <w:color w:val="000000"/>
              </w:rPr>
              <w:t>0.89 (0.83-0.95)</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Moderate</w:t>
            </w:r>
          </w:p>
        </w:tc>
      </w:tr>
      <w:tr>
        <w:tc>
          <w:tcPr>
            <w:tcW w:type="dxa" w:w="2050"/>
            <w:vAlign w:val="center"/>
            <w:shd w:val="clear" w:color="auto" w:fill="FFFFFF"/>
          </w:tcPr>
          <w:p>
            <w:pPr>
              <w:spacing w:before="0" w:after="0" w:line="240" w:lineRule="auto"/>
            </w:pPr>
            <w:r>
              <w:rPr>
                <w:rFonts w:ascii="Arial" w:hAnsi="Arial"/>
                <w:sz w:val="13"/>
                <w:color w:val="000000"/>
              </w:rPr>
              <w:t>Hospitalization for heart failure</w:t>
            </w:r>
          </w:p>
        </w:tc>
        <w:tc>
          <w:tcPr>
            <w:tcW w:type="dxa" w:w="1300"/>
            <w:vAlign w:val="center"/>
            <w:shd w:val="clear" w:color="auto" w:fill="FFFFFF"/>
          </w:tcPr>
          <w:p>
            <w:pPr>
              <w:spacing w:before="0" w:after="0" w:line="240" w:lineRule="auto"/>
            </w:pPr>
            <w:r>
              <w:rPr>
                <w:rFonts w:ascii="Arial" w:hAnsi="Arial"/>
                <w:sz w:val="13"/>
                <w:color w:val="000000"/>
              </w:rPr>
              <w:t>CKM stages 2–3</w:t>
            </w:r>
          </w:p>
        </w:tc>
        <w:tc>
          <w:tcPr>
            <w:tcW w:type="dxa" w:w="380"/>
            <w:vAlign w:val="center"/>
            <w:shd w:val="clear" w:color="auto" w:fill="FFFFFF"/>
          </w:tcPr>
          <w:p>
            <w:pPr>
              <w:spacing w:before="0" w:after="0" w:line="240" w:lineRule="auto"/>
            </w:pPr>
            <w:r>
              <w:rPr>
                <w:rFonts w:ascii="Arial" w:hAnsi="Arial"/>
                <w:sz w:val="13"/>
                <w:color w:val="000000"/>
              </w:rPr>
              <w:t>4</w:t>
            </w:r>
          </w:p>
        </w:tc>
        <w:tc>
          <w:tcPr>
            <w:tcW w:type="dxa" w:w="1400"/>
            <w:vAlign w:val="center"/>
            <w:shd w:val="clear" w:color="auto" w:fill="FFFFFF"/>
          </w:tcPr>
          <w:p>
            <w:pPr>
              <w:spacing w:before="0" w:after="0" w:line="240" w:lineRule="auto"/>
            </w:pPr>
            <w:r>
              <w:rPr>
                <w:rFonts w:ascii="Arial" w:hAnsi="Arial"/>
                <w:sz w:val="13"/>
                <w:color w:val="000000"/>
              </w:rPr>
              <w:t>0.61 (0.48-0.77)</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Moderate</w:t>
            </w:r>
          </w:p>
        </w:tc>
      </w:tr>
      <w:tr>
        <w:tc>
          <w:tcPr>
            <w:tcW w:type="dxa" w:w="2050"/>
            <w:vAlign w:val="center"/>
            <w:shd w:val="clear" w:color="auto" w:fill="FFFFFF"/>
          </w:tcPr>
          <w:p>
            <w:pPr>
              <w:spacing w:before="0" w:after="0" w:line="240" w:lineRule="auto"/>
            </w:pPr>
            <w:r>
              <w:rPr>
                <w:rFonts w:ascii="Arial" w:hAnsi="Arial"/>
                <w:sz w:val="13"/>
                <w:color w:val="000000"/>
              </w:rPr>
              <w:t>Hospitalization for heart failure</w:t>
            </w:r>
          </w:p>
        </w:tc>
        <w:tc>
          <w:tcPr>
            <w:tcW w:type="dxa" w:w="1300"/>
            <w:vAlign w:val="center"/>
            <w:shd w:val="clear" w:color="auto" w:fill="FFFFFF"/>
          </w:tcPr>
          <w:p>
            <w:pPr>
              <w:spacing w:before="0" w:after="0" w:line="240" w:lineRule="auto"/>
            </w:pPr>
            <w:r>
              <w:rPr>
                <w:rFonts w:ascii="Arial" w:hAnsi="Arial"/>
                <w:sz w:val="13"/>
                <w:color w:val="000000"/>
              </w:rPr>
              <w:t>CKM stage 4</w:t>
            </w:r>
          </w:p>
        </w:tc>
        <w:tc>
          <w:tcPr>
            <w:tcW w:type="dxa" w:w="380"/>
            <w:vAlign w:val="center"/>
            <w:shd w:val="clear" w:color="auto" w:fill="FFFFFF"/>
          </w:tcPr>
          <w:p>
            <w:pPr>
              <w:spacing w:before="0" w:after="0" w:line="240" w:lineRule="auto"/>
            </w:pPr>
            <w:r>
              <w:rPr>
                <w:rFonts w:ascii="Arial" w:hAnsi="Arial"/>
                <w:sz w:val="13"/>
                <w:color w:val="000000"/>
              </w:rPr>
              <w:t>10</w:t>
            </w:r>
          </w:p>
        </w:tc>
        <w:tc>
          <w:tcPr>
            <w:tcW w:type="dxa" w:w="1400"/>
            <w:vAlign w:val="center"/>
            <w:shd w:val="clear" w:color="auto" w:fill="FFFFFF"/>
          </w:tcPr>
          <w:p>
            <w:pPr>
              <w:spacing w:before="0" w:after="0" w:line="240" w:lineRule="auto"/>
            </w:pPr>
            <w:r>
              <w:rPr>
                <w:rFonts w:ascii="Arial" w:hAnsi="Arial"/>
                <w:sz w:val="13"/>
                <w:color w:val="000000"/>
              </w:rPr>
              <w:t>0.71 (0.66-0.76)</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Moderate</w:t>
            </w:r>
          </w:p>
        </w:tc>
      </w:tr>
      <w:tr>
        <w:tc>
          <w:tcPr>
            <w:tcW w:type="dxa" w:w="2050"/>
            <w:vAlign w:val="center"/>
            <w:shd w:val="clear" w:color="auto" w:fill="FFFFFF"/>
          </w:tcPr>
          <w:p>
            <w:pPr>
              <w:spacing w:before="0" w:after="0" w:line="240" w:lineRule="auto"/>
            </w:pPr>
            <w:r>
              <w:rPr>
                <w:rFonts w:ascii="Arial" w:hAnsi="Arial"/>
                <w:sz w:val="13"/>
                <w:color w:val="000000"/>
              </w:rPr>
              <w:t>Trial-defined kidney composite outcomes</w:t>
            </w:r>
          </w:p>
        </w:tc>
        <w:tc>
          <w:tcPr>
            <w:tcW w:type="dxa" w:w="1300"/>
            <w:vAlign w:val="center"/>
            <w:shd w:val="clear" w:color="auto" w:fill="FFFFFF"/>
          </w:tcPr>
          <w:p>
            <w:pPr>
              <w:spacing w:before="0" w:after="0" w:line="240" w:lineRule="auto"/>
            </w:pPr>
            <w:r>
              <w:rPr>
                <w:rFonts w:ascii="Arial" w:hAnsi="Arial"/>
                <w:sz w:val="13"/>
                <w:color w:val="000000"/>
              </w:rPr>
              <w:t>CKM stages 2–3</w:t>
            </w:r>
          </w:p>
        </w:tc>
        <w:tc>
          <w:tcPr>
            <w:tcW w:type="dxa" w:w="380"/>
            <w:vAlign w:val="center"/>
            <w:shd w:val="clear" w:color="auto" w:fill="FFFFFF"/>
          </w:tcPr>
          <w:p>
            <w:pPr>
              <w:spacing w:before="0" w:after="0" w:line="240" w:lineRule="auto"/>
            </w:pPr>
            <w:r>
              <w:rPr>
                <w:rFonts w:ascii="Arial" w:hAnsi="Arial"/>
                <w:sz w:val="13"/>
                <w:color w:val="000000"/>
              </w:rPr>
              <w:t>4</w:t>
            </w:r>
          </w:p>
        </w:tc>
        <w:tc>
          <w:tcPr>
            <w:tcW w:type="dxa" w:w="1400"/>
            <w:vAlign w:val="center"/>
            <w:shd w:val="clear" w:color="auto" w:fill="FFFFFF"/>
          </w:tcPr>
          <w:p>
            <w:pPr>
              <w:spacing w:before="0" w:after="0" w:line="240" w:lineRule="auto"/>
            </w:pPr>
            <w:r>
              <w:rPr>
                <w:rFonts w:ascii="Arial" w:hAnsi="Arial"/>
                <w:sz w:val="13"/>
                <w:color w:val="000000"/>
              </w:rPr>
              <w:t>0.61 (0.52-0.71)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Moderate</w:t>
            </w:r>
          </w:p>
        </w:tc>
      </w:tr>
      <w:tr>
        <w:tc>
          <w:tcPr>
            <w:tcW w:type="dxa" w:w="2050"/>
            <w:vAlign w:val="center"/>
            <w:shd w:val="clear" w:color="auto" w:fill="FFFFFF"/>
          </w:tcPr>
          <w:p>
            <w:pPr>
              <w:spacing w:before="0" w:after="0" w:line="240" w:lineRule="auto"/>
            </w:pPr>
            <w:r>
              <w:rPr>
                <w:rFonts w:ascii="Arial" w:hAnsi="Arial"/>
                <w:sz w:val="13"/>
                <w:color w:val="000000"/>
              </w:rPr>
              <w:t>Trial-defined kidney composite outcomes</w:t>
            </w:r>
          </w:p>
        </w:tc>
        <w:tc>
          <w:tcPr>
            <w:tcW w:type="dxa" w:w="1300"/>
            <w:vAlign w:val="center"/>
            <w:shd w:val="clear" w:color="auto" w:fill="FFFFFF"/>
          </w:tcPr>
          <w:p>
            <w:pPr>
              <w:spacing w:before="0" w:after="0" w:line="240" w:lineRule="auto"/>
            </w:pPr>
            <w:r>
              <w:rPr>
                <w:rFonts w:ascii="Arial" w:hAnsi="Arial"/>
                <w:sz w:val="13"/>
                <w:color w:val="000000"/>
              </w:rPr>
              <w:t>CKM stage 4</w:t>
            </w:r>
          </w:p>
        </w:tc>
        <w:tc>
          <w:tcPr>
            <w:tcW w:type="dxa" w:w="380"/>
            <w:vAlign w:val="center"/>
            <w:shd w:val="clear" w:color="auto" w:fill="FFFFFF"/>
          </w:tcPr>
          <w:p>
            <w:pPr>
              <w:spacing w:before="0" w:after="0" w:line="240" w:lineRule="auto"/>
            </w:pPr>
            <w:r>
              <w:rPr>
                <w:rFonts w:ascii="Arial" w:hAnsi="Arial"/>
                <w:sz w:val="13"/>
                <w:color w:val="000000"/>
              </w:rPr>
              <w:t>9</w:t>
            </w:r>
          </w:p>
        </w:tc>
        <w:tc>
          <w:tcPr>
            <w:tcW w:type="dxa" w:w="1400"/>
            <w:vAlign w:val="center"/>
            <w:shd w:val="clear" w:color="auto" w:fill="FFFFFF"/>
          </w:tcPr>
          <w:p>
            <w:pPr>
              <w:spacing w:before="0" w:after="0" w:line="240" w:lineRule="auto"/>
            </w:pPr>
            <w:r>
              <w:rPr>
                <w:rFonts w:ascii="Arial" w:hAnsi="Arial"/>
                <w:sz w:val="13"/>
                <w:color w:val="000000"/>
              </w:rPr>
              <w:t>0.64 (0.54-0.75)</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Moderate</w:t>
            </w:r>
          </w:p>
        </w:tc>
      </w:tr>
      <w:tr>
        <w:tc>
          <w:tcPr>
            <w:tcW w:type="dxa" w:w="2050"/>
            <w:vAlign w:val="center"/>
            <w:shd w:val="clear" w:color="auto" w:fill="FFFFFF"/>
          </w:tcPr>
          <w:p>
            <w:pPr>
              <w:spacing w:before="0" w:after="0" w:line="240" w:lineRule="auto"/>
            </w:pPr>
            <w:r>
              <w:rPr>
                <w:rFonts w:ascii="Arial" w:hAnsi="Arial"/>
                <w:sz w:val="13"/>
                <w:color w:val="000000"/>
              </w:rPr>
              <w:t>All-cause mortality</w:t>
            </w:r>
          </w:p>
        </w:tc>
        <w:tc>
          <w:tcPr>
            <w:tcW w:type="dxa" w:w="1300"/>
            <w:vAlign w:val="center"/>
            <w:shd w:val="clear" w:color="auto" w:fill="FFFFFF"/>
          </w:tcPr>
          <w:p>
            <w:pPr>
              <w:spacing w:before="0" w:after="0" w:line="240" w:lineRule="auto"/>
            </w:pPr>
            <w:r>
              <w:rPr>
                <w:rFonts w:ascii="Arial" w:hAnsi="Arial"/>
                <w:sz w:val="13"/>
                <w:color w:val="000000"/>
              </w:rPr>
              <w:t>CKM stages 2–3</w:t>
            </w:r>
          </w:p>
        </w:tc>
        <w:tc>
          <w:tcPr>
            <w:tcW w:type="dxa" w:w="380"/>
            <w:vAlign w:val="center"/>
            <w:shd w:val="clear" w:color="auto" w:fill="FFFFFF"/>
          </w:tcPr>
          <w:p>
            <w:pPr>
              <w:spacing w:before="0" w:after="0" w:line="240" w:lineRule="auto"/>
            </w:pPr>
            <w:r>
              <w:rPr>
                <w:rFonts w:ascii="Arial" w:hAnsi="Arial"/>
                <w:sz w:val="13"/>
                <w:color w:val="000000"/>
              </w:rPr>
              <w:t>4</w:t>
            </w:r>
          </w:p>
        </w:tc>
        <w:tc>
          <w:tcPr>
            <w:tcW w:type="dxa" w:w="1400"/>
            <w:vAlign w:val="center"/>
            <w:shd w:val="clear" w:color="auto" w:fill="FFFFFF"/>
          </w:tcPr>
          <w:p>
            <w:pPr>
              <w:spacing w:before="0" w:after="0" w:line="240" w:lineRule="auto"/>
            </w:pPr>
            <w:r>
              <w:rPr>
                <w:rFonts w:ascii="Arial" w:hAnsi="Arial"/>
                <w:sz w:val="13"/>
                <w:color w:val="000000"/>
              </w:rPr>
              <w:t>0.86 (0.74-1.00)</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Low</w:t>
            </w:r>
          </w:p>
        </w:tc>
      </w:tr>
      <w:tr>
        <w:tc>
          <w:tcPr>
            <w:tcW w:type="dxa" w:w="2050"/>
            <w:vAlign w:val="center"/>
            <w:shd w:val="clear" w:color="auto" w:fill="FFFFFF"/>
          </w:tcPr>
          <w:p>
            <w:pPr>
              <w:spacing w:before="0" w:after="0" w:line="240" w:lineRule="auto"/>
            </w:pPr>
            <w:r>
              <w:rPr>
                <w:rFonts w:ascii="Arial" w:hAnsi="Arial"/>
                <w:sz w:val="13"/>
                <w:color w:val="000000"/>
              </w:rPr>
              <w:t>All-cause mortality</w:t>
            </w:r>
          </w:p>
        </w:tc>
        <w:tc>
          <w:tcPr>
            <w:tcW w:type="dxa" w:w="1300"/>
            <w:vAlign w:val="center"/>
            <w:shd w:val="clear" w:color="auto" w:fill="FFFFFF"/>
          </w:tcPr>
          <w:p>
            <w:pPr>
              <w:spacing w:before="0" w:after="0" w:line="240" w:lineRule="auto"/>
            </w:pPr>
            <w:r>
              <w:rPr>
                <w:rFonts w:ascii="Arial" w:hAnsi="Arial"/>
                <w:sz w:val="13"/>
                <w:color w:val="000000"/>
              </w:rPr>
              <w:t>CKM stage 4</w:t>
            </w:r>
          </w:p>
        </w:tc>
        <w:tc>
          <w:tcPr>
            <w:tcW w:type="dxa" w:w="380"/>
            <w:vAlign w:val="center"/>
            <w:shd w:val="clear" w:color="auto" w:fill="FFFFFF"/>
          </w:tcPr>
          <w:p>
            <w:pPr>
              <w:spacing w:before="0" w:after="0" w:line="240" w:lineRule="auto"/>
            </w:pPr>
            <w:r>
              <w:rPr>
                <w:rFonts w:ascii="Arial" w:hAnsi="Arial"/>
                <w:sz w:val="13"/>
                <w:color w:val="000000"/>
              </w:rPr>
              <w:t>11</w:t>
            </w:r>
          </w:p>
        </w:tc>
        <w:tc>
          <w:tcPr>
            <w:tcW w:type="dxa" w:w="1400"/>
            <w:vAlign w:val="center"/>
            <w:shd w:val="clear" w:color="auto" w:fill="FFFFFF"/>
          </w:tcPr>
          <w:p>
            <w:pPr>
              <w:spacing w:before="0" w:after="0" w:line="240" w:lineRule="auto"/>
            </w:pPr>
            <w:r>
              <w:rPr>
                <w:rFonts w:ascii="Arial" w:hAnsi="Arial"/>
                <w:sz w:val="13"/>
                <w:color w:val="000000"/>
              </w:rPr>
              <w:t>0.87 (0.81-0.94)</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Moderate</w:t>
            </w:r>
          </w:p>
        </w:tc>
      </w:tr>
      <w:tr>
        <w:tc>
          <w:tcPr>
            <w:tcW w:type="dxa" w:w="2050"/>
            <w:vAlign w:val="center"/>
            <w:shd w:val="clear" w:color="auto" w:fill="FFFFFF"/>
          </w:tcPr>
          <w:p>
            <w:pPr>
              <w:spacing w:before="0" w:after="0" w:line="240" w:lineRule="auto"/>
            </w:pPr>
            <w:r>
              <w:rPr>
                <w:rFonts w:ascii="Arial" w:hAnsi="Arial"/>
                <w:sz w:val="13"/>
                <w:color w:val="000000"/>
              </w:rPr>
              <w:t>Cardiovascular death</w:t>
            </w:r>
          </w:p>
        </w:tc>
        <w:tc>
          <w:tcPr>
            <w:tcW w:type="dxa" w:w="1300"/>
            <w:vAlign w:val="center"/>
            <w:shd w:val="clear" w:color="auto" w:fill="FFFFFF"/>
          </w:tcPr>
          <w:p>
            <w:pPr>
              <w:spacing w:before="0" w:after="0" w:line="240" w:lineRule="auto"/>
            </w:pPr>
            <w:r>
              <w:rPr>
                <w:rFonts w:ascii="Arial" w:hAnsi="Arial"/>
                <w:sz w:val="13"/>
                <w:color w:val="000000"/>
              </w:rPr>
              <w:t>CKM stages 2–3</w:t>
            </w:r>
          </w:p>
        </w:tc>
        <w:tc>
          <w:tcPr>
            <w:tcW w:type="dxa" w:w="380"/>
            <w:vAlign w:val="center"/>
            <w:shd w:val="clear" w:color="auto" w:fill="FFFFFF"/>
          </w:tcPr>
          <w:p>
            <w:pPr>
              <w:spacing w:before="0" w:after="0" w:line="240" w:lineRule="auto"/>
            </w:pPr>
            <w:r>
              <w:rPr>
                <w:rFonts w:ascii="Arial" w:hAnsi="Arial"/>
                <w:sz w:val="13"/>
                <w:color w:val="000000"/>
              </w:rPr>
              <w:t>4</w:t>
            </w:r>
          </w:p>
        </w:tc>
        <w:tc>
          <w:tcPr>
            <w:tcW w:type="dxa" w:w="1400"/>
            <w:vAlign w:val="center"/>
            <w:shd w:val="clear" w:color="auto" w:fill="FFFFFF"/>
          </w:tcPr>
          <w:p>
            <w:pPr>
              <w:spacing w:before="0" w:after="0" w:line="240" w:lineRule="auto"/>
            </w:pPr>
            <w:r>
              <w:rPr>
                <w:rFonts w:ascii="Arial" w:hAnsi="Arial"/>
                <w:sz w:val="13"/>
                <w:color w:val="000000"/>
              </w:rPr>
              <w:t>0.94 (0.77-1.14)</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Low</w:t>
            </w:r>
          </w:p>
        </w:tc>
      </w:tr>
      <w:tr>
        <w:tc>
          <w:tcPr>
            <w:tcW w:type="dxa" w:w="2050"/>
            <w:vAlign w:val="center"/>
            <w:shd w:val="clear" w:color="auto" w:fill="FFFFFF"/>
          </w:tcPr>
          <w:p>
            <w:pPr>
              <w:spacing w:before="0" w:after="0" w:line="240" w:lineRule="auto"/>
            </w:pPr>
            <w:r>
              <w:rPr>
                <w:rFonts w:ascii="Arial" w:hAnsi="Arial"/>
                <w:sz w:val="13"/>
                <w:color w:val="000000"/>
              </w:rPr>
              <w:t>Cardiovascular death</w:t>
            </w:r>
          </w:p>
        </w:tc>
        <w:tc>
          <w:tcPr>
            <w:tcW w:type="dxa" w:w="1300"/>
            <w:vAlign w:val="center"/>
            <w:shd w:val="clear" w:color="auto" w:fill="FFFFFF"/>
          </w:tcPr>
          <w:p>
            <w:pPr>
              <w:spacing w:before="0" w:after="0" w:line="240" w:lineRule="auto"/>
            </w:pPr>
            <w:r>
              <w:rPr>
                <w:rFonts w:ascii="Arial" w:hAnsi="Arial"/>
                <w:sz w:val="13"/>
                <w:color w:val="000000"/>
              </w:rPr>
              <w:t>CKM stage 4</w:t>
            </w:r>
          </w:p>
        </w:tc>
        <w:tc>
          <w:tcPr>
            <w:tcW w:type="dxa" w:w="380"/>
            <w:vAlign w:val="center"/>
            <w:shd w:val="clear" w:color="auto" w:fill="FFFFFF"/>
          </w:tcPr>
          <w:p>
            <w:pPr>
              <w:spacing w:before="0" w:after="0" w:line="240" w:lineRule="auto"/>
            </w:pPr>
            <w:r>
              <w:rPr>
                <w:rFonts w:ascii="Arial" w:hAnsi="Arial"/>
                <w:sz w:val="13"/>
                <w:color w:val="000000"/>
              </w:rPr>
              <w:t>11</w:t>
            </w:r>
          </w:p>
        </w:tc>
        <w:tc>
          <w:tcPr>
            <w:tcW w:type="dxa" w:w="1400"/>
            <w:vAlign w:val="center"/>
            <w:shd w:val="clear" w:color="auto" w:fill="FFFFFF"/>
          </w:tcPr>
          <w:p>
            <w:pPr>
              <w:spacing w:before="0" w:after="0" w:line="240" w:lineRule="auto"/>
            </w:pPr>
            <w:r>
              <w:rPr>
                <w:rFonts w:ascii="Arial" w:hAnsi="Arial"/>
                <w:sz w:val="13"/>
                <w:color w:val="000000"/>
              </w:rPr>
              <w:t>0.85 (0.80-0.91)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000"/>
            <w:vAlign w:val="center"/>
            <w:shd w:val="clear" w:color="auto" w:fill="FFFFFF"/>
          </w:tcPr>
          <w:p>
            <w:pPr>
              <w:spacing w:before="0" w:after="0" w:line="240" w:lineRule="auto"/>
            </w:pPr>
            <w:r>
              <w:rPr>
                <w:rFonts w:ascii="Arial" w:hAnsi="Arial"/>
                <w:sz w:val="13"/>
                <w:color w:val="000000"/>
              </w:rPr>
              <w:t>Serious (-1)</w:t>
            </w:r>
          </w:p>
        </w:tc>
        <w:tc>
          <w:tcPr>
            <w:tcW w:type="dxa" w:w="1000"/>
            <w:vAlign w:val="center"/>
            <w:shd w:val="clear" w:color="auto" w:fill="FFFFFF"/>
          </w:tcPr>
          <w:p>
            <w:pPr>
              <w:spacing w:before="0" w:after="0" w:line="240" w:lineRule="auto"/>
            </w:pPr>
            <w:r>
              <w:rPr>
                <w:rFonts w:ascii="Arial" w:hAnsi="Arial"/>
                <w:sz w:val="13"/>
                <w:color w:val="000000"/>
              </w:rPr>
              <w:t>Not serious</w:t>
            </w:r>
          </w:p>
        </w:tc>
        <w:tc>
          <w:tcPr>
            <w:tcW w:type="dxa" w:w="1300"/>
            <w:vAlign w:val="center"/>
            <w:shd w:val="clear" w:color="auto" w:fill="FFFFFF"/>
          </w:tcPr>
          <w:p>
            <w:pPr>
              <w:spacing w:before="0" w:after="0" w:line="240" w:lineRule="auto"/>
            </w:pPr>
            <w:r>
              <w:rPr>
                <w:rFonts w:ascii="Arial" w:hAnsi="Arial"/>
                <w:sz w:val="13"/>
                <w:color w:val="000000"/>
              </w:rPr>
              <w:t>Not strongly suspected</w:t>
            </w:r>
          </w:p>
        </w:tc>
        <w:tc>
          <w:tcPr>
            <w:tcW w:type="dxa" w:w="850"/>
            <w:vAlign w:val="center"/>
            <w:shd w:val="clear" w:color="auto" w:fill="FFFFFF"/>
          </w:tcPr>
          <w:p>
            <w:pPr>
              <w:spacing w:before="0" w:after="0" w:line="240" w:lineRule="auto"/>
            </w:pPr>
            <w:r>
              <w:rPr>
                <w:rFonts w:ascii="Arial" w:hAnsi="Arial"/>
                <w:sz w:val="13"/>
                <w:color w:val="000000"/>
              </w:rPr>
              <w:t>Moderate</w:t>
            </w:r>
          </w:p>
        </w:tc>
      </w:tr>
    </w:tbl>
    <w:p>
      <w:pPr>
        <w:spacing w:before="40" w:after="40"/>
      </w:pPr>
      <w:r>
        <w:rPr>
          <w:rFonts w:ascii="Arial" w:hAnsi="Arial"/>
          <w:i w:val="0"/>
          <w:color w:val="000000"/>
          <w:sz w:val="14"/>
        </w:rPr>
        <w:t>GRADE domain judgments: randomized evidence started at high certainty. All analyses were rated down one level for serious indirectness because the CKM groups were operationally mapped rather than formally assigned at the patient level. MACE, all-cause mortality, and cardiovascular death in CKM stages 2–3 were rated down one additional level for serious imprecision because their confidence intervals included the null and clinically different interpretations. Risk of bias and inconsistency were not rated down because most assessments were low risk, exclusion of SOLOIST-WHF did not materially change relevant estimates, and moderate I² values did not correspond to important directional inconsistency. Publication bias was not strongly suspected.</w:t>
      </w:r>
    </w:p>
    <w:p>
      <w:pPr>
        <w:spacing w:before="40" w:after="40"/>
      </w:pPr>
      <w:r>
        <w:rPr>
          <w:rFonts w:ascii="Arial" w:hAnsi="Arial"/>
          <w:i w:val="0"/>
          <w:color w:val="000000"/>
          <w:sz w:val="14"/>
        </w:rPr>
        <w:t>*For all-cause mortality in CKM stage 4, Egger regression showed exploratory asymmetry (P = 0.025). Given only 11 estimates, the possibility of alternative explanations, and the absence of corroborating evidence of selective non-reporting, this signal was considered insufficient on its own to justify downgrading for publication bias. Certainty definitions: High, very confident in the effect estimate; Moderate, moderately confident; Low, limited confidence; Very low, very little confidence.</w:t>
      </w:r>
    </w:p>
    <w:p w14:paraId="1FD33DC0">
      <w:pPr>
        <w:pStyle w:val="3"/>
        <w:spacing w:before="160" w:after="80"/>
      </w:pPr>
      <w:r>
        <w:rPr>
          <w:rFonts w:ascii="Arial" w:hAnsi="Arial" w:eastAsia="Arial"/>
          <w:color w:val="000000"/>
        </w:rPr>
        <w:t>Supplementary Table S6. Comparison of REML random-effects and fixed-effect estimates across operationally mapped CKM stage groups</w:t>
      </w:r>
    </w:p>
    <w:p w14:paraId="1CCDC27A">
      <w:pPr>
        <w:pStyle w:val="5"/>
        <w:spacing w:before="160" w:after="80"/>
      </w:pPr>
      <w:r>
        <w:rPr>
          <w:rFonts w:ascii="Arial" w:hAnsi="Arial" w:eastAsia="Arial"/>
          <w:color w:val="000000"/>
        </w:rPr>
        <w:t>Model-specification sensitivity analysis</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05"/>
        <w:gridCol w:w="1528"/>
        <w:gridCol w:w="537"/>
        <w:gridCol w:w="2004"/>
        <w:gridCol w:w="810"/>
        <w:gridCol w:w="2004"/>
        <w:gridCol w:w="810"/>
        <w:gridCol w:w="3974"/>
      </w:tblGrid>
      <w:tr w14:paraId="4092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118" w:type="dxa"/>
            <w:vAlign w:val="center"/>
            <w:shd w:val="clear" w:color="auto" w:fill="FFFFFF"/>
          </w:tcPr>
          <w:p w14:paraId="2B39DD87">
            <w:pPr>
              <w:spacing w:before="0" w:after="0" w:line="240" w:lineRule="auto"/>
              <w:jc w:val="center"/>
            </w:pPr>
            <w:r>
              <w:rPr>
                <w:rFonts w:ascii="Arial" w:hAnsi="Arial" w:eastAsia="Arial"/>
                <w:b/>
                <w:color w:val="000000"/>
                <w:sz w:val="16"/>
              </w:rPr>
              <w:t>Outcome</w:t>
            </w:r>
          </w:p>
        </w:tc>
        <w:tc>
          <w:tcPr>
            <w:tcW w:w="1701" w:type="dxa"/>
            <w:vAlign w:val="center"/>
            <w:shd w:val="clear" w:color="auto" w:fill="FFFFFF"/>
          </w:tcPr>
          <w:p w14:paraId="5148642E">
            <w:pPr>
              <w:spacing w:before="0" w:after="0" w:line="240" w:lineRule="auto"/>
              <w:jc w:val="center"/>
            </w:pPr>
            <w:r>
              <w:rPr>
                <w:rFonts w:ascii="Arial" w:hAnsi="Arial" w:eastAsia="Arial"/>
                <w:b/>
                <w:color w:val="000000"/>
                <w:sz w:val="16"/>
              </w:rPr>
              <w:t>CKM stage group</w:t>
            </w:r>
          </w:p>
        </w:tc>
        <w:tc>
          <w:tcPr>
            <w:tcW w:w="567" w:type="dxa"/>
            <w:vAlign w:val="center"/>
            <w:shd w:val="clear" w:color="auto" w:fill="FFFFFF"/>
          </w:tcPr>
          <w:p w14:paraId="0BA6496B">
            <w:pPr>
              <w:spacing w:before="0" w:after="0" w:line="240" w:lineRule="auto"/>
              <w:jc w:val="center"/>
            </w:pPr>
            <w:r>
              <w:rPr>
                <w:rFonts w:ascii="Arial" w:hAnsi="Arial" w:eastAsia="Arial"/>
                <w:b/>
                <w:color w:val="000000"/>
                <w:sz w:val="16"/>
              </w:rPr>
              <w:t>k</w:t>
            </w:r>
          </w:p>
        </w:tc>
        <w:tc>
          <w:tcPr>
            <w:tcW w:w="2268" w:type="dxa"/>
            <w:vAlign w:val="center"/>
            <w:shd w:val="clear" w:color="auto" w:fill="FFFFFF"/>
          </w:tcPr>
          <w:p w14:paraId="33C2857D">
            <w:pPr>
              <w:spacing w:before="0" w:after="0" w:line="240" w:lineRule="auto"/>
              <w:jc w:val="center"/>
            </w:pPr>
            <w:r>
              <w:rPr>
                <w:rFonts w:ascii="Arial" w:hAnsi="Arial" w:eastAsia="Arial"/>
                <w:b/>
                <w:color w:val="000000"/>
                <w:sz w:val="16"/>
              </w:rPr>
              <w:t>REML HR (95% CI)</w:t>
            </w:r>
          </w:p>
        </w:tc>
        <w:tc>
          <w:tcPr>
            <w:tcW w:w="850" w:type="dxa"/>
            <w:vAlign w:val="center"/>
            <w:shd w:val="clear" w:color="auto" w:fill="FFFFFF"/>
          </w:tcPr>
          <w:p w14:paraId="450C6A0A">
            <w:pPr>
              <w:spacing w:before="0" w:after="0" w:line="240" w:lineRule="auto"/>
              <w:jc w:val="center"/>
            </w:pPr>
            <w:r>
              <w:rPr>
                <w:rFonts w:ascii="Arial" w:hAnsi="Arial" w:eastAsia="Arial"/>
                <w:b/>
                <w:color w:val="000000"/>
                <w:sz w:val="16"/>
              </w:rPr>
              <w:t>I², %</w:t>
            </w:r>
          </w:p>
        </w:tc>
        <w:tc>
          <w:tcPr>
            <w:tcW w:w="2268" w:type="dxa"/>
            <w:vAlign w:val="center"/>
            <w:shd w:val="clear" w:color="auto" w:fill="FFFFFF"/>
          </w:tcPr>
          <w:p w14:paraId="57B6610F">
            <w:pPr>
              <w:spacing w:before="0" w:after="0" w:line="240" w:lineRule="auto"/>
              <w:jc w:val="center"/>
            </w:pPr>
            <w:r>
              <w:rPr>
                <w:rFonts w:ascii="Arial" w:hAnsi="Arial" w:eastAsia="Arial"/>
                <w:b/>
                <w:color w:val="000000"/>
                <w:sz w:val="16"/>
              </w:rPr>
              <w:t>Fixed-effect HR (95% CI)</w:t>
            </w:r>
          </w:p>
        </w:tc>
        <w:tc>
          <w:tcPr>
            <w:tcW w:w="850" w:type="dxa"/>
            <w:vAlign w:val="center"/>
            <w:shd w:val="clear" w:color="auto" w:fill="FFFFFF"/>
          </w:tcPr>
          <w:p w14:paraId="7BA73CF8">
            <w:pPr>
              <w:spacing w:before="0" w:after="0" w:line="240" w:lineRule="auto"/>
              <w:jc w:val="center"/>
            </w:pPr>
            <w:r>
              <w:rPr>
                <w:rFonts w:ascii="Arial" w:hAnsi="Arial" w:eastAsia="Arial"/>
                <w:b/>
                <w:color w:val="000000"/>
                <w:sz w:val="16"/>
              </w:rPr>
              <w:t>I², %</w:t>
            </w:r>
          </w:p>
        </w:tc>
        <w:tc>
          <w:tcPr>
            <w:tcW w:w="4535" w:type="dxa"/>
            <w:vAlign w:val="center"/>
            <w:shd w:val="clear" w:color="auto" w:fill="FFFFFF"/>
          </w:tcPr>
          <w:p w14:paraId="0B9A06DD">
            <w:pPr>
              <w:spacing w:before="0" w:after="0" w:line="240" w:lineRule="auto"/>
              <w:jc w:val="center"/>
            </w:pPr>
            <w:r>
              <w:rPr>
                <w:rFonts w:ascii="Arial" w:hAnsi="Arial" w:eastAsia="Arial"/>
                <w:b/>
                <w:color w:val="000000"/>
                <w:sz w:val="16"/>
              </w:rPr>
              <w:t>Material interpretation change</w:t>
            </w:r>
          </w:p>
        </w:tc>
      </w:tr>
      <w:tr w14:paraId="53DC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59BA6857">
            <w:pPr>
              <w:spacing w:before="0" w:after="0" w:line="240" w:lineRule="auto"/>
              <w:jc w:val="left"/>
            </w:pPr>
            <w:r>
              <w:rPr>
                <w:rFonts w:ascii="Arial" w:hAnsi="Arial" w:eastAsia="Arial"/>
                <w:b w:val="0"/>
                <w:color w:val="000000"/>
                <w:sz w:val="16"/>
              </w:rPr>
              <w:t>Composite heart failure endpoint</w:t>
            </w:r>
          </w:p>
        </w:tc>
        <w:tc>
          <w:tcPr>
            <w:tcW w:w="1701" w:type="dxa"/>
            <w:vAlign w:val="center"/>
            <w:shd w:val="clear" w:color="auto" w:fill="FFFFFF"/>
          </w:tcPr>
          <w:p w14:paraId="179010BD">
            <w:pPr>
              <w:spacing w:before="0" w:after="0" w:line="240" w:lineRule="auto"/>
              <w:jc w:val="left"/>
            </w:pPr>
            <w:r>
              <w:rPr>
                <w:rFonts w:ascii="Arial" w:hAnsi="Arial" w:eastAsia="Arial"/>
                <w:b w:val="0"/>
                <w:color w:val="000000"/>
                <w:sz w:val="16"/>
              </w:rPr>
              <w:t>CKM stages 2–3</w:t>
            </w:r>
          </w:p>
        </w:tc>
        <w:tc>
          <w:tcPr>
            <w:tcW w:w="567" w:type="dxa"/>
            <w:vAlign w:val="center"/>
            <w:shd w:val="clear" w:color="auto" w:fill="FFFFFF"/>
          </w:tcPr>
          <w:p w14:paraId="574F3FF9">
            <w:pPr>
              <w:spacing w:before="0" w:after="0" w:line="240" w:lineRule="auto"/>
              <w:jc w:val="center"/>
            </w:pPr>
            <w:r>
              <w:rPr>
                <w:rFonts w:ascii="Arial" w:hAnsi="Arial" w:eastAsia="Arial"/>
                <w:b w:val="0"/>
                <w:color w:val="000000"/>
                <w:sz w:val="16"/>
              </w:rPr>
              <w:t>4</w:t>
            </w:r>
          </w:p>
        </w:tc>
        <w:tc>
          <w:tcPr>
            <w:tcW w:w="2268" w:type="dxa"/>
            <w:vAlign w:val="center"/>
            <w:shd w:val="clear" w:color="auto" w:fill="FFFFFF"/>
          </w:tcPr>
          <w:p w14:paraId="6AE17A00">
            <w:pPr>
              <w:spacing w:before="0" w:after="0" w:line="240" w:lineRule="auto"/>
              <w:jc w:val="center"/>
            </w:pPr>
            <w:r>
              <w:rPr>
                <w:rFonts w:ascii="Arial" w:hAnsi="Arial" w:eastAsia="Arial"/>
                <w:b w:val="0"/>
                <w:color w:val="000000"/>
                <w:sz w:val="16"/>
              </w:rPr>
              <w:t>0.798 (0.683-0.931)</w:t>
            </w:r>
          </w:p>
        </w:tc>
        <w:tc>
          <w:tcPr>
            <w:tcW w:w="850" w:type="dxa"/>
            <w:vAlign w:val="center"/>
            <w:shd w:val="clear" w:color="auto" w:fill="FFFFFF"/>
          </w:tcPr>
          <w:p w14:paraId="17F59007">
            <w:pPr>
              <w:spacing w:before="0" w:after="0" w:line="240" w:lineRule="auto"/>
              <w:jc w:val="center"/>
            </w:pPr>
            <w:r>
              <w:rPr>
                <w:rFonts w:ascii="Arial" w:hAnsi="Arial" w:eastAsia="Arial"/>
                <w:b w:val="0"/>
                <w:color w:val="000000"/>
                <w:sz w:val="16"/>
              </w:rPr>
              <w:t>0.00</w:t>
            </w:r>
          </w:p>
        </w:tc>
        <w:tc>
          <w:tcPr>
            <w:tcW w:w="2268" w:type="dxa"/>
            <w:vAlign w:val="center"/>
            <w:shd w:val="clear" w:color="auto" w:fill="FFFFFF"/>
          </w:tcPr>
          <w:p w14:paraId="772990D5">
            <w:pPr>
              <w:spacing w:before="0" w:after="0" w:line="240" w:lineRule="auto"/>
              <w:jc w:val="center"/>
            </w:pPr>
            <w:r>
              <w:rPr>
                <w:rFonts w:ascii="Arial" w:hAnsi="Arial" w:eastAsia="Arial"/>
                <w:b w:val="0"/>
                <w:color w:val="000000"/>
                <w:sz w:val="16"/>
              </w:rPr>
              <w:t>0.798 (0.683-0.931)</w:t>
            </w:r>
          </w:p>
        </w:tc>
        <w:tc>
          <w:tcPr>
            <w:tcW w:w="850" w:type="dxa"/>
            <w:vAlign w:val="center"/>
            <w:shd w:val="clear" w:color="auto" w:fill="FFFFFF"/>
          </w:tcPr>
          <w:p w14:paraId="0C1F3D09">
            <w:pPr>
              <w:spacing w:before="0" w:after="0" w:line="240" w:lineRule="auto"/>
              <w:jc w:val="center"/>
            </w:pPr>
            <w:r>
              <w:rPr>
                <w:rFonts w:ascii="Arial" w:hAnsi="Arial" w:eastAsia="Arial"/>
                <w:b w:val="0"/>
                <w:color w:val="000000"/>
                <w:sz w:val="16"/>
              </w:rPr>
              <w:t>0.00</w:t>
            </w:r>
          </w:p>
        </w:tc>
        <w:tc>
          <w:tcPr>
            <w:tcW w:w="4535" w:type="dxa"/>
            <w:vAlign w:val="center"/>
            <w:shd w:val="clear" w:color="auto" w:fill="FFFFFF"/>
          </w:tcPr>
          <w:p w14:paraId="6451F996">
            <w:pPr>
              <w:spacing w:before="0" w:after="0" w:line="240" w:lineRule="auto"/>
              <w:jc w:val="left"/>
            </w:pPr>
            <w:r>
              <w:rPr>
                <w:rFonts w:ascii="Arial" w:hAnsi="Arial" w:eastAsia="Arial"/>
                <w:b w:val="0"/>
                <w:color w:val="000000"/>
                <w:sz w:val="16"/>
              </w:rPr>
              <w:t>No</w:t>
            </w:r>
          </w:p>
        </w:tc>
      </w:tr>
      <w:tr w14:paraId="43D0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79D958B9">
            <w:pPr>
              <w:spacing w:before="0" w:after="0" w:line="240" w:lineRule="auto"/>
              <w:jc w:val="left"/>
            </w:pPr>
            <w:r>
              <w:rPr>
                <w:rFonts w:ascii="Arial" w:hAnsi="Arial" w:eastAsia="Arial"/>
                <w:b w:val="0"/>
                <w:color w:val="000000"/>
                <w:sz w:val="16"/>
              </w:rPr>
              <w:t>Composite heart failure endpoint</w:t>
            </w:r>
          </w:p>
        </w:tc>
        <w:tc>
          <w:tcPr>
            <w:tcW w:w="1701" w:type="dxa"/>
            <w:vAlign w:val="center"/>
            <w:shd w:val="clear" w:color="auto" w:fill="FFFFFF"/>
          </w:tcPr>
          <w:p w14:paraId="65DAEB25">
            <w:pPr>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431A13E5">
            <w:pPr>
              <w:spacing w:before="0" w:after="0" w:line="240" w:lineRule="auto"/>
              <w:jc w:val="center"/>
            </w:pPr>
            <w:r>
              <w:rPr>
                <w:rFonts w:ascii="Arial" w:hAnsi="Arial" w:eastAsia="Arial"/>
                <w:b w:val="0"/>
                <w:color w:val="000000"/>
                <w:sz w:val="16"/>
              </w:rPr>
              <w:t>11</w:t>
            </w:r>
          </w:p>
        </w:tc>
        <w:tc>
          <w:tcPr>
            <w:tcW w:w="2268" w:type="dxa"/>
            <w:vAlign w:val="center"/>
            <w:shd w:val="clear" w:color="auto" w:fill="FFFFFF"/>
          </w:tcPr>
          <w:p w14:paraId="12A9FE30">
            <w:pPr>
              <w:spacing w:before="0" w:after="0" w:line="240" w:lineRule="auto"/>
              <w:jc w:val="center"/>
            </w:pPr>
            <w:r>
              <w:rPr>
                <w:rFonts w:ascii="Arial" w:hAnsi="Arial" w:eastAsia="Arial"/>
                <w:b w:val="0"/>
                <w:color w:val="000000"/>
                <w:sz w:val="16"/>
              </w:rPr>
              <w:t>0.769 (0.732-0.807)</w:t>
            </w:r>
          </w:p>
        </w:tc>
        <w:tc>
          <w:tcPr>
            <w:tcW w:w="850" w:type="dxa"/>
            <w:vAlign w:val="center"/>
            <w:shd w:val="clear" w:color="auto" w:fill="FFFFFF"/>
          </w:tcPr>
          <w:p w14:paraId="6C395FBB">
            <w:pPr>
              <w:spacing w:before="0" w:after="0" w:line="240" w:lineRule="auto"/>
              <w:jc w:val="center"/>
            </w:pPr>
            <w:r>
              <w:rPr>
                <w:rFonts w:ascii="Arial" w:hAnsi="Arial" w:eastAsia="Arial"/>
                <w:b w:val="0"/>
                <w:color w:val="000000"/>
                <w:sz w:val="16"/>
              </w:rPr>
              <w:t>0.00</w:t>
            </w:r>
          </w:p>
        </w:tc>
        <w:tc>
          <w:tcPr>
            <w:tcW w:w="2268" w:type="dxa"/>
            <w:vAlign w:val="center"/>
            <w:shd w:val="clear" w:color="auto" w:fill="FFFFFF"/>
          </w:tcPr>
          <w:p w14:paraId="6FA36B66">
            <w:pPr>
              <w:spacing w:before="0" w:after="0" w:line="240" w:lineRule="auto"/>
              <w:jc w:val="center"/>
            </w:pPr>
            <w:r>
              <w:rPr>
                <w:rFonts w:ascii="Arial" w:hAnsi="Arial" w:eastAsia="Arial"/>
                <w:b w:val="0"/>
                <w:color w:val="000000"/>
                <w:sz w:val="16"/>
              </w:rPr>
              <w:t>0.769 (0.732-0.807)</w:t>
            </w:r>
          </w:p>
        </w:tc>
        <w:tc>
          <w:tcPr>
            <w:tcW w:w="850" w:type="dxa"/>
            <w:vAlign w:val="center"/>
            <w:shd w:val="clear" w:color="auto" w:fill="FFFFFF"/>
          </w:tcPr>
          <w:p w14:paraId="3696B596">
            <w:pPr>
              <w:spacing w:before="0" w:after="0" w:line="240" w:lineRule="auto"/>
              <w:jc w:val="center"/>
            </w:pPr>
            <w:r>
              <w:rPr>
                <w:rFonts w:ascii="Arial" w:hAnsi="Arial" w:eastAsia="Arial"/>
                <w:b w:val="0"/>
                <w:color w:val="000000"/>
                <w:sz w:val="16"/>
              </w:rPr>
              <w:t>0.00</w:t>
            </w:r>
          </w:p>
        </w:tc>
        <w:tc>
          <w:tcPr>
            <w:tcW w:w="4535" w:type="dxa"/>
            <w:vAlign w:val="center"/>
            <w:shd w:val="clear" w:color="auto" w:fill="FFFFFF"/>
          </w:tcPr>
          <w:p w14:paraId="59CF2880">
            <w:pPr>
              <w:spacing w:before="0" w:after="0" w:line="240" w:lineRule="auto"/>
              <w:jc w:val="left"/>
            </w:pPr>
            <w:r>
              <w:rPr>
                <w:rFonts w:ascii="Arial" w:hAnsi="Arial" w:eastAsia="Arial"/>
                <w:b w:val="0"/>
                <w:color w:val="000000"/>
                <w:sz w:val="16"/>
              </w:rPr>
              <w:t>No</w:t>
            </w:r>
          </w:p>
        </w:tc>
      </w:tr>
      <w:tr w14:paraId="5EE9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5ACB9758">
            <w:pPr>
              <w:spacing w:before="0" w:after="0" w:line="240" w:lineRule="auto"/>
              <w:jc w:val="left"/>
            </w:pPr>
            <w:r>
              <w:rPr>
                <w:rFonts w:ascii="Arial" w:hAnsi="Arial" w:eastAsia="Arial"/>
                <w:b w:val="0"/>
                <w:color w:val="000000"/>
                <w:sz w:val="16"/>
              </w:rPr>
              <w:t>Major adverse cardiovascular events</w:t>
            </w:r>
          </w:p>
        </w:tc>
        <w:tc>
          <w:tcPr>
            <w:tcW w:w="1701" w:type="dxa"/>
            <w:vAlign w:val="center"/>
            <w:shd w:val="clear" w:color="auto" w:fill="FFFFFF"/>
          </w:tcPr>
          <w:p w14:paraId="7F5EB5AC">
            <w:pPr>
              <w:spacing w:before="0" w:after="0" w:line="240" w:lineRule="auto"/>
              <w:jc w:val="left"/>
            </w:pPr>
            <w:r>
              <w:rPr>
                <w:rFonts w:ascii="Arial" w:hAnsi="Arial" w:eastAsia="Arial"/>
                <w:b w:val="0"/>
                <w:color w:val="000000"/>
                <w:sz w:val="16"/>
              </w:rPr>
              <w:t>CKM stages 2–3</w:t>
            </w:r>
          </w:p>
        </w:tc>
        <w:tc>
          <w:tcPr>
            <w:tcW w:w="567" w:type="dxa"/>
            <w:vAlign w:val="center"/>
            <w:shd w:val="clear" w:color="auto" w:fill="FFFFFF"/>
          </w:tcPr>
          <w:p w14:paraId="0E3B192E">
            <w:pPr>
              <w:spacing w:before="0" w:after="0" w:line="240" w:lineRule="auto"/>
              <w:jc w:val="center"/>
            </w:pPr>
            <w:r>
              <w:rPr>
                <w:rFonts w:ascii="Arial" w:hAnsi="Arial" w:eastAsia="Arial"/>
                <w:b w:val="0"/>
                <w:color w:val="000000"/>
                <w:sz w:val="16"/>
              </w:rPr>
              <w:t>4</w:t>
            </w:r>
          </w:p>
        </w:tc>
        <w:tc>
          <w:tcPr>
            <w:tcW w:w="2268" w:type="dxa"/>
            <w:vAlign w:val="center"/>
            <w:shd w:val="clear" w:color="auto" w:fill="FFFFFF"/>
          </w:tcPr>
          <w:p w14:paraId="47D4F7C0">
            <w:pPr>
              <w:spacing w:before="0" w:after="0" w:line="240" w:lineRule="auto"/>
              <w:jc w:val="center"/>
            </w:pPr>
            <w:r>
              <w:rPr>
                <w:rFonts w:ascii="Arial" w:hAnsi="Arial" w:eastAsia="Arial"/>
                <w:b w:val="0"/>
                <w:color w:val="000000"/>
                <w:sz w:val="16"/>
              </w:rPr>
              <w:t>0.898 (0.750-1.076)</w:t>
            </w:r>
          </w:p>
        </w:tc>
        <w:tc>
          <w:tcPr>
            <w:tcW w:w="850" w:type="dxa"/>
            <w:vAlign w:val="center"/>
            <w:shd w:val="clear" w:color="auto" w:fill="FFFFFF"/>
          </w:tcPr>
          <w:p w14:paraId="202C2036">
            <w:pPr>
              <w:spacing w:before="0" w:after="0" w:line="240" w:lineRule="auto"/>
              <w:jc w:val="center"/>
            </w:pPr>
            <w:r>
              <w:rPr>
                <w:rFonts w:ascii="Arial" w:hAnsi="Arial" w:eastAsia="Arial"/>
                <w:b w:val="0"/>
                <w:color w:val="000000"/>
                <w:sz w:val="16"/>
              </w:rPr>
              <w:t>41.12</w:t>
            </w:r>
          </w:p>
        </w:tc>
        <w:tc>
          <w:tcPr>
            <w:tcW w:w="2268" w:type="dxa"/>
            <w:vAlign w:val="center"/>
            <w:shd w:val="clear" w:color="auto" w:fill="FFFFFF"/>
          </w:tcPr>
          <w:p w14:paraId="5893D53A">
            <w:pPr>
              <w:spacing w:before="0" w:after="0" w:line="240" w:lineRule="auto"/>
              <w:jc w:val="center"/>
            </w:pPr>
            <w:r>
              <w:rPr>
                <w:rFonts w:ascii="Arial" w:hAnsi="Arial" w:eastAsia="Arial"/>
                <w:b w:val="0"/>
                <w:color w:val="000000"/>
                <w:sz w:val="16"/>
              </w:rPr>
              <w:t>0.930 (0.821-1.054)</w:t>
            </w:r>
          </w:p>
        </w:tc>
        <w:tc>
          <w:tcPr>
            <w:tcW w:w="850" w:type="dxa"/>
            <w:vAlign w:val="center"/>
            <w:shd w:val="clear" w:color="auto" w:fill="FFFFFF"/>
          </w:tcPr>
          <w:p w14:paraId="2F6BF360">
            <w:pPr>
              <w:spacing w:before="0" w:after="0" w:line="240" w:lineRule="auto"/>
              <w:jc w:val="center"/>
            </w:pPr>
            <w:r>
              <w:rPr>
                <w:rFonts w:ascii="Arial" w:hAnsi="Arial" w:eastAsia="Arial"/>
                <w:b w:val="0"/>
                <w:color w:val="000000"/>
                <w:sz w:val="16"/>
              </w:rPr>
              <w:t>39.02</w:t>
            </w:r>
          </w:p>
        </w:tc>
        <w:tc>
          <w:tcPr>
            <w:tcW w:w="4535" w:type="dxa"/>
            <w:vAlign w:val="center"/>
            <w:shd w:val="clear" w:color="auto" w:fill="FFFFFF"/>
          </w:tcPr>
          <w:p w14:paraId="60F169BD">
            <w:pPr>
              <w:spacing w:before="0" w:after="0" w:line="240" w:lineRule="auto"/>
              <w:jc w:val="left"/>
            </w:pPr>
            <w:r>
              <w:rPr>
                <w:rFonts w:ascii="Arial" w:hAnsi="Arial" w:eastAsia="Arial"/>
                <w:b w:val="0"/>
                <w:color w:val="000000"/>
                <w:sz w:val="16"/>
              </w:rPr>
              <w:t>No; REML widened the CI and reduced precision</w:t>
            </w:r>
          </w:p>
        </w:tc>
      </w:tr>
      <w:tr w14:paraId="5A9F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65B3C166">
            <w:pPr>
              <w:spacing w:before="0" w:after="0" w:line="240" w:lineRule="auto"/>
              <w:jc w:val="left"/>
            </w:pPr>
            <w:r>
              <w:rPr>
                <w:rFonts w:ascii="Arial" w:hAnsi="Arial" w:eastAsia="Arial"/>
                <w:b w:val="0"/>
                <w:color w:val="000000"/>
                <w:sz w:val="16"/>
              </w:rPr>
              <w:t>Major adverse cardiovascular events</w:t>
            </w:r>
          </w:p>
        </w:tc>
        <w:tc>
          <w:tcPr>
            <w:tcW w:w="1701" w:type="dxa"/>
            <w:vAlign w:val="center"/>
            <w:shd w:val="clear" w:color="auto" w:fill="FFFFFF"/>
          </w:tcPr>
          <w:p w14:paraId="035451FE">
            <w:pPr>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029FDC58">
            <w:pPr>
              <w:spacing w:before="0" w:after="0" w:line="240" w:lineRule="auto"/>
              <w:jc w:val="center"/>
            </w:pPr>
            <w:r>
              <w:rPr>
                <w:rFonts w:ascii="Arial" w:hAnsi="Arial" w:eastAsia="Arial"/>
                <w:b w:val="0"/>
                <w:color w:val="000000"/>
                <w:sz w:val="16"/>
              </w:rPr>
              <w:t>6</w:t>
            </w:r>
          </w:p>
        </w:tc>
        <w:tc>
          <w:tcPr>
            <w:tcW w:w="2268" w:type="dxa"/>
            <w:vAlign w:val="center"/>
            <w:shd w:val="clear" w:color="auto" w:fill="FFFFFF"/>
          </w:tcPr>
          <w:p w14:paraId="3B3603AF">
            <w:pPr>
              <w:spacing w:before="0" w:after="0" w:line="240" w:lineRule="auto"/>
              <w:jc w:val="center"/>
            </w:pPr>
            <w:r>
              <w:rPr>
                <w:rFonts w:ascii="Arial" w:hAnsi="Arial" w:eastAsia="Arial"/>
                <w:b w:val="0"/>
                <w:color w:val="000000"/>
                <w:sz w:val="16"/>
              </w:rPr>
              <w:t>0.888 (0.833-0.945)</w:t>
            </w:r>
          </w:p>
        </w:tc>
        <w:tc>
          <w:tcPr>
            <w:tcW w:w="850" w:type="dxa"/>
            <w:vAlign w:val="center"/>
            <w:shd w:val="clear" w:color="auto" w:fill="FFFFFF"/>
          </w:tcPr>
          <w:p w14:paraId="6B464914">
            <w:pPr>
              <w:spacing w:before="0" w:after="0" w:line="240" w:lineRule="auto"/>
              <w:jc w:val="center"/>
            </w:pPr>
            <w:r>
              <w:rPr>
                <w:rFonts w:ascii="Arial" w:hAnsi="Arial" w:eastAsia="Arial"/>
                <w:b w:val="0"/>
                <w:color w:val="000000"/>
                <w:sz w:val="16"/>
              </w:rPr>
              <w:t>0.00</w:t>
            </w:r>
          </w:p>
        </w:tc>
        <w:tc>
          <w:tcPr>
            <w:tcW w:w="2268" w:type="dxa"/>
            <w:vAlign w:val="center"/>
            <w:shd w:val="clear" w:color="auto" w:fill="FFFFFF"/>
          </w:tcPr>
          <w:p w14:paraId="34FF6818">
            <w:pPr>
              <w:spacing w:before="0" w:after="0" w:line="240" w:lineRule="auto"/>
              <w:jc w:val="center"/>
            </w:pPr>
            <w:r>
              <w:rPr>
                <w:rFonts w:ascii="Arial" w:hAnsi="Arial" w:eastAsia="Arial"/>
                <w:b w:val="0"/>
                <w:color w:val="000000"/>
                <w:sz w:val="16"/>
              </w:rPr>
              <w:t>0.888 (0.833-0.945)</w:t>
            </w:r>
          </w:p>
        </w:tc>
        <w:tc>
          <w:tcPr>
            <w:tcW w:w="850" w:type="dxa"/>
            <w:vAlign w:val="center"/>
            <w:shd w:val="clear" w:color="auto" w:fill="FFFFFF"/>
          </w:tcPr>
          <w:p w14:paraId="2E26EBB1">
            <w:pPr>
              <w:spacing w:before="0" w:after="0" w:line="240" w:lineRule="auto"/>
              <w:jc w:val="center"/>
            </w:pPr>
            <w:r>
              <w:rPr>
                <w:rFonts w:ascii="Arial" w:hAnsi="Arial" w:eastAsia="Arial"/>
                <w:b w:val="0"/>
                <w:color w:val="000000"/>
                <w:sz w:val="16"/>
              </w:rPr>
              <w:t>0.00</w:t>
            </w:r>
          </w:p>
        </w:tc>
        <w:tc>
          <w:tcPr>
            <w:tcW w:w="4535" w:type="dxa"/>
            <w:vAlign w:val="center"/>
            <w:shd w:val="clear" w:color="auto" w:fill="FFFFFF"/>
          </w:tcPr>
          <w:p w14:paraId="4BC656B7">
            <w:pPr>
              <w:spacing w:before="0" w:after="0" w:line="240" w:lineRule="auto"/>
              <w:jc w:val="left"/>
            </w:pPr>
            <w:r>
              <w:rPr>
                <w:rFonts w:ascii="Arial" w:hAnsi="Arial" w:eastAsia="Arial"/>
                <w:b w:val="0"/>
                <w:color w:val="000000"/>
                <w:sz w:val="16"/>
              </w:rPr>
              <w:t>No</w:t>
            </w:r>
          </w:p>
        </w:tc>
      </w:tr>
      <w:tr w14:paraId="63AF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3DE0E0D7">
            <w:pPr>
              <w:spacing w:before="0" w:after="0" w:line="240" w:lineRule="auto"/>
              <w:jc w:val="left"/>
            </w:pPr>
            <w:r>
              <w:rPr>
                <w:rFonts w:ascii="Arial" w:hAnsi="Arial" w:eastAsia="Arial"/>
                <w:b w:val="0"/>
                <w:color w:val="000000"/>
                <w:sz w:val="16"/>
              </w:rPr>
              <w:t>Hospitalization for heart failure</w:t>
            </w:r>
          </w:p>
        </w:tc>
        <w:tc>
          <w:tcPr>
            <w:tcW w:w="1701" w:type="dxa"/>
            <w:vAlign w:val="center"/>
            <w:shd w:val="clear" w:color="auto" w:fill="FFFFFF"/>
          </w:tcPr>
          <w:p w14:paraId="16FF882B">
            <w:pPr>
              <w:spacing w:before="0" w:after="0" w:line="240" w:lineRule="auto"/>
              <w:jc w:val="left"/>
            </w:pPr>
            <w:r>
              <w:rPr>
                <w:rFonts w:ascii="Arial" w:hAnsi="Arial" w:eastAsia="Arial"/>
                <w:b w:val="0"/>
                <w:color w:val="000000"/>
                <w:sz w:val="16"/>
              </w:rPr>
              <w:t>CKM stages 2–3</w:t>
            </w:r>
          </w:p>
        </w:tc>
        <w:tc>
          <w:tcPr>
            <w:tcW w:w="567" w:type="dxa"/>
            <w:vAlign w:val="center"/>
            <w:shd w:val="clear" w:color="auto" w:fill="FFFFFF"/>
          </w:tcPr>
          <w:p w14:paraId="6E20F071">
            <w:pPr>
              <w:spacing w:before="0" w:after="0" w:line="240" w:lineRule="auto"/>
              <w:jc w:val="center"/>
            </w:pPr>
            <w:r>
              <w:rPr>
                <w:rFonts w:ascii="Arial" w:hAnsi="Arial" w:eastAsia="Arial"/>
                <w:b w:val="0"/>
                <w:color w:val="000000"/>
                <w:sz w:val="16"/>
              </w:rPr>
              <w:t>4</w:t>
            </w:r>
          </w:p>
        </w:tc>
        <w:tc>
          <w:tcPr>
            <w:tcW w:w="2268" w:type="dxa"/>
            <w:vAlign w:val="center"/>
            <w:shd w:val="clear" w:color="auto" w:fill="FFFFFF"/>
          </w:tcPr>
          <w:p w14:paraId="036432AB">
            <w:pPr>
              <w:spacing w:before="0" w:after="0" w:line="240" w:lineRule="auto"/>
              <w:jc w:val="center"/>
            </w:pPr>
            <w:r>
              <w:rPr>
                <w:rFonts w:ascii="Arial" w:hAnsi="Arial" w:eastAsia="Arial"/>
                <w:b w:val="0"/>
                <w:color w:val="000000"/>
                <w:sz w:val="16"/>
              </w:rPr>
              <w:t>0.612 (0.484-0.774)</w:t>
            </w:r>
          </w:p>
        </w:tc>
        <w:tc>
          <w:tcPr>
            <w:tcW w:w="850" w:type="dxa"/>
            <w:vAlign w:val="center"/>
            <w:shd w:val="clear" w:color="auto" w:fill="FFFFFF"/>
          </w:tcPr>
          <w:p w14:paraId="48385526">
            <w:pPr>
              <w:spacing w:before="0" w:after="0" w:line="240" w:lineRule="auto"/>
              <w:jc w:val="center"/>
            </w:pPr>
            <w:r>
              <w:rPr>
                <w:rFonts w:ascii="Arial" w:hAnsi="Arial" w:eastAsia="Arial"/>
                <w:b w:val="0"/>
                <w:color w:val="000000"/>
                <w:sz w:val="16"/>
              </w:rPr>
              <w:t>0.00</w:t>
            </w:r>
          </w:p>
        </w:tc>
        <w:tc>
          <w:tcPr>
            <w:tcW w:w="2268" w:type="dxa"/>
            <w:vAlign w:val="center"/>
            <w:shd w:val="clear" w:color="auto" w:fill="FFFFFF"/>
          </w:tcPr>
          <w:p w14:paraId="6D7BACA8">
            <w:pPr>
              <w:spacing w:before="0" w:after="0" w:line="240" w:lineRule="auto"/>
              <w:jc w:val="center"/>
            </w:pPr>
            <w:r>
              <w:rPr>
                <w:rFonts w:ascii="Arial" w:hAnsi="Arial" w:eastAsia="Arial"/>
                <w:b w:val="0"/>
                <w:color w:val="000000"/>
                <w:sz w:val="16"/>
              </w:rPr>
              <w:t>0.612 (0.484-0.774)</w:t>
            </w:r>
          </w:p>
        </w:tc>
        <w:tc>
          <w:tcPr>
            <w:tcW w:w="850" w:type="dxa"/>
            <w:vAlign w:val="center"/>
            <w:shd w:val="clear" w:color="auto" w:fill="FFFFFF"/>
          </w:tcPr>
          <w:p w14:paraId="6E1ECE1C">
            <w:pPr>
              <w:spacing w:before="0" w:after="0" w:line="240" w:lineRule="auto"/>
              <w:jc w:val="center"/>
            </w:pPr>
            <w:r>
              <w:rPr>
                <w:rFonts w:ascii="Arial" w:hAnsi="Arial" w:eastAsia="Arial"/>
                <w:b w:val="0"/>
                <w:color w:val="000000"/>
                <w:sz w:val="16"/>
              </w:rPr>
              <w:t>0.00</w:t>
            </w:r>
          </w:p>
        </w:tc>
        <w:tc>
          <w:tcPr>
            <w:tcW w:w="4535" w:type="dxa"/>
            <w:vAlign w:val="center"/>
            <w:shd w:val="clear" w:color="auto" w:fill="FFFFFF"/>
          </w:tcPr>
          <w:p w14:paraId="12D7C6F9">
            <w:pPr>
              <w:spacing w:before="0" w:after="0" w:line="240" w:lineRule="auto"/>
              <w:jc w:val="left"/>
            </w:pPr>
            <w:r>
              <w:rPr>
                <w:rFonts w:ascii="Arial" w:hAnsi="Arial" w:eastAsia="Arial"/>
                <w:b w:val="0"/>
                <w:color w:val="000000"/>
                <w:sz w:val="16"/>
              </w:rPr>
              <w:t>No</w:t>
            </w:r>
          </w:p>
        </w:tc>
      </w:tr>
      <w:tr w14:paraId="15A9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473447E3">
            <w:pPr>
              <w:spacing w:before="0" w:after="0" w:line="240" w:lineRule="auto"/>
              <w:jc w:val="left"/>
            </w:pPr>
            <w:r>
              <w:rPr>
                <w:rFonts w:ascii="Arial" w:hAnsi="Arial" w:eastAsia="Arial"/>
                <w:b w:val="0"/>
                <w:color w:val="000000"/>
                <w:sz w:val="16"/>
              </w:rPr>
              <w:t>Hospitalization for heart failure</w:t>
            </w:r>
          </w:p>
        </w:tc>
        <w:tc>
          <w:tcPr>
            <w:tcW w:w="1701" w:type="dxa"/>
            <w:vAlign w:val="center"/>
            <w:shd w:val="clear" w:color="auto" w:fill="FFFFFF"/>
          </w:tcPr>
          <w:p w14:paraId="5FF96F64">
            <w:pPr>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4D21E0A0">
            <w:pPr>
              <w:spacing w:before="0" w:after="0" w:line="240" w:lineRule="auto"/>
              <w:jc w:val="center"/>
            </w:pPr>
            <w:r>
              <w:rPr>
                <w:rFonts w:ascii="Arial" w:hAnsi="Arial" w:eastAsia="Arial"/>
                <w:b w:val="0"/>
                <w:color w:val="000000"/>
                <w:sz w:val="16"/>
              </w:rPr>
              <w:t>10</w:t>
            </w:r>
          </w:p>
        </w:tc>
        <w:tc>
          <w:tcPr>
            <w:tcW w:w="2268" w:type="dxa"/>
            <w:vAlign w:val="center"/>
            <w:shd w:val="clear" w:color="auto" w:fill="FFFFFF"/>
          </w:tcPr>
          <w:p w14:paraId="0E6FA3AE">
            <w:pPr>
              <w:spacing w:before="0" w:after="0" w:line="240" w:lineRule="auto"/>
              <w:jc w:val="center"/>
            </w:pPr>
            <w:r>
              <w:rPr>
                <w:rFonts w:ascii="Arial" w:hAnsi="Arial" w:eastAsia="Arial"/>
                <w:b w:val="0"/>
                <w:color w:val="000000"/>
                <w:sz w:val="16"/>
              </w:rPr>
              <w:t>0.709 (0.664-0.756)</w:t>
            </w:r>
          </w:p>
        </w:tc>
        <w:tc>
          <w:tcPr>
            <w:tcW w:w="850" w:type="dxa"/>
            <w:vAlign w:val="center"/>
            <w:shd w:val="clear" w:color="auto" w:fill="FFFFFF"/>
          </w:tcPr>
          <w:p w14:paraId="2D320722">
            <w:pPr>
              <w:spacing w:before="0" w:after="0" w:line="240" w:lineRule="auto"/>
              <w:jc w:val="center"/>
            </w:pPr>
            <w:r>
              <w:rPr>
                <w:rFonts w:ascii="Arial" w:hAnsi="Arial" w:eastAsia="Arial"/>
                <w:b w:val="0"/>
                <w:color w:val="000000"/>
                <w:sz w:val="16"/>
              </w:rPr>
              <w:t>0.00</w:t>
            </w:r>
          </w:p>
        </w:tc>
        <w:tc>
          <w:tcPr>
            <w:tcW w:w="2268" w:type="dxa"/>
            <w:vAlign w:val="center"/>
            <w:shd w:val="clear" w:color="auto" w:fill="FFFFFF"/>
          </w:tcPr>
          <w:p w14:paraId="583852EF">
            <w:pPr>
              <w:spacing w:before="0" w:after="0" w:line="240" w:lineRule="auto"/>
              <w:jc w:val="center"/>
            </w:pPr>
            <w:r>
              <w:rPr>
                <w:rFonts w:ascii="Arial" w:hAnsi="Arial" w:eastAsia="Arial"/>
                <w:b w:val="0"/>
                <w:color w:val="000000"/>
                <w:sz w:val="16"/>
              </w:rPr>
              <w:t>0.709 (0.664-0.756)</w:t>
            </w:r>
          </w:p>
        </w:tc>
        <w:tc>
          <w:tcPr>
            <w:tcW w:w="850" w:type="dxa"/>
            <w:vAlign w:val="center"/>
            <w:shd w:val="clear" w:color="auto" w:fill="FFFFFF"/>
          </w:tcPr>
          <w:p w14:paraId="6843B4B2">
            <w:pPr>
              <w:spacing w:before="0" w:after="0" w:line="240" w:lineRule="auto"/>
              <w:jc w:val="center"/>
            </w:pPr>
            <w:r>
              <w:rPr>
                <w:rFonts w:ascii="Arial" w:hAnsi="Arial" w:eastAsia="Arial"/>
                <w:b w:val="0"/>
                <w:color w:val="000000"/>
                <w:sz w:val="16"/>
              </w:rPr>
              <w:t>0.00</w:t>
            </w:r>
          </w:p>
        </w:tc>
        <w:tc>
          <w:tcPr>
            <w:tcW w:w="4535" w:type="dxa"/>
            <w:vAlign w:val="center"/>
            <w:shd w:val="clear" w:color="auto" w:fill="FFFFFF"/>
          </w:tcPr>
          <w:p w14:paraId="5E3AFE25">
            <w:pPr>
              <w:spacing w:before="0" w:after="0" w:line="240" w:lineRule="auto"/>
              <w:jc w:val="left"/>
            </w:pPr>
            <w:r>
              <w:rPr>
                <w:rFonts w:ascii="Arial" w:hAnsi="Arial" w:eastAsia="Arial"/>
                <w:b w:val="0"/>
                <w:color w:val="000000"/>
                <w:sz w:val="16"/>
              </w:rPr>
              <w:t>No</w:t>
            </w:r>
          </w:p>
        </w:tc>
      </w:tr>
      <w:tr w14:paraId="0631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4DD0B391">
            <w:pPr>
              <w:spacing w:before="0" w:after="0" w:line="240" w:lineRule="auto"/>
              <w:jc w:val="left"/>
            </w:pPr>
            <w:r>
              <w:rPr>
                <w:rFonts w:ascii="Arial" w:hAnsi="Arial" w:eastAsia="Arial"/>
                <w:b w:val="0"/>
                <w:color w:val="000000"/>
                <w:sz w:val="16"/>
              </w:rPr>
              <w:t>Trial-defined kidney composite outcomes</w:t>
            </w:r>
          </w:p>
        </w:tc>
        <w:tc>
          <w:tcPr>
            <w:tcW w:w="1701" w:type="dxa"/>
            <w:vAlign w:val="center"/>
            <w:shd w:val="clear" w:color="auto" w:fill="FFFFFF"/>
          </w:tcPr>
          <w:p w14:paraId="25F51018">
            <w:pPr>
              <w:spacing w:before="0" w:after="0" w:line="240" w:lineRule="auto"/>
              <w:jc w:val="left"/>
            </w:pPr>
            <w:r>
              <w:rPr>
                <w:rFonts w:ascii="Arial" w:hAnsi="Arial" w:eastAsia="Arial"/>
                <w:b w:val="0"/>
                <w:color w:val="000000"/>
                <w:sz w:val="16"/>
              </w:rPr>
              <w:t>CKM stages 2–3</w:t>
            </w:r>
          </w:p>
        </w:tc>
        <w:tc>
          <w:tcPr>
            <w:tcW w:w="567" w:type="dxa"/>
            <w:vAlign w:val="center"/>
            <w:shd w:val="clear" w:color="auto" w:fill="FFFFFF"/>
          </w:tcPr>
          <w:p w14:paraId="5736C45E">
            <w:pPr>
              <w:spacing w:before="0" w:after="0" w:line="240" w:lineRule="auto"/>
              <w:jc w:val="center"/>
            </w:pPr>
            <w:r>
              <w:rPr>
                <w:rFonts w:ascii="Arial" w:hAnsi="Arial" w:eastAsia="Arial"/>
                <w:b w:val="0"/>
                <w:color w:val="000000"/>
                <w:sz w:val="16"/>
              </w:rPr>
              <w:t>4</w:t>
            </w:r>
          </w:p>
        </w:tc>
        <w:tc>
          <w:tcPr>
            <w:tcW w:w="2268" w:type="dxa"/>
            <w:vAlign w:val="center"/>
            <w:shd w:val="clear" w:color="auto" w:fill="FFFFFF"/>
          </w:tcPr>
          <w:p w14:paraId="4AE0CF5F">
            <w:pPr>
              <w:spacing w:before="0" w:after="0" w:line="240" w:lineRule="auto"/>
              <w:jc w:val="center"/>
            </w:pPr>
            <w:r>
              <w:rPr>
                <w:rFonts w:ascii="Arial" w:hAnsi="Arial" w:eastAsia="Arial"/>
                <w:b w:val="0"/>
                <w:color w:val="000000"/>
                <w:sz w:val="16"/>
              </w:rPr>
              <w:t>0.606 (0.519-0.706)</w:t>
            </w:r>
          </w:p>
        </w:tc>
        <w:tc>
          <w:tcPr>
            <w:tcW w:w="850" w:type="dxa"/>
            <w:vAlign w:val="center"/>
            <w:shd w:val="clear" w:color="auto" w:fill="FFFFFF"/>
          </w:tcPr>
          <w:p w14:paraId="7609D310">
            <w:pPr>
              <w:spacing w:before="0" w:after="0" w:line="240" w:lineRule="auto"/>
              <w:jc w:val="center"/>
            </w:pPr>
            <w:r>
              <w:rPr>
                <w:rFonts w:ascii="Arial" w:hAnsi="Arial" w:eastAsia="Arial"/>
                <w:b w:val="0"/>
                <w:color w:val="000000"/>
                <w:sz w:val="16"/>
              </w:rPr>
              <w:t>0.00</w:t>
            </w:r>
          </w:p>
        </w:tc>
        <w:tc>
          <w:tcPr>
            <w:tcW w:w="2268" w:type="dxa"/>
            <w:vAlign w:val="center"/>
            <w:shd w:val="clear" w:color="auto" w:fill="FFFFFF"/>
          </w:tcPr>
          <w:p w14:paraId="33E96AA1">
            <w:pPr>
              <w:spacing w:before="0" w:after="0" w:line="240" w:lineRule="auto"/>
              <w:jc w:val="center"/>
            </w:pPr>
            <w:r>
              <w:rPr>
                <w:rFonts w:ascii="Arial" w:hAnsi="Arial" w:eastAsia="Arial"/>
                <w:b w:val="0"/>
                <w:color w:val="000000"/>
                <w:sz w:val="16"/>
              </w:rPr>
              <w:t>0.606 (0.519-0.706)</w:t>
            </w:r>
          </w:p>
        </w:tc>
        <w:tc>
          <w:tcPr>
            <w:tcW w:w="850" w:type="dxa"/>
            <w:vAlign w:val="center"/>
            <w:shd w:val="clear" w:color="auto" w:fill="FFFFFF"/>
          </w:tcPr>
          <w:p w14:paraId="55655E3C">
            <w:pPr>
              <w:spacing w:before="0" w:after="0" w:line="240" w:lineRule="auto"/>
              <w:jc w:val="center"/>
            </w:pPr>
            <w:r>
              <w:rPr>
                <w:rFonts w:ascii="Arial" w:hAnsi="Arial" w:eastAsia="Arial"/>
                <w:b w:val="0"/>
                <w:color w:val="000000"/>
                <w:sz w:val="16"/>
              </w:rPr>
              <w:t>0.00</w:t>
            </w:r>
          </w:p>
        </w:tc>
        <w:tc>
          <w:tcPr>
            <w:tcW w:w="4535" w:type="dxa"/>
            <w:vAlign w:val="center"/>
            <w:shd w:val="clear" w:color="auto" w:fill="FFFFFF"/>
          </w:tcPr>
          <w:p w14:paraId="137C64FB">
            <w:pPr>
              <w:spacing w:before="0" w:after="0" w:line="240" w:lineRule="auto"/>
              <w:jc w:val="left"/>
            </w:pPr>
            <w:r>
              <w:rPr>
                <w:rFonts w:ascii="Arial" w:hAnsi="Arial" w:eastAsia="Arial"/>
                <w:b w:val="0"/>
                <w:color w:val="000000"/>
                <w:sz w:val="16"/>
              </w:rPr>
              <w:t>No</w:t>
            </w:r>
          </w:p>
        </w:tc>
      </w:tr>
      <w:tr w14:paraId="2D01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646152ED">
            <w:pPr>
              <w:spacing w:before="0" w:after="0" w:line="240" w:lineRule="auto"/>
              <w:jc w:val="left"/>
            </w:pPr>
            <w:r>
              <w:rPr>
                <w:rFonts w:ascii="Arial" w:hAnsi="Arial" w:eastAsia="Arial"/>
                <w:b w:val="0"/>
                <w:color w:val="000000"/>
                <w:sz w:val="16"/>
              </w:rPr>
              <w:t>Trial-defined kidney composite outcomes</w:t>
            </w:r>
          </w:p>
        </w:tc>
        <w:tc>
          <w:tcPr>
            <w:tcW w:w="1701" w:type="dxa"/>
            <w:vAlign w:val="center"/>
            <w:shd w:val="clear" w:color="auto" w:fill="FFFFFF"/>
          </w:tcPr>
          <w:p w14:paraId="5774A7D5">
            <w:pPr>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7140FA02">
            <w:pPr>
              <w:spacing w:before="0" w:after="0" w:line="240" w:lineRule="auto"/>
              <w:jc w:val="center"/>
            </w:pPr>
            <w:r>
              <w:rPr>
                <w:rFonts w:ascii="Arial" w:hAnsi="Arial" w:eastAsia="Arial"/>
                <w:b w:val="0"/>
                <w:color w:val="000000"/>
                <w:sz w:val="16"/>
              </w:rPr>
              <w:t>9</w:t>
            </w:r>
          </w:p>
        </w:tc>
        <w:tc>
          <w:tcPr>
            <w:tcW w:w="2268" w:type="dxa"/>
            <w:vAlign w:val="center"/>
            <w:shd w:val="clear" w:color="auto" w:fill="FFFFFF"/>
          </w:tcPr>
          <w:p w14:paraId="77B5C95A">
            <w:pPr>
              <w:spacing w:before="0" w:after="0" w:line="240" w:lineRule="auto"/>
              <w:jc w:val="center"/>
            </w:pPr>
            <w:r>
              <w:rPr>
                <w:rFonts w:ascii="Arial" w:hAnsi="Arial" w:eastAsia="Arial"/>
                <w:b w:val="0"/>
                <w:color w:val="000000"/>
                <w:sz w:val="16"/>
              </w:rPr>
              <w:t>0.638 (0.544-0.748)</w:t>
            </w:r>
          </w:p>
        </w:tc>
        <w:tc>
          <w:tcPr>
            <w:tcW w:w="850" w:type="dxa"/>
            <w:vAlign w:val="center"/>
            <w:shd w:val="clear" w:color="auto" w:fill="FFFFFF"/>
          </w:tcPr>
          <w:p w14:paraId="77C49325">
            <w:pPr>
              <w:spacing w:before="0" w:after="0" w:line="240" w:lineRule="auto"/>
              <w:jc w:val="center"/>
            </w:pPr>
            <w:r>
              <w:rPr>
                <w:rFonts w:ascii="Arial" w:hAnsi="Arial" w:eastAsia="Arial"/>
                <w:b w:val="0"/>
                <w:color w:val="000000"/>
                <w:sz w:val="16"/>
              </w:rPr>
              <w:t>54.53</w:t>
            </w:r>
          </w:p>
        </w:tc>
        <w:tc>
          <w:tcPr>
            <w:tcW w:w="2268" w:type="dxa"/>
            <w:vAlign w:val="center"/>
            <w:shd w:val="clear" w:color="auto" w:fill="FFFFFF"/>
          </w:tcPr>
          <w:p w14:paraId="03510A2C">
            <w:pPr>
              <w:spacing w:before="0" w:after="0" w:line="240" w:lineRule="auto"/>
              <w:jc w:val="center"/>
            </w:pPr>
            <w:r>
              <w:rPr>
                <w:rFonts w:ascii="Arial" w:hAnsi="Arial" w:eastAsia="Arial"/>
                <w:b w:val="0"/>
                <w:color w:val="000000"/>
                <w:sz w:val="16"/>
              </w:rPr>
              <w:t>0.655 (0.590-0.727)</w:t>
            </w:r>
          </w:p>
        </w:tc>
        <w:tc>
          <w:tcPr>
            <w:tcW w:w="850" w:type="dxa"/>
            <w:vAlign w:val="center"/>
            <w:shd w:val="clear" w:color="auto" w:fill="FFFFFF"/>
          </w:tcPr>
          <w:p w14:paraId="7D59D744">
            <w:pPr>
              <w:spacing w:before="0" w:after="0" w:line="240" w:lineRule="auto"/>
              <w:jc w:val="center"/>
            </w:pPr>
            <w:r>
              <w:rPr>
                <w:rFonts w:ascii="Arial" w:hAnsi="Arial" w:eastAsia="Arial"/>
                <w:b w:val="0"/>
                <w:color w:val="000000"/>
                <w:sz w:val="16"/>
              </w:rPr>
              <w:t>54.85</w:t>
            </w:r>
          </w:p>
        </w:tc>
        <w:tc>
          <w:tcPr>
            <w:tcW w:w="4535" w:type="dxa"/>
            <w:vAlign w:val="center"/>
            <w:shd w:val="clear" w:color="auto" w:fill="FFFFFF"/>
          </w:tcPr>
          <w:p w14:paraId="10BDC25F">
            <w:pPr>
              <w:spacing w:before="0" w:after="0" w:line="240" w:lineRule="auto"/>
              <w:jc w:val="left"/>
            </w:pPr>
            <w:r>
              <w:rPr>
                <w:rFonts w:ascii="Arial" w:hAnsi="Arial" w:eastAsia="Arial"/>
                <w:b w:val="0"/>
                <w:color w:val="000000"/>
                <w:sz w:val="16"/>
              </w:rPr>
              <w:t>No; REML yielded a wider CI in the presence of moderate heterogeneity</w:t>
            </w:r>
          </w:p>
        </w:tc>
      </w:tr>
      <w:tr w14:paraId="4633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0E39A487">
            <w:pPr>
              <w:spacing w:before="0" w:after="0" w:line="240" w:lineRule="auto"/>
              <w:jc w:val="left"/>
            </w:pPr>
            <w:r>
              <w:rPr>
                <w:rFonts w:ascii="Arial" w:hAnsi="Arial" w:eastAsia="Arial"/>
                <w:b w:val="0"/>
                <w:color w:val="000000"/>
                <w:sz w:val="16"/>
              </w:rPr>
              <w:t>All-cause mortality</w:t>
            </w:r>
          </w:p>
        </w:tc>
        <w:tc>
          <w:tcPr>
            <w:tcW w:w="1701" w:type="dxa"/>
            <w:vAlign w:val="center"/>
            <w:shd w:val="clear" w:color="auto" w:fill="FFFFFF"/>
          </w:tcPr>
          <w:p w14:paraId="10173A19">
            <w:pPr>
              <w:spacing w:before="0" w:after="0" w:line="240" w:lineRule="auto"/>
              <w:jc w:val="left"/>
            </w:pPr>
            <w:r>
              <w:rPr>
                <w:rFonts w:ascii="Arial" w:hAnsi="Arial" w:eastAsia="Arial"/>
                <w:b w:val="0"/>
                <w:color w:val="000000"/>
                <w:sz w:val="16"/>
              </w:rPr>
              <w:t>CKM stages 2–3</w:t>
            </w:r>
          </w:p>
        </w:tc>
        <w:tc>
          <w:tcPr>
            <w:tcW w:w="567" w:type="dxa"/>
            <w:vAlign w:val="center"/>
            <w:shd w:val="clear" w:color="auto" w:fill="FFFFFF"/>
          </w:tcPr>
          <w:p w14:paraId="55AE6957">
            <w:pPr>
              <w:spacing w:before="0" w:after="0" w:line="240" w:lineRule="auto"/>
              <w:jc w:val="center"/>
            </w:pPr>
            <w:r>
              <w:rPr>
                <w:rFonts w:ascii="Arial" w:hAnsi="Arial" w:eastAsia="Arial"/>
                <w:b w:val="0"/>
                <w:color w:val="000000"/>
                <w:sz w:val="16"/>
              </w:rPr>
              <w:t>4</w:t>
            </w:r>
          </w:p>
        </w:tc>
        <w:tc>
          <w:tcPr>
            <w:tcW w:w="2268" w:type="dxa"/>
            <w:vAlign w:val="center"/>
            <w:shd w:val="clear" w:color="auto" w:fill="FFFFFF"/>
          </w:tcPr>
          <w:p w14:paraId="7F3917F7">
            <w:pPr>
              <w:spacing w:before="0" w:after="0" w:line="240" w:lineRule="auto"/>
              <w:jc w:val="center"/>
            </w:pPr>
            <w:r>
              <w:rPr>
                <w:rFonts w:ascii="Arial" w:hAnsi="Arial" w:eastAsia="Arial"/>
                <w:b w:val="0"/>
                <w:color w:val="000000"/>
                <w:sz w:val="16"/>
              </w:rPr>
              <w:t>0.861 (0.745-0.996)</w:t>
            </w:r>
          </w:p>
        </w:tc>
        <w:tc>
          <w:tcPr>
            <w:tcW w:w="850" w:type="dxa"/>
            <w:vAlign w:val="center"/>
            <w:shd w:val="clear" w:color="auto" w:fill="FFFFFF"/>
          </w:tcPr>
          <w:p w14:paraId="2E1C4BA9">
            <w:pPr>
              <w:spacing w:before="0" w:after="0" w:line="240" w:lineRule="auto"/>
              <w:jc w:val="center"/>
            </w:pPr>
            <w:r>
              <w:rPr>
                <w:rFonts w:ascii="Arial" w:hAnsi="Arial" w:eastAsia="Arial"/>
                <w:b w:val="0"/>
                <w:color w:val="000000"/>
                <w:sz w:val="16"/>
              </w:rPr>
              <w:t>8.06</w:t>
            </w:r>
          </w:p>
        </w:tc>
        <w:tc>
          <w:tcPr>
            <w:tcW w:w="2268" w:type="dxa"/>
            <w:vAlign w:val="center"/>
            <w:shd w:val="clear" w:color="auto" w:fill="FFFFFF"/>
          </w:tcPr>
          <w:p w14:paraId="660926DE">
            <w:pPr>
              <w:spacing w:before="0" w:after="0" w:line="240" w:lineRule="auto"/>
              <w:jc w:val="center"/>
            </w:pPr>
            <w:r>
              <w:rPr>
                <w:rFonts w:ascii="Arial" w:hAnsi="Arial" w:eastAsia="Arial"/>
                <w:b w:val="0"/>
                <w:color w:val="000000"/>
                <w:sz w:val="16"/>
              </w:rPr>
              <w:t>0.867 (0.758-0.993)</w:t>
            </w:r>
          </w:p>
        </w:tc>
        <w:tc>
          <w:tcPr>
            <w:tcW w:w="850" w:type="dxa"/>
            <w:vAlign w:val="center"/>
            <w:shd w:val="clear" w:color="auto" w:fill="FFFFFF"/>
          </w:tcPr>
          <w:p w14:paraId="5CCE2AAB">
            <w:pPr>
              <w:spacing w:before="0" w:after="0" w:line="240" w:lineRule="auto"/>
              <w:jc w:val="center"/>
            </w:pPr>
            <w:r>
              <w:rPr>
                <w:rFonts w:ascii="Arial" w:hAnsi="Arial" w:eastAsia="Arial"/>
                <w:b w:val="0"/>
                <w:color w:val="000000"/>
                <w:sz w:val="16"/>
              </w:rPr>
              <w:t>6.46</w:t>
            </w:r>
          </w:p>
        </w:tc>
        <w:tc>
          <w:tcPr>
            <w:tcW w:w="4535" w:type="dxa"/>
            <w:vAlign w:val="center"/>
            <w:shd w:val="clear" w:color="auto" w:fill="FFFFFF"/>
          </w:tcPr>
          <w:p w14:paraId="118C5659">
            <w:pPr>
              <w:spacing w:before="0" w:after="0" w:line="240" w:lineRule="auto"/>
              <w:jc w:val="left"/>
            </w:pPr>
            <w:r>
              <w:rPr>
                <w:rFonts w:ascii="Arial" w:hAnsi="Arial" w:eastAsia="Arial"/>
                <w:b w:val="0"/>
                <w:color w:val="000000"/>
                <w:sz w:val="16"/>
              </w:rPr>
              <w:t>No; estimate remained borderline and relatively imprecise</w:t>
            </w:r>
          </w:p>
        </w:tc>
      </w:tr>
      <w:tr w14:paraId="3C9D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110EC56F">
            <w:pPr>
              <w:spacing w:before="0" w:after="0" w:line="240" w:lineRule="auto"/>
              <w:jc w:val="left"/>
            </w:pPr>
            <w:r>
              <w:rPr>
                <w:rFonts w:ascii="Arial" w:hAnsi="Arial" w:eastAsia="Arial"/>
                <w:b w:val="0"/>
                <w:color w:val="000000"/>
                <w:sz w:val="16"/>
              </w:rPr>
              <w:t>All-cause mortality</w:t>
            </w:r>
          </w:p>
        </w:tc>
        <w:tc>
          <w:tcPr>
            <w:tcW w:w="1701" w:type="dxa"/>
            <w:vAlign w:val="center"/>
            <w:shd w:val="clear" w:color="auto" w:fill="FFFFFF"/>
          </w:tcPr>
          <w:p w14:paraId="7AA308A1">
            <w:pPr>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30BA8410">
            <w:pPr>
              <w:spacing w:before="0" w:after="0" w:line="240" w:lineRule="auto"/>
              <w:jc w:val="center"/>
            </w:pPr>
            <w:r>
              <w:rPr>
                <w:rFonts w:ascii="Arial" w:hAnsi="Arial" w:eastAsia="Arial"/>
                <w:b w:val="0"/>
                <w:color w:val="000000"/>
                <w:sz w:val="16"/>
              </w:rPr>
              <w:t>11</w:t>
            </w:r>
          </w:p>
        </w:tc>
        <w:tc>
          <w:tcPr>
            <w:tcW w:w="2268" w:type="dxa"/>
            <w:vAlign w:val="center"/>
            <w:shd w:val="clear" w:color="auto" w:fill="FFFFFF"/>
          </w:tcPr>
          <w:p w14:paraId="151AA17C">
            <w:pPr>
              <w:spacing w:before="0" w:after="0" w:line="240" w:lineRule="auto"/>
              <w:jc w:val="center"/>
            </w:pPr>
            <w:r>
              <w:rPr>
                <w:rFonts w:ascii="Arial" w:hAnsi="Arial" w:eastAsia="Arial"/>
                <w:b w:val="0"/>
                <w:color w:val="000000"/>
                <w:sz w:val="16"/>
              </w:rPr>
              <w:t>0.873 (0.814-0.937)</w:t>
            </w:r>
          </w:p>
        </w:tc>
        <w:tc>
          <w:tcPr>
            <w:tcW w:w="850" w:type="dxa"/>
            <w:vAlign w:val="center"/>
            <w:shd w:val="clear" w:color="auto" w:fill="FFFFFF"/>
          </w:tcPr>
          <w:p w14:paraId="4A32EF9C">
            <w:pPr>
              <w:spacing w:before="0" w:after="0" w:line="240" w:lineRule="auto"/>
              <w:jc w:val="center"/>
            </w:pPr>
            <w:r>
              <w:rPr>
                <w:rFonts w:ascii="Arial" w:hAnsi="Arial" w:eastAsia="Arial"/>
                <w:b w:val="0"/>
                <w:color w:val="000000"/>
                <w:sz w:val="16"/>
              </w:rPr>
              <w:t>40.62</w:t>
            </w:r>
          </w:p>
        </w:tc>
        <w:tc>
          <w:tcPr>
            <w:tcW w:w="2268" w:type="dxa"/>
            <w:vAlign w:val="center"/>
            <w:shd w:val="clear" w:color="auto" w:fill="FFFFFF"/>
          </w:tcPr>
          <w:p w14:paraId="35252B4C">
            <w:pPr>
              <w:spacing w:before="0" w:after="0" w:line="240" w:lineRule="auto"/>
              <w:jc w:val="center"/>
            </w:pPr>
            <w:r>
              <w:rPr>
                <w:rFonts w:ascii="Arial" w:hAnsi="Arial" w:eastAsia="Arial"/>
                <w:b w:val="0"/>
                <w:color w:val="000000"/>
                <w:sz w:val="16"/>
              </w:rPr>
              <w:t>0.884 (0.839-0.932)</w:t>
            </w:r>
          </w:p>
        </w:tc>
        <w:tc>
          <w:tcPr>
            <w:tcW w:w="850" w:type="dxa"/>
            <w:vAlign w:val="center"/>
            <w:shd w:val="clear" w:color="auto" w:fill="FFFFFF"/>
          </w:tcPr>
          <w:p w14:paraId="6FE51767">
            <w:pPr>
              <w:spacing w:before="0" w:after="0" w:line="240" w:lineRule="auto"/>
              <w:jc w:val="center"/>
            </w:pPr>
            <w:r>
              <w:rPr>
                <w:rFonts w:ascii="Arial" w:hAnsi="Arial" w:eastAsia="Arial"/>
                <w:b w:val="0"/>
                <w:color w:val="000000"/>
                <w:sz w:val="16"/>
              </w:rPr>
              <w:t>39.43</w:t>
            </w:r>
          </w:p>
        </w:tc>
        <w:tc>
          <w:tcPr>
            <w:tcW w:w="4535" w:type="dxa"/>
            <w:vAlign w:val="center"/>
            <w:shd w:val="clear" w:color="auto" w:fill="FFFFFF"/>
          </w:tcPr>
          <w:p w14:paraId="5917AFB1">
            <w:pPr>
              <w:spacing w:before="0" w:after="0" w:line="240" w:lineRule="auto"/>
              <w:jc w:val="left"/>
            </w:pPr>
            <w:r>
              <w:rPr>
                <w:rFonts w:ascii="Arial" w:hAnsi="Arial" w:eastAsia="Arial"/>
                <w:b w:val="0"/>
                <w:color w:val="000000"/>
                <w:sz w:val="16"/>
              </w:rPr>
              <w:t>No</w:t>
            </w:r>
          </w:p>
        </w:tc>
      </w:tr>
      <w:tr w14:paraId="7DE0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68808233">
            <w:pPr>
              <w:spacing w:before="0" w:after="0" w:line="240" w:lineRule="auto"/>
              <w:jc w:val="left"/>
            </w:pPr>
            <w:r>
              <w:rPr>
                <w:rFonts w:ascii="Arial" w:hAnsi="Arial" w:eastAsia="Arial"/>
                <w:b w:val="0"/>
                <w:color w:val="000000"/>
                <w:sz w:val="16"/>
              </w:rPr>
              <w:t>Cardiovascular death</w:t>
            </w:r>
          </w:p>
        </w:tc>
        <w:tc>
          <w:tcPr>
            <w:tcW w:w="1701" w:type="dxa"/>
            <w:vAlign w:val="center"/>
            <w:shd w:val="clear" w:color="auto" w:fill="FFFFFF"/>
          </w:tcPr>
          <w:p w14:paraId="79BBC823">
            <w:pPr>
              <w:spacing w:before="0" w:after="0" w:line="240" w:lineRule="auto"/>
              <w:jc w:val="left"/>
            </w:pPr>
            <w:r>
              <w:rPr>
                <w:rFonts w:ascii="Arial" w:hAnsi="Arial" w:eastAsia="Arial"/>
                <w:b w:val="0"/>
                <w:color w:val="000000"/>
                <w:sz w:val="16"/>
              </w:rPr>
              <w:t>CKM stages 2–3</w:t>
            </w:r>
          </w:p>
        </w:tc>
        <w:tc>
          <w:tcPr>
            <w:tcW w:w="567" w:type="dxa"/>
            <w:vAlign w:val="center"/>
            <w:shd w:val="clear" w:color="auto" w:fill="FFFFFF"/>
          </w:tcPr>
          <w:p w14:paraId="4048DCC7">
            <w:pPr>
              <w:spacing w:before="0" w:after="0" w:line="240" w:lineRule="auto"/>
              <w:jc w:val="center"/>
            </w:pPr>
            <w:r>
              <w:rPr>
                <w:rFonts w:ascii="Arial" w:hAnsi="Arial" w:eastAsia="Arial"/>
                <w:b w:val="0"/>
                <w:color w:val="000000"/>
                <w:sz w:val="16"/>
              </w:rPr>
              <w:t>4</w:t>
            </w:r>
          </w:p>
        </w:tc>
        <w:tc>
          <w:tcPr>
            <w:tcW w:w="2268" w:type="dxa"/>
            <w:vAlign w:val="center"/>
            <w:shd w:val="clear" w:color="auto" w:fill="FFFFFF"/>
          </w:tcPr>
          <w:p w14:paraId="79A84363">
            <w:pPr>
              <w:spacing w:before="0" w:after="0" w:line="240" w:lineRule="auto"/>
              <w:jc w:val="center"/>
            </w:pPr>
            <w:r>
              <w:rPr>
                <w:rFonts w:ascii="Arial" w:hAnsi="Arial" w:eastAsia="Arial"/>
                <w:b w:val="0"/>
                <w:color w:val="000000"/>
                <w:sz w:val="16"/>
              </w:rPr>
              <w:t>0.936 (0.766-1.144)</w:t>
            </w:r>
          </w:p>
        </w:tc>
        <w:tc>
          <w:tcPr>
            <w:tcW w:w="850" w:type="dxa"/>
            <w:vAlign w:val="center"/>
            <w:shd w:val="clear" w:color="auto" w:fill="FFFFFF"/>
          </w:tcPr>
          <w:p w14:paraId="60B47220">
            <w:pPr>
              <w:spacing w:before="0" w:after="0" w:line="240" w:lineRule="auto"/>
              <w:jc w:val="center"/>
            </w:pPr>
            <w:r>
              <w:rPr>
                <w:rFonts w:ascii="Arial" w:hAnsi="Arial" w:eastAsia="Arial"/>
                <w:b w:val="0"/>
                <w:color w:val="000000"/>
                <w:sz w:val="16"/>
              </w:rPr>
              <w:t>0.00</w:t>
            </w:r>
          </w:p>
        </w:tc>
        <w:tc>
          <w:tcPr>
            <w:tcW w:w="2268" w:type="dxa"/>
            <w:vAlign w:val="center"/>
            <w:shd w:val="clear" w:color="auto" w:fill="FFFFFF"/>
          </w:tcPr>
          <w:p w14:paraId="6FC9E536">
            <w:pPr>
              <w:spacing w:before="0" w:after="0" w:line="240" w:lineRule="auto"/>
              <w:jc w:val="center"/>
            </w:pPr>
            <w:r>
              <w:rPr>
                <w:rFonts w:ascii="Arial" w:hAnsi="Arial" w:eastAsia="Arial"/>
                <w:b w:val="0"/>
                <w:color w:val="000000"/>
                <w:sz w:val="16"/>
              </w:rPr>
              <w:t>0.936 (0.766-1.144)</w:t>
            </w:r>
          </w:p>
        </w:tc>
        <w:tc>
          <w:tcPr>
            <w:tcW w:w="850" w:type="dxa"/>
            <w:vAlign w:val="center"/>
            <w:shd w:val="clear" w:color="auto" w:fill="FFFFFF"/>
          </w:tcPr>
          <w:p w14:paraId="2162EB22">
            <w:pPr>
              <w:spacing w:before="0" w:after="0" w:line="240" w:lineRule="auto"/>
              <w:jc w:val="center"/>
            </w:pPr>
            <w:r>
              <w:rPr>
                <w:rFonts w:ascii="Arial" w:hAnsi="Arial" w:eastAsia="Arial"/>
                <w:b w:val="0"/>
                <w:color w:val="000000"/>
                <w:sz w:val="16"/>
              </w:rPr>
              <w:t>0.00</w:t>
            </w:r>
          </w:p>
        </w:tc>
        <w:tc>
          <w:tcPr>
            <w:tcW w:w="4535" w:type="dxa"/>
            <w:vAlign w:val="center"/>
            <w:shd w:val="clear" w:color="auto" w:fill="FFFFFF"/>
          </w:tcPr>
          <w:p w14:paraId="508E0AFC">
            <w:pPr>
              <w:spacing w:before="0" w:after="0" w:line="240" w:lineRule="auto"/>
              <w:jc w:val="left"/>
            </w:pPr>
            <w:r>
              <w:rPr>
                <w:rFonts w:ascii="Arial" w:hAnsi="Arial" w:eastAsia="Arial"/>
                <w:b w:val="0"/>
                <w:color w:val="000000"/>
                <w:sz w:val="16"/>
              </w:rPr>
              <w:t>No</w:t>
            </w:r>
          </w:p>
        </w:tc>
      </w:tr>
      <w:tr w14:paraId="563B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shd w:val="clear" w:color="auto" w:fill="FFFFFF"/>
          </w:tcPr>
          <w:p w14:paraId="4A2254A0">
            <w:pPr>
              <w:spacing w:before="0" w:after="0" w:line="240" w:lineRule="auto"/>
              <w:jc w:val="left"/>
            </w:pPr>
            <w:r>
              <w:rPr>
                <w:rFonts w:ascii="Arial" w:hAnsi="Arial" w:eastAsia="Arial"/>
                <w:b w:val="0"/>
                <w:color w:val="000000"/>
                <w:sz w:val="16"/>
              </w:rPr>
              <w:t>Cardiovascular death</w:t>
            </w:r>
          </w:p>
        </w:tc>
        <w:tc>
          <w:tcPr>
            <w:tcW w:w="1701" w:type="dxa"/>
            <w:vAlign w:val="center"/>
            <w:shd w:val="clear" w:color="auto" w:fill="FFFFFF"/>
          </w:tcPr>
          <w:p w14:paraId="25D10B1D">
            <w:pPr>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00E505EE">
            <w:pPr>
              <w:spacing w:before="0" w:after="0" w:line="240" w:lineRule="auto"/>
              <w:jc w:val="center"/>
            </w:pPr>
            <w:r>
              <w:rPr>
                <w:rFonts w:ascii="Arial" w:hAnsi="Arial" w:eastAsia="Arial"/>
                <w:b w:val="0"/>
                <w:color w:val="000000"/>
                <w:sz w:val="16"/>
              </w:rPr>
              <w:t>11</w:t>
            </w:r>
          </w:p>
        </w:tc>
        <w:tc>
          <w:tcPr>
            <w:tcW w:w="2268" w:type="dxa"/>
            <w:vAlign w:val="center"/>
            <w:shd w:val="clear" w:color="auto" w:fill="FFFFFF"/>
          </w:tcPr>
          <w:p w14:paraId="6F2014D4">
            <w:pPr>
              <w:spacing w:before="0" w:after="0" w:line="240" w:lineRule="auto"/>
              <w:jc w:val="center"/>
            </w:pPr>
            <w:r>
              <w:rPr>
                <w:rFonts w:ascii="Arial" w:hAnsi="Arial" w:eastAsia="Arial"/>
                <w:b w:val="0"/>
                <w:color w:val="000000"/>
                <w:sz w:val="16"/>
              </w:rPr>
              <w:t>0.853 (0.797-0.913)</w:t>
            </w:r>
          </w:p>
        </w:tc>
        <w:tc>
          <w:tcPr>
            <w:tcW w:w="850" w:type="dxa"/>
            <w:vAlign w:val="center"/>
            <w:shd w:val="clear" w:color="auto" w:fill="FFFFFF"/>
          </w:tcPr>
          <w:p w14:paraId="3884CD65">
            <w:pPr>
              <w:spacing w:before="0" w:after="0" w:line="240" w:lineRule="auto"/>
              <w:jc w:val="center"/>
            </w:pPr>
            <w:r>
              <w:rPr>
                <w:rFonts w:ascii="Arial" w:hAnsi="Arial" w:eastAsia="Arial"/>
                <w:b w:val="0"/>
                <w:color w:val="000000"/>
                <w:sz w:val="16"/>
              </w:rPr>
              <w:t>7.79</w:t>
            </w:r>
          </w:p>
        </w:tc>
        <w:tc>
          <w:tcPr>
            <w:tcW w:w="2268" w:type="dxa"/>
            <w:vAlign w:val="center"/>
            <w:shd w:val="clear" w:color="auto" w:fill="FFFFFF"/>
          </w:tcPr>
          <w:p w14:paraId="7A750E21">
            <w:pPr>
              <w:spacing w:before="0" w:after="0" w:line="240" w:lineRule="auto"/>
              <w:jc w:val="center"/>
            </w:pPr>
            <w:r>
              <w:rPr>
                <w:rFonts w:ascii="Arial" w:hAnsi="Arial" w:eastAsia="Arial"/>
                <w:b w:val="0"/>
                <w:color w:val="000000"/>
                <w:sz w:val="16"/>
              </w:rPr>
              <w:t>0.854 (0.800-0.911)</w:t>
            </w:r>
          </w:p>
        </w:tc>
        <w:tc>
          <w:tcPr>
            <w:tcW w:w="850" w:type="dxa"/>
            <w:vAlign w:val="center"/>
            <w:shd w:val="clear" w:color="auto" w:fill="FFFFFF"/>
          </w:tcPr>
          <w:p w14:paraId="2916CECF">
            <w:pPr>
              <w:spacing w:before="0" w:after="0" w:line="240" w:lineRule="auto"/>
              <w:jc w:val="center"/>
            </w:pPr>
            <w:r>
              <w:rPr>
                <w:rFonts w:ascii="Arial" w:hAnsi="Arial" w:eastAsia="Arial"/>
                <w:b w:val="0"/>
                <w:color w:val="000000"/>
                <w:sz w:val="16"/>
              </w:rPr>
              <w:t>8.54</w:t>
            </w:r>
          </w:p>
        </w:tc>
        <w:tc>
          <w:tcPr>
            <w:tcW w:w="4535" w:type="dxa"/>
            <w:vAlign w:val="center"/>
            <w:shd w:val="clear" w:color="auto" w:fill="FFFFFF"/>
          </w:tcPr>
          <w:p w14:paraId="1B3CA4BA">
            <w:pPr>
              <w:spacing w:before="0" w:after="0" w:line="240" w:lineRule="auto"/>
              <w:jc w:val="left"/>
            </w:pPr>
            <w:r>
              <w:rPr>
                <w:rFonts w:ascii="Arial" w:hAnsi="Arial" w:eastAsia="Arial"/>
                <w:b w:val="0"/>
                <w:color w:val="000000"/>
                <w:sz w:val="16"/>
              </w:rPr>
              <w:t>No</w:t>
            </w:r>
          </w:p>
        </w:tc>
      </w:tr>
    </w:tbl>
    <w:p w14:paraId="5116B657">
      <w:pPr>
        <w:spacing w:after="80"/>
      </w:pPr>
      <w:r>
        <w:rPr>
          <w:rFonts w:ascii="Arial" w:hAnsi="Arial" w:eastAsia="Arial"/>
          <w:i/>
          <w:sz w:val="16"/>
          <w:color w:val="000000"/>
        </w:rPr>
        <w:t>The REML random-effects model was the main synthesis model for each outcome; fixed-effect inverse-variance models were used as model-specification sensitivity analyses.</w:t>
      </w:r>
    </w:p>
    <w:p w14:paraId="1FE51A6F">
      <w:pPr>
        <w:pStyle w:val="3"/>
        <w:spacing w:before="160" w:after="80"/>
      </w:pPr>
      <w:r>
        <w:rPr>
          <w:rFonts w:ascii="Arial" w:hAnsi="Arial" w:eastAsia="Arial"/>
          <w:color w:val="000000"/>
        </w:rPr>
        <w:t>Supplementary Table S7. Sensitivity analyses excluding SOLOIST-WHF</w:t>
      </w:r>
    </w:p>
    <w:p w14:paraId="5173DFD0">
      <w:pPr>
        <w:pStyle w:val="5"/>
        <w:spacing w:before="160" w:after="80"/>
      </w:pPr>
      <w:r>
        <w:rPr>
          <w:rFonts w:ascii="Arial" w:hAnsi="Arial" w:eastAsia="Arial"/>
          <w:color w:val="000000"/>
        </w:rPr>
        <w:t>Targeted high-risk-of-bias sensitivity analysis</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266"/>
        <w:gridCol w:w="1635"/>
        <w:gridCol w:w="2439"/>
        <w:gridCol w:w="1113"/>
        <w:gridCol w:w="2716"/>
        <w:gridCol w:w="1101"/>
        <w:gridCol w:w="2202"/>
      </w:tblGrid>
      <w:tr w14:paraId="4F25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402" w:type="dxa"/>
            <w:vAlign w:val="center"/>
            <w:shd w:val="clear" w:color="auto" w:fill="FFFFFF"/>
          </w:tcPr>
          <w:p w14:paraId="1ED15383">
            <w:pPr>
              <w:spacing w:before="0" w:after="0" w:line="240" w:lineRule="auto"/>
              <w:jc w:val="center"/>
            </w:pPr>
            <w:r>
              <w:rPr>
                <w:rFonts w:ascii="Arial" w:hAnsi="Arial" w:eastAsia="Arial"/>
                <w:b/>
                <w:color w:val="000000"/>
                <w:sz w:val="16"/>
              </w:rPr>
              <w:t>Outcome</w:t>
            </w:r>
          </w:p>
        </w:tc>
        <w:tc>
          <w:tcPr>
            <w:tcW w:w="1701" w:type="dxa"/>
            <w:vAlign w:val="center"/>
            <w:shd w:val="clear" w:color="auto" w:fill="FFFFFF"/>
          </w:tcPr>
          <w:p w14:paraId="13141210">
            <w:pPr>
              <w:spacing w:before="0" w:after="0" w:line="240" w:lineRule="auto"/>
              <w:jc w:val="center"/>
            </w:pPr>
            <w:r>
              <w:rPr>
                <w:rFonts w:ascii="Arial" w:hAnsi="Arial" w:eastAsia="Arial"/>
                <w:b/>
                <w:color w:val="000000"/>
                <w:sz w:val="16"/>
              </w:rPr>
              <w:t>CKM stage group</w:t>
            </w:r>
          </w:p>
        </w:tc>
        <w:tc>
          <w:tcPr>
            <w:tcW w:w="2551" w:type="dxa"/>
            <w:vAlign w:val="center"/>
            <w:shd w:val="clear" w:color="auto" w:fill="FFFFFF"/>
          </w:tcPr>
          <w:p w14:paraId="7AEC84B3">
            <w:pPr>
              <w:spacing w:before="0" w:after="0" w:line="240" w:lineRule="auto"/>
              <w:jc w:val="center"/>
            </w:pPr>
            <w:r>
              <w:rPr>
                <w:rFonts w:ascii="Arial" w:hAnsi="Arial" w:eastAsia="Arial"/>
                <w:b/>
                <w:color w:val="000000"/>
                <w:sz w:val="16"/>
              </w:rPr>
              <w:t>Primary REML HR (95% CI)</w:t>
            </w:r>
          </w:p>
        </w:tc>
        <w:tc>
          <w:tcPr>
            <w:tcW w:w="1134" w:type="dxa"/>
            <w:vAlign w:val="center"/>
            <w:shd w:val="clear" w:color="auto" w:fill="FFFFFF"/>
          </w:tcPr>
          <w:p w14:paraId="0B7880D4">
            <w:pPr>
              <w:spacing w:before="0" w:after="0" w:line="240" w:lineRule="auto"/>
              <w:jc w:val="center"/>
            </w:pPr>
            <w:r>
              <w:rPr>
                <w:rFonts w:ascii="Arial" w:hAnsi="Arial" w:eastAsia="Arial"/>
                <w:b/>
                <w:color w:val="000000"/>
                <w:sz w:val="16"/>
              </w:rPr>
              <w:t>Primary I², %</w:t>
            </w:r>
          </w:p>
        </w:tc>
        <w:tc>
          <w:tcPr>
            <w:tcW w:w="2835" w:type="dxa"/>
            <w:vAlign w:val="center"/>
            <w:shd w:val="clear" w:color="auto" w:fill="FFFFFF"/>
          </w:tcPr>
          <w:p w14:paraId="69D04A73">
            <w:pPr>
              <w:spacing w:before="0" w:after="0" w:line="240" w:lineRule="auto"/>
              <w:jc w:val="center"/>
            </w:pPr>
            <w:r>
              <w:rPr>
                <w:rFonts w:ascii="Arial" w:hAnsi="Arial" w:eastAsia="Arial"/>
                <w:b/>
                <w:color w:val="000000"/>
                <w:sz w:val="16"/>
              </w:rPr>
              <w:t>Excluding SOLOIST-WHF HR (95% CI)</w:t>
            </w:r>
          </w:p>
        </w:tc>
        <w:tc>
          <w:tcPr>
            <w:tcW w:w="1134" w:type="dxa"/>
            <w:vAlign w:val="center"/>
            <w:shd w:val="clear" w:color="auto" w:fill="FFFFFF"/>
          </w:tcPr>
          <w:p w14:paraId="70370876">
            <w:pPr>
              <w:spacing w:before="0" w:after="0" w:line="240" w:lineRule="auto"/>
              <w:jc w:val="center"/>
            </w:pPr>
            <w:r>
              <w:rPr>
                <w:rFonts w:ascii="Arial" w:hAnsi="Arial" w:eastAsia="Arial"/>
                <w:b/>
                <w:color w:val="000000"/>
                <w:sz w:val="16"/>
              </w:rPr>
              <w:t>I², %</w:t>
            </w:r>
          </w:p>
        </w:tc>
        <w:tc>
          <w:tcPr>
            <w:tcW w:w="2268" w:type="dxa"/>
            <w:vAlign w:val="center"/>
            <w:shd w:val="clear" w:color="auto" w:fill="FFFFFF"/>
          </w:tcPr>
          <w:p w14:paraId="46C676FF">
            <w:pPr>
              <w:spacing w:before="0" w:after="0" w:line="240" w:lineRule="auto"/>
              <w:jc w:val="center"/>
            </w:pPr>
            <w:r>
              <w:rPr>
                <w:rFonts w:ascii="Arial" w:hAnsi="Arial" w:eastAsia="Arial"/>
                <w:b/>
                <w:color w:val="000000"/>
                <w:sz w:val="16"/>
              </w:rPr>
              <w:t>Interpretation</w:t>
            </w:r>
          </w:p>
        </w:tc>
      </w:tr>
      <w:tr w14:paraId="56AB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402" w:type="dxa"/>
            <w:vAlign w:val="center"/>
            <w:shd w:val="clear" w:color="auto" w:fill="FFFFFF"/>
          </w:tcPr>
          <w:p w14:paraId="7389DADD">
            <w:pPr>
              <w:spacing w:before="0" w:after="0" w:line="240" w:lineRule="auto"/>
              <w:jc w:val="left"/>
            </w:pPr>
            <w:r>
              <w:rPr>
                <w:rFonts w:ascii="Arial" w:hAnsi="Arial" w:eastAsia="Arial"/>
                <w:b w:val="0"/>
                <w:color w:val="000000"/>
                <w:sz w:val="16"/>
              </w:rPr>
              <w:t>Composite heart failure endpoint</w:t>
            </w:r>
          </w:p>
        </w:tc>
        <w:tc>
          <w:tcPr>
            <w:tcW w:w="1701" w:type="dxa"/>
            <w:vAlign w:val="center"/>
            <w:shd w:val="clear" w:color="auto" w:fill="FFFFFF"/>
          </w:tcPr>
          <w:p w14:paraId="7961333C">
            <w:pPr>
              <w:spacing w:before="0" w:after="0" w:line="240" w:lineRule="auto"/>
              <w:jc w:val="left"/>
            </w:pPr>
            <w:r>
              <w:rPr>
                <w:rFonts w:ascii="Arial" w:hAnsi="Arial" w:eastAsia="Arial"/>
                <w:b w:val="0"/>
                <w:color w:val="000000"/>
                <w:sz w:val="16"/>
              </w:rPr>
              <w:t>CKM stage 4</w:t>
            </w:r>
          </w:p>
        </w:tc>
        <w:tc>
          <w:tcPr>
            <w:tcW w:w="2551" w:type="dxa"/>
            <w:vAlign w:val="center"/>
            <w:shd w:val="clear" w:color="auto" w:fill="FFFFFF"/>
          </w:tcPr>
          <w:p w14:paraId="7374A8E7">
            <w:pPr>
              <w:spacing w:before="0" w:after="0" w:line="240" w:lineRule="auto"/>
              <w:jc w:val="center"/>
            </w:pPr>
            <w:r>
              <w:rPr>
                <w:rFonts w:ascii="Arial" w:hAnsi="Arial" w:eastAsia="Arial"/>
                <w:b w:val="0"/>
                <w:color w:val="000000"/>
                <w:sz w:val="16"/>
              </w:rPr>
              <w:t>0.769 (0.732-0.807)</w:t>
            </w:r>
          </w:p>
        </w:tc>
        <w:tc>
          <w:tcPr>
            <w:tcW w:w="1134" w:type="dxa"/>
            <w:vAlign w:val="center"/>
            <w:shd w:val="clear" w:color="auto" w:fill="FFFFFF"/>
          </w:tcPr>
          <w:p w14:paraId="73B30F75">
            <w:pPr>
              <w:spacing w:before="0" w:after="0" w:line="240" w:lineRule="auto"/>
              <w:jc w:val="center"/>
            </w:pPr>
            <w:r>
              <w:rPr>
                <w:rFonts w:ascii="Arial" w:hAnsi="Arial" w:eastAsia="Arial"/>
                <w:b w:val="0"/>
                <w:color w:val="000000"/>
                <w:sz w:val="16"/>
              </w:rPr>
              <w:t>0.00</w:t>
            </w:r>
          </w:p>
        </w:tc>
        <w:tc>
          <w:tcPr>
            <w:tcW w:w="2835" w:type="dxa"/>
            <w:vAlign w:val="center"/>
            <w:shd w:val="clear" w:color="auto" w:fill="FFFFFF"/>
          </w:tcPr>
          <w:p w14:paraId="18B0798E">
            <w:pPr>
              <w:spacing w:before="0" w:after="0" w:line="240" w:lineRule="auto"/>
              <w:jc w:val="center"/>
            </w:pPr>
            <w:r>
              <w:rPr>
                <w:rFonts w:ascii="Arial" w:hAnsi="Arial" w:eastAsia="Arial"/>
                <w:b w:val="0"/>
                <w:color w:val="000000"/>
                <w:sz w:val="16"/>
              </w:rPr>
              <w:t>0.771 (0.734-0.811)</w:t>
            </w:r>
          </w:p>
        </w:tc>
        <w:tc>
          <w:tcPr>
            <w:tcW w:w="1134" w:type="dxa"/>
            <w:vAlign w:val="center"/>
            <w:shd w:val="clear" w:color="auto" w:fill="FFFFFF"/>
          </w:tcPr>
          <w:p w14:paraId="0CE4034A">
            <w:pPr>
              <w:spacing w:before="0" w:after="0" w:line="240" w:lineRule="auto"/>
              <w:jc w:val="center"/>
            </w:pPr>
            <w:r>
              <w:rPr>
                <w:rFonts w:ascii="Arial" w:hAnsi="Arial" w:eastAsia="Arial"/>
                <w:b w:val="0"/>
                <w:color w:val="000000"/>
                <w:sz w:val="16"/>
              </w:rPr>
              <w:t>0.00</w:t>
            </w:r>
          </w:p>
        </w:tc>
        <w:tc>
          <w:tcPr>
            <w:tcW w:w="2268" w:type="dxa"/>
            <w:vAlign w:val="center"/>
            <w:shd w:val="clear" w:color="auto" w:fill="FFFFFF"/>
          </w:tcPr>
          <w:p w14:paraId="059F37AA">
            <w:pPr>
              <w:spacing w:before="0" w:after="0" w:line="240" w:lineRule="auto"/>
              <w:jc w:val="left"/>
            </w:pPr>
            <w:r>
              <w:rPr>
                <w:rFonts w:ascii="Arial" w:hAnsi="Arial" w:eastAsia="Arial"/>
                <w:b w:val="0"/>
                <w:color w:val="000000"/>
                <w:sz w:val="16"/>
              </w:rPr>
              <w:t>No material change</w:t>
            </w:r>
          </w:p>
        </w:tc>
      </w:tr>
      <w:tr w14:paraId="2186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402" w:type="dxa"/>
            <w:vAlign w:val="center"/>
            <w:shd w:val="clear" w:color="auto" w:fill="FFFFFF"/>
          </w:tcPr>
          <w:p w14:paraId="1B6452ED">
            <w:pPr>
              <w:spacing w:before="0" w:after="0" w:line="240" w:lineRule="auto"/>
              <w:jc w:val="left"/>
            </w:pPr>
            <w:r>
              <w:rPr>
                <w:rFonts w:ascii="Arial" w:hAnsi="Arial" w:eastAsia="Arial"/>
                <w:b w:val="0"/>
                <w:color w:val="000000"/>
                <w:sz w:val="16"/>
              </w:rPr>
              <w:t>All-cause mortality</w:t>
            </w:r>
          </w:p>
        </w:tc>
        <w:tc>
          <w:tcPr>
            <w:tcW w:w="1701" w:type="dxa"/>
            <w:vAlign w:val="center"/>
            <w:shd w:val="clear" w:color="auto" w:fill="FFFFFF"/>
          </w:tcPr>
          <w:p w14:paraId="05E16CCB">
            <w:pPr>
              <w:spacing w:before="0" w:after="0" w:line="240" w:lineRule="auto"/>
              <w:jc w:val="left"/>
            </w:pPr>
            <w:r>
              <w:rPr>
                <w:rFonts w:ascii="Arial" w:hAnsi="Arial" w:eastAsia="Arial"/>
                <w:b w:val="0"/>
                <w:color w:val="000000"/>
                <w:sz w:val="16"/>
              </w:rPr>
              <w:t>CKM stage 4</w:t>
            </w:r>
          </w:p>
        </w:tc>
        <w:tc>
          <w:tcPr>
            <w:tcW w:w="2551" w:type="dxa"/>
            <w:vAlign w:val="center"/>
            <w:shd w:val="clear" w:color="auto" w:fill="FFFFFF"/>
          </w:tcPr>
          <w:p w14:paraId="6943E1FA">
            <w:pPr>
              <w:spacing w:before="0" w:after="0" w:line="240" w:lineRule="auto"/>
              <w:jc w:val="center"/>
            </w:pPr>
            <w:r>
              <w:rPr>
                <w:rFonts w:ascii="Arial" w:hAnsi="Arial" w:eastAsia="Arial"/>
                <w:b w:val="0"/>
                <w:color w:val="000000"/>
                <w:sz w:val="16"/>
              </w:rPr>
              <w:t>0.873 (0.814-0.937)</w:t>
            </w:r>
          </w:p>
        </w:tc>
        <w:tc>
          <w:tcPr>
            <w:tcW w:w="1134" w:type="dxa"/>
            <w:vAlign w:val="center"/>
            <w:shd w:val="clear" w:color="auto" w:fill="FFFFFF"/>
          </w:tcPr>
          <w:p w14:paraId="1ECE1801">
            <w:pPr>
              <w:spacing w:before="0" w:after="0" w:line="240" w:lineRule="auto"/>
              <w:jc w:val="center"/>
            </w:pPr>
            <w:r>
              <w:rPr>
                <w:rFonts w:ascii="Arial" w:hAnsi="Arial" w:eastAsia="Arial"/>
                <w:b w:val="0"/>
                <w:color w:val="000000"/>
                <w:sz w:val="16"/>
              </w:rPr>
              <w:t>40.62</w:t>
            </w:r>
          </w:p>
        </w:tc>
        <w:tc>
          <w:tcPr>
            <w:tcW w:w="2835" w:type="dxa"/>
            <w:vAlign w:val="center"/>
            <w:shd w:val="clear" w:color="auto" w:fill="FFFFFF"/>
          </w:tcPr>
          <w:p w14:paraId="3D1550AD">
            <w:pPr>
              <w:spacing w:before="0" w:after="0" w:line="240" w:lineRule="auto"/>
              <w:jc w:val="center"/>
            </w:pPr>
            <w:r>
              <w:rPr>
                <w:rFonts w:ascii="Arial" w:hAnsi="Arial" w:eastAsia="Arial"/>
                <w:b w:val="0"/>
                <w:color w:val="000000"/>
                <w:sz w:val="16"/>
              </w:rPr>
              <w:t>0.875 (0.813-0.941)</w:t>
            </w:r>
          </w:p>
        </w:tc>
        <w:tc>
          <w:tcPr>
            <w:tcW w:w="1134" w:type="dxa"/>
            <w:vAlign w:val="center"/>
            <w:shd w:val="clear" w:color="auto" w:fill="FFFFFF"/>
          </w:tcPr>
          <w:p w14:paraId="1AF30F96">
            <w:pPr>
              <w:spacing w:before="0" w:after="0" w:line="240" w:lineRule="auto"/>
              <w:jc w:val="center"/>
            </w:pPr>
            <w:r>
              <w:rPr>
                <w:rFonts w:ascii="Arial" w:hAnsi="Arial" w:eastAsia="Arial"/>
                <w:b w:val="0"/>
                <w:color w:val="000000"/>
                <w:sz w:val="16"/>
              </w:rPr>
              <w:t>44.51</w:t>
            </w:r>
          </w:p>
        </w:tc>
        <w:tc>
          <w:tcPr>
            <w:tcW w:w="2268" w:type="dxa"/>
            <w:vAlign w:val="center"/>
            <w:shd w:val="clear" w:color="auto" w:fill="FFFFFF"/>
          </w:tcPr>
          <w:p w14:paraId="0337C3F4">
            <w:pPr>
              <w:spacing w:before="0" w:after="0" w:line="240" w:lineRule="auto"/>
              <w:jc w:val="left"/>
            </w:pPr>
            <w:r>
              <w:rPr>
                <w:rFonts w:ascii="Arial" w:hAnsi="Arial" w:eastAsia="Arial"/>
                <w:b w:val="0"/>
                <w:color w:val="000000"/>
                <w:sz w:val="16"/>
              </w:rPr>
              <w:t>No material change</w:t>
            </w:r>
          </w:p>
        </w:tc>
      </w:tr>
      <w:tr w14:paraId="44D67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402" w:type="dxa"/>
            <w:vAlign w:val="center"/>
            <w:shd w:val="clear" w:color="auto" w:fill="FFFFFF"/>
          </w:tcPr>
          <w:p w14:paraId="1E76ABA3">
            <w:pPr>
              <w:spacing w:before="0" w:after="0" w:line="240" w:lineRule="auto"/>
              <w:jc w:val="left"/>
            </w:pPr>
            <w:r>
              <w:rPr>
                <w:rFonts w:ascii="Arial" w:hAnsi="Arial" w:eastAsia="Arial"/>
                <w:b w:val="0"/>
                <w:color w:val="000000"/>
                <w:sz w:val="16"/>
              </w:rPr>
              <w:t>Cardiovascular death</w:t>
            </w:r>
          </w:p>
        </w:tc>
        <w:tc>
          <w:tcPr>
            <w:tcW w:w="1701" w:type="dxa"/>
            <w:vAlign w:val="center"/>
            <w:shd w:val="clear" w:color="auto" w:fill="FFFFFF"/>
          </w:tcPr>
          <w:p w14:paraId="5F6347FE">
            <w:pPr>
              <w:spacing w:before="0" w:after="0" w:line="240" w:lineRule="auto"/>
              <w:jc w:val="left"/>
            </w:pPr>
            <w:r>
              <w:rPr>
                <w:rFonts w:ascii="Arial" w:hAnsi="Arial" w:eastAsia="Arial"/>
                <w:b w:val="0"/>
                <w:color w:val="000000"/>
                <w:sz w:val="16"/>
              </w:rPr>
              <w:t>CKM stage 4</w:t>
            </w:r>
          </w:p>
        </w:tc>
        <w:tc>
          <w:tcPr>
            <w:tcW w:w="2551" w:type="dxa"/>
            <w:vAlign w:val="center"/>
            <w:shd w:val="clear" w:color="auto" w:fill="FFFFFF"/>
          </w:tcPr>
          <w:p w14:paraId="0D06C690">
            <w:pPr>
              <w:spacing w:before="0" w:after="0" w:line="240" w:lineRule="auto"/>
              <w:jc w:val="center"/>
            </w:pPr>
            <w:r>
              <w:rPr>
                <w:rFonts w:ascii="Arial" w:hAnsi="Arial" w:eastAsia="Arial"/>
                <w:b w:val="0"/>
                <w:color w:val="000000"/>
                <w:sz w:val="16"/>
              </w:rPr>
              <w:t>0.853 (0.797-0.913)</w:t>
            </w:r>
          </w:p>
        </w:tc>
        <w:tc>
          <w:tcPr>
            <w:tcW w:w="1134" w:type="dxa"/>
            <w:vAlign w:val="center"/>
            <w:shd w:val="clear" w:color="auto" w:fill="FFFFFF"/>
          </w:tcPr>
          <w:p w14:paraId="3948296C">
            <w:pPr>
              <w:spacing w:before="0" w:after="0" w:line="240" w:lineRule="auto"/>
              <w:jc w:val="center"/>
            </w:pPr>
            <w:r>
              <w:rPr>
                <w:rFonts w:ascii="Arial" w:hAnsi="Arial" w:eastAsia="Arial"/>
                <w:b w:val="0"/>
                <w:color w:val="000000"/>
                <w:sz w:val="16"/>
              </w:rPr>
              <w:t>7.79</w:t>
            </w:r>
          </w:p>
        </w:tc>
        <w:tc>
          <w:tcPr>
            <w:tcW w:w="2835" w:type="dxa"/>
            <w:vAlign w:val="center"/>
            <w:shd w:val="clear" w:color="auto" w:fill="FFFFFF"/>
          </w:tcPr>
          <w:p w14:paraId="7CE87E78">
            <w:pPr>
              <w:spacing w:before="0" w:after="0" w:line="240" w:lineRule="auto"/>
              <w:jc w:val="center"/>
            </w:pPr>
            <w:r>
              <w:rPr>
                <w:rFonts w:ascii="Arial" w:hAnsi="Arial" w:eastAsia="Arial"/>
                <w:b w:val="0"/>
                <w:color w:val="000000"/>
                <w:sz w:val="16"/>
              </w:rPr>
              <w:t>0.853 (0.794-0.916)</w:t>
            </w:r>
          </w:p>
        </w:tc>
        <w:tc>
          <w:tcPr>
            <w:tcW w:w="1134" w:type="dxa"/>
            <w:vAlign w:val="center"/>
            <w:shd w:val="clear" w:color="auto" w:fill="FFFFFF"/>
          </w:tcPr>
          <w:p w14:paraId="07A878E3">
            <w:pPr>
              <w:spacing w:before="0" w:after="0" w:line="240" w:lineRule="auto"/>
              <w:jc w:val="center"/>
            </w:pPr>
            <w:r>
              <w:rPr>
                <w:rFonts w:ascii="Arial" w:hAnsi="Arial" w:eastAsia="Arial"/>
                <w:b w:val="0"/>
                <w:color w:val="000000"/>
                <w:sz w:val="16"/>
              </w:rPr>
              <w:t>12.69</w:t>
            </w:r>
          </w:p>
        </w:tc>
        <w:tc>
          <w:tcPr>
            <w:tcW w:w="2268" w:type="dxa"/>
            <w:vAlign w:val="center"/>
            <w:shd w:val="clear" w:color="auto" w:fill="FFFFFF"/>
          </w:tcPr>
          <w:p w14:paraId="78A80C08">
            <w:pPr>
              <w:spacing w:before="0" w:after="0" w:line="240" w:lineRule="auto"/>
              <w:jc w:val="left"/>
            </w:pPr>
            <w:r>
              <w:rPr>
                <w:rFonts w:ascii="Arial" w:hAnsi="Arial" w:eastAsia="Arial"/>
                <w:b w:val="0"/>
                <w:color w:val="000000"/>
                <w:sz w:val="16"/>
              </w:rPr>
              <w:t>No material change</w:t>
            </w:r>
          </w:p>
        </w:tc>
      </w:tr>
    </w:tbl>
    <w:p w14:paraId="3454C342">
      <w:pPr>
        <w:pStyle w:val="3"/>
        <w:spacing w:before="160" w:after="80"/>
      </w:pPr>
      <w:r>
        <w:rPr>
          <w:rFonts w:ascii="Arial" w:hAnsi="Arial" w:eastAsia="Arial"/>
          <w:color w:val="000000"/>
        </w:rPr>
        <w:t>Supplementary Table S8. Sensitivity analyses addressing heterogeneity in trial-defined kidney composite outcome definitions</w:t>
      </w:r>
    </w:p>
    <w:p w14:paraId="60B9702E">
      <w:pPr>
        <w:pStyle w:val="5"/>
        <w:spacing w:before="160" w:after="80"/>
      </w:pPr>
      <w:r>
        <w:rPr>
          <w:rFonts w:ascii="Arial" w:hAnsi="Arial" w:eastAsia="Arial"/>
          <w:color w:val="000000"/>
        </w:rPr>
        <w:t>Endpoint-construction sensitivity analysis</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35"/>
        <w:gridCol w:w="850"/>
        <w:gridCol w:w="2835"/>
        <w:gridCol w:w="1134"/>
        <w:gridCol w:w="1134"/>
        <w:gridCol w:w="1701"/>
      </w:tblGrid>
      <w:tr w14:paraId="668A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535" w:type="dxa"/>
            <w:vAlign w:val="center"/>
            <w:shd w:val="clear" w:color="auto" w:fill="FFFFFF"/>
          </w:tcPr>
          <w:p w14:paraId="5D295DD8">
            <w:pPr>
              <w:spacing w:before="0" w:after="0" w:line="240" w:lineRule="auto"/>
              <w:jc w:val="center"/>
            </w:pPr>
            <w:r>
              <w:rPr>
                <w:rFonts w:ascii="Arial" w:hAnsi="Arial" w:eastAsia="Arial"/>
                <w:b/>
                <w:color w:val="000000"/>
                <w:sz w:val="16"/>
              </w:rPr>
              <w:t>Kidney endpoint-definition category</w:t>
            </w:r>
          </w:p>
        </w:tc>
        <w:tc>
          <w:tcPr>
            <w:tcW w:w="850" w:type="dxa"/>
            <w:vAlign w:val="center"/>
            <w:shd w:val="clear" w:color="auto" w:fill="FFFFFF"/>
          </w:tcPr>
          <w:p w14:paraId="74CF62C0">
            <w:pPr>
              <w:spacing w:before="0" w:after="0" w:line="240" w:lineRule="auto"/>
              <w:jc w:val="center"/>
            </w:pPr>
            <w:r>
              <w:rPr>
                <w:rFonts w:ascii="Arial" w:hAnsi="Arial" w:eastAsia="Arial"/>
                <w:b/>
                <w:color w:val="000000"/>
                <w:sz w:val="16"/>
              </w:rPr>
              <w:t>k</w:t>
            </w:r>
          </w:p>
        </w:tc>
        <w:tc>
          <w:tcPr>
            <w:tcW w:w="2835" w:type="dxa"/>
            <w:vAlign w:val="center"/>
            <w:shd w:val="clear" w:color="auto" w:fill="FFFFFF"/>
          </w:tcPr>
          <w:p w14:paraId="4F495226">
            <w:pPr>
              <w:spacing w:before="0" w:after="0" w:line="240" w:lineRule="auto"/>
              <w:jc w:val="center"/>
            </w:pPr>
            <w:r>
              <w:rPr>
                <w:rFonts w:ascii="Arial" w:hAnsi="Arial" w:eastAsia="Arial"/>
                <w:b/>
                <w:color w:val="000000"/>
                <w:sz w:val="16"/>
              </w:rPr>
              <w:t>REML HR (95% CI)</w:t>
            </w:r>
          </w:p>
        </w:tc>
        <w:tc>
          <w:tcPr>
            <w:tcW w:w="1134" w:type="dxa"/>
            <w:vAlign w:val="center"/>
            <w:shd w:val="clear" w:color="auto" w:fill="FFFFFF"/>
          </w:tcPr>
          <w:p w14:paraId="1C3E1CCC">
            <w:pPr>
              <w:spacing w:before="0" w:after="0" w:line="240" w:lineRule="auto"/>
              <w:jc w:val="center"/>
            </w:pPr>
            <w:r>
              <w:rPr>
                <w:rFonts w:ascii="Arial" w:hAnsi="Arial" w:eastAsia="Arial"/>
                <w:b/>
                <w:color w:val="000000"/>
                <w:sz w:val="16"/>
              </w:rPr>
              <w:t>I², %</w:t>
            </w:r>
          </w:p>
        </w:tc>
        <w:tc>
          <w:tcPr>
            <w:tcW w:w="1134" w:type="dxa"/>
            <w:vAlign w:val="center"/>
            <w:shd w:val="clear" w:color="auto" w:fill="FFFFFF"/>
          </w:tcPr>
          <w:p w14:paraId="39DB7539">
            <w:pPr>
              <w:spacing w:before="0" w:after="0" w:line="240" w:lineRule="auto"/>
              <w:jc w:val="center"/>
            </w:pPr>
            <w:r>
              <w:rPr>
                <w:rFonts w:ascii="Arial" w:hAnsi="Arial" w:eastAsia="Arial"/>
                <w:b/>
                <w:color w:val="000000"/>
                <w:sz w:val="16"/>
              </w:rPr>
              <w:t>τ²</w:t>
            </w:r>
          </w:p>
        </w:tc>
        <w:tc>
          <w:tcPr>
            <w:tcW w:w="1701" w:type="dxa"/>
            <w:vAlign w:val="center"/>
            <w:shd w:val="clear" w:color="auto" w:fill="FFFFFF"/>
          </w:tcPr>
          <w:p w14:paraId="7C9651A8">
            <w:pPr>
              <w:spacing w:before="0" w:after="0" w:line="240" w:lineRule="auto"/>
              <w:jc w:val="center"/>
            </w:pPr>
            <w:r>
              <w:rPr>
                <w:rFonts w:ascii="Arial" w:hAnsi="Arial" w:eastAsia="Arial"/>
                <w:b/>
                <w:color w:val="000000"/>
                <w:sz w:val="16"/>
              </w:rPr>
              <w:t>P for difference</w:t>
            </w:r>
          </w:p>
        </w:tc>
      </w:tr>
      <w:tr w14:paraId="2690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5" w:type="dxa"/>
            <w:vAlign w:val="center"/>
            <w:shd w:val="clear" w:color="auto" w:fill="FFFFFF"/>
          </w:tcPr>
          <w:p w14:paraId="12731CB3">
            <w:pPr>
              <w:spacing w:before="0" w:after="0" w:line="240" w:lineRule="auto"/>
              <w:jc w:val="left"/>
            </w:pPr>
            <w:r>
              <w:rPr>
                <w:rFonts w:ascii="Arial" w:hAnsi="Arial" w:eastAsia="Arial"/>
                <w:b w:val="0"/>
                <w:color w:val="000000"/>
                <w:sz w:val="16"/>
              </w:rPr>
              <w:t>eGFR-decline-based</w:t>
            </w:r>
          </w:p>
        </w:tc>
        <w:tc>
          <w:tcPr>
            <w:tcW w:w="850" w:type="dxa"/>
            <w:vAlign w:val="center"/>
            <w:shd w:val="clear" w:color="auto" w:fill="FFFFFF"/>
          </w:tcPr>
          <w:p w14:paraId="7E9AA1A0">
            <w:pPr>
              <w:spacing w:before="0" w:after="0" w:line="240" w:lineRule="auto"/>
              <w:jc w:val="left"/>
            </w:pPr>
            <w:r>
              <w:rPr>
                <w:rFonts w:ascii="Arial" w:hAnsi="Arial" w:eastAsia="Arial"/>
                <w:b w:val="0"/>
                <w:color w:val="000000"/>
                <w:sz w:val="16"/>
              </w:rPr>
              <w:t>9</w:t>
            </w:r>
          </w:p>
        </w:tc>
        <w:tc>
          <w:tcPr>
            <w:tcW w:w="2835" w:type="dxa"/>
            <w:vAlign w:val="center"/>
            <w:shd w:val="clear" w:color="auto" w:fill="FFFFFF"/>
          </w:tcPr>
          <w:p w14:paraId="48E0FC1C">
            <w:pPr>
              <w:spacing w:before="0" w:after="0" w:line="240" w:lineRule="auto"/>
              <w:jc w:val="center"/>
            </w:pPr>
            <w:r>
              <w:rPr>
                <w:rFonts w:ascii="Arial" w:hAnsi="Arial" w:eastAsia="Arial"/>
                <w:b w:val="0"/>
                <w:color w:val="000000"/>
                <w:sz w:val="16"/>
              </w:rPr>
              <w:t>0.608 (0.520-0.711)</w:t>
            </w:r>
          </w:p>
        </w:tc>
        <w:tc>
          <w:tcPr>
            <w:tcW w:w="1134" w:type="dxa"/>
            <w:vAlign w:val="center"/>
            <w:shd w:val="clear" w:color="auto" w:fill="FFFFFF"/>
          </w:tcPr>
          <w:p w14:paraId="6184A024">
            <w:pPr>
              <w:spacing w:before="0" w:after="0" w:line="240" w:lineRule="auto"/>
              <w:jc w:val="center"/>
            </w:pPr>
            <w:r>
              <w:rPr>
                <w:rFonts w:ascii="Arial" w:hAnsi="Arial" w:eastAsia="Arial"/>
                <w:b w:val="0"/>
                <w:color w:val="000000"/>
                <w:sz w:val="16"/>
              </w:rPr>
              <w:t>47.91</w:t>
            </w:r>
          </w:p>
        </w:tc>
        <w:tc>
          <w:tcPr>
            <w:tcW w:w="1134" w:type="dxa"/>
            <w:vAlign w:val="center"/>
            <w:shd w:val="clear" w:color="auto" w:fill="FFFFFF"/>
          </w:tcPr>
          <w:p w14:paraId="3D4E81A8">
            <w:pPr>
              <w:spacing w:before="0" w:after="0" w:line="240" w:lineRule="auto"/>
              <w:jc w:val="center"/>
            </w:pPr>
            <w:r>
              <w:rPr>
                <w:rFonts w:ascii="Arial" w:hAnsi="Arial" w:eastAsia="Arial"/>
                <w:b w:val="0"/>
                <w:color w:val="000000"/>
                <w:sz w:val="16"/>
              </w:rPr>
              <w:t>0.0263</w:t>
            </w:r>
          </w:p>
        </w:tc>
        <w:tc>
          <w:tcPr>
            <w:tcW w:w="1701" w:type="dxa"/>
            <w:vAlign w:val="center"/>
            <w:shd w:val="clear" w:color="auto" w:fill="FFFFFF"/>
          </w:tcPr>
          <w:p w14:paraId="235B31B1">
            <w:pPr>
              <w:spacing w:before="0" w:after="0" w:line="240" w:lineRule="auto"/>
              <w:jc w:val="left"/>
            </w:pPr>
            <w:r>
              <w:rPr>
                <w:rFonts w:ascii="Arial" w:hAnsi="Arial" w:eastAsia="Arial"/>
                <w:b w:val="0"/>
                <w:color w:val="000000"/>
                <w:sz w:val="16"/>
              </w:rPr>
              <w:t>0.4626</w:t>
            </w:r>
          </w:p>
        </w:tc>
      </w:tr>
      <w:tr w14:paraId="0948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5" w:type="dxa"/>
            <w:vAlign w:val="center"/>
            <w:shd w:val="clear" w:color="auto" w:fill="FFFFFF"/>
          </w:tcPr>
          <w:p w14:paraId="6B07F4C1">
            <w:pPr>
              <w:spacing w:before="0" w:after="0" w:line="240" w:lineRule="auto"/>
              <w:jc w:val="left"/>
            </w:pPr>
            <w:r>
              <w:rPr>
                <w:rFonts w:ascii="Arial" w:hAnsi="Arial" w:eastAsia="Arial"/>
                <w:b w:val="0"/>
                <w:color w:val="000000"/>
                <w:sz w:val="16"/>
              </w:rPr>
              <w:t>Creatinine-doubling/hard-kidney</w:t>
            </w:r>
          </w:p>
        </w:tc>
        <w:tc>
          <w:tcPr>
            <w:tcW w:w="850" w:type="dxa"/>
            <w:vAlign w:val="center"/>
            <w:shd w:val="clear" w:color="auto" w:fill="FFFFFF"/>
          </w:tcPr>
          <w:p w14:paraId="14CF9FE5">
            <w:pPr>
              <w:spacing w:before="0" w:after="0" w:line="240" w:lineRule="auto"/>
              <w:jc w:val="left"/>
            </w:pPr>
            <w:r>
              <w:rPr>
                <w:rFonts w:ascii="Arial" w:hAnsi="Arial" w:eastAsia="Arial"/>
                <w:b w:val="0"/>
                <w:color w:val="000000"/>
                <w:sz w:val="16"/>
              </w:rPr>
              <w:t>4</w:t>
            </w:r>
          </w:p>
        </w:tc>
        <w:tc>
          <w:tcPr>
            <w:tcW w:w="2835" w:type="dxa"/>
            <w:vAlign w:val="center"/>
            <w:shd w:val="clear" w:color="auto" w:fill="FFFFFF"/>
          </w:tcPr>
          <w:p w14:paraId="44FCD832">
            <w:pPr>
              <w:spacing w:before="0" w:after="0" w:line="240" w:lineRule="auto"/>
              <w:jc w:val="center"/>
            </w:pPr>
            <w:r>
              <w:rPr>
                <w:rFonts w:ascii="Arial" w:hAnsi="Arial" w:eastAsia="Arial"/>
                <w:b w:val="0"/>
                <w:color w:val="000000"/>
                <w:sz w:val="16"/>
              </w:rPr>
              <w:t>0.672 (0.568-0.796)</w:t>
            </w:r>
          </w:p>
        </w:tc>
        <w:tc>
          <w:tcPr>
            <w:tcW w:w="1134" w:type="dxa"/>
            <w:vAlign w:val="center"/>
            <w:shd w:val="clear" w:color="auto" w:fill="FFFFFF"/>
          </w:tcPr>
          <w:p w14:paraId="63F93021">
            <w:pPr>
              <w:spacing w:before="0" w:after="0" w:line="240" w:lineRule="auto"/>
              <w:jc w:val="center"/>
            </w:pPr>
            <w:r>
              <w:rPr>
                <w:rFonts w:ascii="Arial" w:hAnsi="Arial" w:eastAsia="Arial"/>
                <w:b w:val="0"/>
                <w:color w:val="000000"/>
                <w:sz w:val="16"/>
              </w:rPr>
              <w:t>28.07</w:t>
            </w:r>
          </w:p>
        </w:tc>
        <w:tc>
          <w:tcPr>
            <w:tcW w:w="1134" w:type="dxa"/>
            <w:vAlign w:val="center"/>
            <w:shd w:val="clear" w:color="auto" w:fill="FFFFFF"/>
          </w:tcPr>
          <w:p w14:paraId="3F19F52E">
            <w:pPr>
              <w:spacing w:before="0" w:after="0" w:line="240" w:lineRule="auto"/>
              <w:jc w:val="center"/>
            </w:pPr>
            <w:r>
              <w:rPr>
                <w:rFonts w:ascii="Arial" w:hAnsi="Arial" w:eastAsia="Arial"/>
                <w:b w:val="0"/>
                <w:color w:val="000000"/>
                <w:sz w:val="16"/>
              </w:rPr>
              <w:t>0.0083</w:t>
            </w:r>
          </w:p>
        </w:tc>
        <w:tc>
          <w:tcPr>
            <w:tcW w:w="1701" w:type="dxa"/>
            <w:vAlign w:val="center"/>
            <w:shd w:val="clear" w:color="auto" w:fill="FFFFFF"/>
          </w:tcPr>
          <w:p w14:paraId="5B4AEA5D">
            <w:pPr>
              <w:spacing w:before="0" w:after="0" w:line="240" w:lineRule="auto"/>
              <w:jc w:val="left"/>
            </w:pPr>
            <w:r>
              <w:rPr>
                <w:rFonts w:ascii="Arial" w:hAnsi="Arial" w:eastAsia="Arial"/>
                <w:b w:val="0"/>
                <w:color w:val="000000"/>
                <w:sz w:val="16"/>
              </w:rPr>
              <w:t>0.4626</w:t>
            </w:r>
          </w:p>
        </w:tc>
      </w:tr>
    </w:tbl>
    <w:p w14:paraId="323D59EC">
      <w:pPr>
        <w:spacing w:after="80"/>
      </w:pPr>
      <w:r>
        <w:rPr>
          <w:rFonts w:ascii="Arial" w:hAnsi="Arial" w:eastAsia="Arial"/>
          <w:i/>
          <w:color w:val="000000"/>
          <w:sz w:val="16"/>
        </w:rPr>
        <w:t>The analysis explored heterogeneity according to kidney outcome construction and did not constitute complete endpoint harmonization.</w:t>
      </w:r>
    </w:p>
    <w:p w14:paraId="20E220D4">
      <w:pPr>
        <w:pStyle w:val="3"/>
        <w:keepNext/>
        <w:pageBreakBefore/>
        <w:spacing w:before="160" w:after="80"/>
      </w:pPr>
      <w:r>
        <w:rPr>
          <w:rFonts w:ascii="Arial" w:hAnsi="Arial" w:eastAsia="Arial"/>
          <w:color w:val="000000"/>
        </w:rPr>
        <w:t>Supplementary Table S9. Egger regression tests for small-study effects</w:t>
      </w:r>
    </w:p>
    <w:p w14:paraId="77FDC6F2">
      <w:pPr>
        <w:pStyle w:val="5"/>
        <w:spacing w:before="160" w:after="80"/>
      </w:pPr>
      <w:r>
        <w:rPr>
          <w:rFonts w:ascii="Arial" w:hAnsi="Arial" w:eastAsia="Arial"/>
          <w:color w:val="000000"/>
        </w:rPr>
        <w:t>Exploratory stage-group-specific assessments</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402"/>
        <w:gridCol w:w="1701"/>
        <w:gridCol w:w="567"/>
        <w:gridCol w:w="1984"/>
        <w:gridCol w:w="1247"/>
        <w:gridCol w:w="1134"/>
        <w:gridCol w:w="1134"/>
        <w:gridCol w:w="2268"/>
      </w:tblGrid>
      <w:tr w14:paraId="33EE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cantSplit/>
        </w:trPr>
        <w:tc>
          <w:tcPr>
            <w:tcW w:w="3402" w:type="dxa"/>
            <w:vAlign w:val="center"/>
            <w:shd w:val="clear" w:color="auto" w:fill="FFFFFF"/>
          </w:tcPr>
          <w:p w14:paraId="41E15309">
            <w:pPr>
              <w:keepNext/>
              <w:keepLines/>
              <w:spacing w:before="0" w:after="0" w:line="240" w:lineRule="auto"/>
              <w:jc w:val="center"/>
            </w:pPr>
            <w:r>
              <w:rPr>
                <w:rFonts w:ascii="Arial" w:hAnsi="Arial" w:eastAsia="Arial"/>
                <w:b/>
                <w:color w:val="000000"/>
                <w:sz w:val="16"/>
              </w:rPr>
              <w:t>Outcome</w:t>
            </w:r>
          </w:p>
        </w:tc>
        <w:tc>
          <w:tcPr>
            <w:tcW w:w="1701" w:type="dxa"/>
            <w:vAlign w:val="center"/>
            <w:shd w:val="clear" w:color="auto" w:fill="FFFFFF"/>
          </w:tcPr>
          <w:p w14:paraId="696ECA0B">
            <w:pPr>
              <w:keepNext/>
              <w:keepLines/>
              <w:spacing w:before="0" w:after="0" w:line="240" w:lineRule="auto"/>
              <w:jc w:val="center"/>
            </w:pPr>
            <w:r>
              <w:rPr>
                <w:rFonts w:ascii="Arial" w:hAnsi="Arial" w:eastAsia="Arial"/>
                <w:b/>
                <w:color w:val="000000"/>
                <w:sz w:val="16"/>
              </w:rPr>
              <w:t>CKM stage group</w:t>
            </w:r>
          </w:p>
        </w:tc>
        <w:tc>
          <w:tcPr>
            <w:tcW w:w="567" w:type="dxa"/>
            <w:vAlign w:val="center"/>
            <w:shd w:val="clear" w:color="auto" w:fill="FFFFFF"/>
          </w:tcPr>
          <w:p w14:paraId="71192938">
            <w:pPr>
              <w:keepNext/>
              <w:keepLines/>
              <w:spacing w:before="0" w:after="0" w:line="240" w:lineRule="auto"/>
              <w:jc w:val="center"/>
            </w:pPr>
            <w:r>
              <w:rPr>
                <w:rFonts w:ascii="Arial" w:hAnsi="Arial" w:eastAsia="Arial"/>
                <w:b/>
                <w:color w:val="000000"/>
                <w:sz w:val="16"/>
              </w:rPr>
              <w:t>k</w:t>
            </w:r>
          </w:p>
        </w:tc>
        <w:tc>
          <w:tcPr>
            <w:tcW w:w="1984" w:type="dxa"/>
            <w:vAlign w:val="center"/>
            <w:shd w:val="clear" w:color="auto" w:fill="FFFFFF"/>
          </w:tcPr>
          <w:p w14:paraId="5F75F6AD">
            <w:pPr>
              <w:keepNext/>
              <w:keepLines/>
              <w:spacing w:before="0" w:after="0" w:line="240" w:lineRule="auto"/>
              <w:jc w:val="center"/>
            </w:pPr>
            <w:r>
              <w:rPr>
                <w:rFonts w:ascii="Arial" w:hAnsi="Arial" w:eastAsia="Arial"/>
                <w:b/>
                <w:color w:val="000000"/>
                <w:sz w:val="16"/>
              </w:rPr>
              <w:t>Egger coefficient β1</w:t>
            </w:r>
          </w:p>
        </w:tc>
        <w:tc>
          <w:tcPr>
            <w:tcW w:w="1247" w:type="dxa"/>
            <w:vAlign w:val="center"/>
            <w:shd w:val="clear" w:color="auto" w:fill="FFFFFF"/>
          </w:tcPr>
          <w:p w14:paraId="16A77DAF">
            <w:pPr>
              <w:keepNext/>
              <w:keepLines/>
              <w:spacing w:before="0" w:after="0" w:line="240" w:lineRule="auto"/>
              <w:jc w:val="center"/>
            </w:pPr>
            <w:r>
              <w:rPr>
                <w:rFonts w:ascii="Arial" w:hAnsi="Arial" w:eastAsia="Arial"/>
                <w:b/>
                <w:color w:val="000000"/>
                <w:sz w:val="16"/>
              </w:rPr>
              <w:t>Standard error</w:t>
            </w:r>
          </w:p>
        </w:tc>
        <w:tc>
          <w:tcPr>
            <w:tcW w:w="1134" w:type="dxa"/>
            <w:vAlign w:val="center"/>
            <w:shd w:val="clear" w:color="auto" w:fill="FFFFFF"/>
          </w:tcPr>
          <w:p w14:paraId="0E347771">
            <w:pPr>
              <w:keepNext/>
              <w:keepLines/>
              <w:spacing w:before="0" w:after="0" w:line="240" w:lineRule="auto"/>
              <w:jc w:val="center"/>
            </w:pPr>
            <w:r>
              <w:rPr>
                <w:rFonts w:ascii="Arial" w:hAnsi="Arial" w:eastAsia="Arial"/>
                <w:b/>
                <w:color w:val="000000"/>
                <w:sz w:val="16"/>
              </w:rPr>
              <w:t>z statistic</w:t>
            </w:r>
          </w:p>
        </w:tc>
        <w:tc>
          <w:tcPr>
            <w:tcW w:w="1134" w:type="dxa"/>
            <w:vAlign w:val="center"/>
            <w:shd w:val="clear" w:color="auto" w:fill="FFFFFF"/>
          </w:tcPr>
          <w:p w14:paraId="693FCE67">
            <w:pPr>
              <w:keepNext/>
              <w:keepLines/>
              <w:spacing w:before="0" w:after="0" w:line="240" w:lineRule="auto"/>
              <w:jc w:val="center"/>
            </w:pPr>
            <w:r>
              <w:rPr>
                <w:rFonts w:ascii="Arial" w:hAnsi="Arial" w:eastAsia="Arial"/>
                <w:b/>
                <w:color w:val="000000"/>
                <w:sz w:val="16"/>
              </w:rPr>
              <w:t>P value</w:t>
            </w:r>
          </w:p>
        </w:tc>
        <w:tc>
          <w:tcPr>
            <w:tcW w:w="2268" w:type="dxa"/>
            <w:vAlign w:val="center"/>
            <w:shd w:val="clear" w:color="auto" w:fill="FFFFFF"/>
          </w:tcPr>
          <w:p w14:paraId="0DA075C7">
            <w:pPr>
              <w:keepNext/>
              <w:keepLines/>
              <w:spacing w:before="0" w:after="0" w:line="240" w:lineRule="auto"/>
              <w:jc w:val="center"/>
            </w:pPr>
            <w:r>
              <w:rPr>
                <w:rFonts w:ascii="Arial" w:hAnsi="Arial" w:eastAsia="Arial"/>
                <w:b/>
                <w:color w:val="000000"/>
                <w:sz w:val="16"/>
              </w:rPr>
              <w:t>Model / method</w:t>
            </w:r>
          </w:p>
        </w:tc>
      </w:tr>
      <w:tr w14:paraId="66F1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cantSplit/>
        </w:trPr>
        <w:tc>
          <w:tcPr>
            <w:tcW w:w="3402" w:type="dxa"/>
            <w:vAlign w:val="center"/>
            <w:shd w:val="clear" w:color="auto" w:fill="FFFFFF"/>
          </w:tcPr>
          <w:p w14:paraId="1C1DF94B">
            <w:pPr>
              <w:keepNext/>
              <w:keepLines/>
              <w:spacing w:before="0" w:after="0" w:line="240" w:lineRule="auto"/>
              <w:jc w:val="left"/>
            </w:pPr>
            <w:r>
              <w:rPr>
                <w:rFonts w:ascii="Arial" w:hAnsi="Arial" w:eastAsia="Arial"/>
                <w:b w:val="0"/>
                <w:color w:val="000000"/>
                <w:sz w:val="16"/>
              </w:rPr>
              <w:t>Composite heart failure endpoint</w:t>
            </w:r>
          </w:p>
        </w:tc>
        <w:tc>
          <w:tcPr>
            <w:tcW w:w="1701" w:type="dxa"/>
            <w:vAlign w:val="center"/>
            <w:shd w:val="clear" w:color="auto" w:fill="FFFFFF"/>
          </w:tcPr>
          <w:p w14:paraId="6606A979">
            <w:pPr>
              <w:keepNext/>
              <w:keepLines/>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002B3441">
            <w:pPr>
              <w:keepNext/>
              <w:keepLines/>
              <w:spacing w:before="0" w:after="0" w:line="240" w:lineRule="auto"/>
              <w:jc w:val="center"/>
            </w:pPr>
            <w:r>
              <w:rPr>
                <w:rFonts w:ascii="Arial" w:hAnsi="Arial" w:eastAsia="Arial"/>
                <w:b w:val="0"/>
                <w:color w:val="000000"/>
                <w:sz w:val="16"/>
              </w:rPr>
              <w:t>11</w:t>
            </w:r>
          </w:p>
        </w:tc>
        <w:tc>
          <w:tcPr>
            <w:tcW w:w="1984" w:type="dxa"/>
            <w:vAlign w:val="center"/>
            <w:shd w:val="clear" w:color="auto" w:fill="FFFFFF"/>
          </w:tcPr>
          <w:p w14:paraId="36230255">
            <w:pPr>
              <w:keepNext/>
              <w:keepLines/>
              <w:spacing w:before="0" w:after="0" w:line="240" w:lineRule="auto"/>
              <w:jc w:val="center"/>
            </w:pPr>
            <w:r>
              <w:rPr>
                <w:rFonts w:ascii="Arial" w:hAnsi="Arial" w:eastAsia="Arial"/>
                <w:b w:val="0"/>
                <w:color w:val="000000"/>
                <w:sz w:val="16"/>
              </w:rPr>
              <w:t>-2.044</w:t>
            </w:r>
          </w:p>
        </w:tc>
        <w:tc>
          <w:tcPr>
            <w:tcW w:w="1247" w:type="dxa"/>
            <w:vAlign w:val="center"/>
            <w:shd w:val="clear" w:color="auto" w:fill="FFFFFF"/>
          </w:tcPr>
          <w:p w14:paraId="52B14835">
            <w:pPr>
              <w:keepNext/>
              <w:keepLines/>
              <w:spacing w:before="0" w:after="0" w:line="240" w:lineRule="auto"/>
              <w:jc w:val="center"/>
            </w:pPr>
            <w:r>
              <w:rPr>
                <w:rFonts w:ascii="Arial" w:hAnsi="Arial" w:eastAsia="Arial"/>
                <w:b w:val="0"/>
                <w:color w:val="000000"/>
                <w:sz w:val="16"/>
              </w:rPr>
              <w:t>1.284</w:t>
            </w:r>
          </w:p>
        </w:tc>
        <w:tc>
          <w:tcPr>
            <w:tcW w:w="1134" w:type="dxa"/>
            <w:vAlign w:val="center"/>
            <w:shd w:val="clear" w:color="auto" w:fill="FFFFFF"/>
          </w:tcPr>
          <w:p w14:paraId="687A447F">
            <w:pPr>
              <w:keepNext/>
              <w:keepLines/>
              <w:spacing w:before="0" w:after="0" w:line="240" w:lineRule="auto"/>
              <w:jc w:val="center"/>
            </w:pPr>
            <w:r>
              <w:rPr>
                <w:rFonts w:ascii="Arial" w:hAnsi="Arial" w:eastAsia="Arial"/>
                <w:b w:val="0"/>
                <w:color w:val="000000"/>
                <w:sz w:val="16"/>
              </w:rPr>
              <w:t>-1.593</w:t>
            </w:r>
          </w:p>
        </w:tc>
        <w:tc>
          <w:tcPr>
            <w:tcW w:w="1134" w:type="dxa"/>
            <w:vAlign w:val="center"/>
            <w:shd w:val="clear" w:color="auto" w:fill="FFFFFF"/>
          </w:tcPr>
          <w:p w14:paraId="1646A019">
            <w:pPr>
              <w:keepNext/>
              <w:keepLines/>
              <w:spacing w:before="0" w:after="0" w:line="240" w:lineRule="auto"/>
              <w:jc w:val="center"/>
            </w:pPr>
            <w:r>
              <w:rPr>
                <w:rFonts w:ascii="Arial" w:hAnsi="Arial" w:eastAsia="Arial"/>
                <w:b w:val="0"/>
                <w:color w:val="000000"/>
                <w:sz w:val="16"/>
              </w:rPr>
              <w:t>0.111</w:t>
            </w:r>
          </w:p>
        </w:tc>
        <w:tc>
          <w:tcPr>
            <w:tcW w:w="2268" w:type="dxa"/>
            <w:vAlign w:val="center"/>
            <w:shd w:val="clear" w:color="auto" w:fill="FFFFFF"/>
          </w:tcPr>
          <w:p w14:paraId="67EB54FD">
            <w:pPr>
              <w:keepNext/>
              <w:keepLines/>
              <w:spacing w:before="0" w:after="0" w:line="240" w:lineRule="auto"/>
              <w:jc w:val="left"/>
            </w:pPr>
            <w:r>
              <w:rPr>
                <w:rFonts w:ascii="Arial" w:hAnsi="Arial" w:eastAsia="Arial"/>
                <w:b w:val="0"/>
                <w:color w:val="000000"/>
                <w:sz w:val="16"/>
              </w:rPr>
              <w:t>Random effects / REML</w:t>
            </w:r>
          </w:p>
        </w:tc>
      </w:tr>
      <w:tr w14:paraId="529A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cantSplit/>
        </w:trPr>
        <w:tc>
          <w:tcPr>
            <w:tcW w:w="3402" w:type="dxa"/>
            <w:vAlign w:val="center"/>
            <w:shd w:val="clear" w:color="auto" w:fill="FFFFFF"/>
          </w:tcPr>
          <w:p w14:paraId="38EC2B3B">
            <w:pPr>
              <w:keepNext/>
              <w:keepLines/>
              <w:spacing w:before="0" w:after="0" w:line="240" w:lineRule="auto"/>
              <w:jc w:val="left"/>
            </w:pPr>
            <w:r>
              <w:rPr>
                <w:rFonts w:ascii="Arial" w:hAnsi="Arial" w:eastAsia="Arial"/>
                <w:b w:val="0"/>
                <w:color w:val="000000"/>
                <w:sz w:val="16"/>
              </w:rPr>
              <w:t>Hospitalization for heart failure</w:t>
            </w:r>
          </w:p>
        </w:tc>
        <w:tc>
          <w:tcPr>
            <w:tcW w:w="1701" w:type="dxa"/>
            <w:vAlign w:val="center"/>
            <w:shd w:val="clear" w:color="auto" w:fill="FFFFFF"/>
          </w:tcPr>
          <w:p w14:paraId="60DE3931">
            <w:pPr>
              <w:keepNext/>
              <w:keepLines/>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0252DA48">
            <w:pPr>
              <w:keepNext/>
              <w:keepLines/>
              <w:spacing w:before="0" w:after="0" w:line="240" w:lineRule="auto"/>
              <w:jc w:val="center"/>
            </w:pPr>
            <w:r>
              <w:rPr>
                <w:rFonts w:ascii="Arial" w:hAnsi="Arial" w:eastAsia="Arial"/>
                <w:b w:val="0"/>
                <w:color w:val="000000"/>
                <w:sz w:val="16"/>
              </w:rPr>
              <w:t>10</w:t>
            </w:r>
          </w:p>
        </w:tc>
        <w:tc>
          <w:tcPr>
            <w:tcW w:w="1984" w:type="dxa"/>
            <w:vAlign w:val="center"/>
            <w:shd w:val="clear" w:color="auto" w:fill="FFFFFF"/>
          </w:tcPr>
          <w:p w14:paraId="124CF63C">
            <w:pPr>
              <w:keepNext/>
              <w:keepLines/>
              <w:spacing w:before="0" w:after="0" w:line="240" w:lineRule="auto"/>
              <w:jc w:val="center"/>
            </w:pPr>
            <w:r>
              <w:rPr>
                <w:rFonts w:ascii="Arial" w:hAnsi="Arial" w:eastAsia="Arial"/>
                <w:b w:val="0"/>
                <w:color w:val="000000"/>
                <w:sz w:val="16"/>
              </w:rPr>
              <w:t>-1.663</w:t>
            </w:r>
          </w:p>
        </w:tc>
        <w:tc>
          <w:tcPr>
            <w:tcW w:w="1247" w:type="dxa"/>
            <w:vAlign w:val="center"/>
            <w:shd w:val="clear" w:color="auto" w:fill="FFFFFF"/>
          </w:tcPr>
          <w:p w14:paraId="0D86255D">
            <w:pPr>
              <w:keepNext/>
              <w:keepLines/>
              <w:spacing w:before="0" w:after="0" w:line="240" w:lineRule="auto"/>
              <w:jc w:val="center"/>
            </w:pPr>
            <w:r>
              <w:rPr>
                <w:rFonts w:ascii="Arial" w:hAnsi="Arial" w:eastAsia="Arial"/>
                <w:b w:val="0"/>
                <w:color w:val="000000"/>
                <w:sz w:val="16"/>
              </w:rPr>
              <w:t>1.027</w:t>
            </w:r>
          </w:p>
        </w:tc>
        <w:tc>
          <w:tcPr>
            <w:tcW w:w="1134" w:type="dxa"/>
            <w:vAlign w:val="center"/>
            <w:shd w:val="clear" w:color="auto" w:fill="FFFFFF"/>
          </w:tcPr>
          <w:p w14:paraId="3BE13D57">
            <w:pPr>
              <w:keepNext/>
              <w:keepLines/>
              <w:spacing w:before="0" w:after="0" w:line="240" w:lineRule="auto"/>
              <w:jc w:val="center"/>
            </w:pPr>
            <w:r>
              <w:rPr>
                <w:rFonts w:ascii="Arial" w:hAnsi="Arial" w:eastAsia="Arial"/>
                <w:b w:val="0"/>
                <w:color w:val="000000"/>
                <w:sz w:val="16"/>
              </w:rPr>
              <w:t>-1.619</w:t>
            </w:r>
          </w:p>
        </w:tc>
        <w:tc>
          <w:tcPr>
            <w:tcW w:w="1134" w:type="dxa"/>
            <w:vAlign w:val="center"/>
            <w:shd w:val="clear" w:color="auto" w:fill="FFFFFF"/>
          </w:tcPr>
          <w:p w14:paraId="42869C92">
            <w:pPr>
              <w:keepNext/>
              <w:keepLines/>
              <w:spacing w:before="0" w:after="0" w:line="240" w:lineRule="auto"/>
              <w:jc w:val="center"/>
            </w:pPr>
            <w:r>
              <w:rPr>
                <w:rFonts w:ascii="Arial" w:hAnsi="Arial" w:eastAsia="Arial"/>
                <w:b w:val="0"/>
                <w:color w:val="000000"/>
                <w:sz w:val="16"/>
              </w:rPr>
              <w:t>0.106</w:t>
            </w:r>
          </w:p>
        </w:tc>
        <w:tc>
          <w:tcPr>
            <w:tcW w:w="2268" w:type="dxa"/>
            <w:vAlign w:val="center"/>
            <w:shd w:val="clear" w:color="auto" w:fill="FFFFFF"/>
          </w:tcPr>
          <w:p w14:paraId="1AD77976">
            <w:pPr>
              <w:keepNext/>
              <w:keepLines/>
              <w:spacing w:before="0" w:after="0" w:line="240" w:lineRule="auto"/>
              <w:jc w:val="left"/>
            </w:pPr>
            <w:r>
              <w:rPr>
                <w:rFonts w:ascii="Arial" w:hAnsi="Arial" w:eastAsia="Arial"/>
                <w:b w:val="0"/>
                <w:color w:val="000000"/>
                <w:sz w:val="16"/>
              </w:rPr>
              <w:t>Random effects / REML</w:t>
            </w:r>
          </w:p>
        </w:tc>
      </w:tr>
      <w:tr w14:paraId="1108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cantSplit/>
        </w:trPr>
        <w:tc>
          <w:tcPr>
            <w:tcW w:w="3402" w:type="dxa"/>
            <w:vAlign w:val="center"/>
            <w:shd w:val="clear" w:color="auto" w:fill="FFFFFF"/>
          </w:tcPr>
          <w:p w14:paraId="5F8767ED">
            <w:pPr>
              <w:keepNext/>
              <w:keepLines/>
              <w:spacing w:before="0" w:after="0" w:line="240" w:lineRule="auto"/>
              <w:jc w:val="left"/>
            </w:pPr>
            <w:r>
              <w:rPr>
                <w:rFonts w:ascii="Arial" w:hAnsi="Arial" w:eastAsia="Arial"/>
                <w:b w:val="0"/>
                <w:color w:val="000000"/>
                <w:sz w:val="16"/>
              </w:rPr>
              <w:t>All-cause mortality</w:t>
            </w:r>
          </w:p>
        </w:tc>
        <w:tc>
          <w:tcPr>
            <w:tcW w:w="1701" w:type="dxa"/>
            <w:vAlign w:val="center"/>
            <w:shd w:val="clear" w:color="auto" w:fill="FFFFFF"/>
          </w:tcPr>
          <w:p w14:paraId="542ACE23">
            <w:pPr>
              <w:keepNext/>
              <w:keepLines/>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3DD254D6">
            <w:pPr>
              <w:keepNext/>
              <w:keepLines/>
              <w:spacing w:before="0" w:after="0" w:line="240" w:lineRule="auto"/>
              <w:jc w:val="center"/>
            </w:pPr>
            <w:r>
              <w:rPr>
                <w:rFonts w:ascii="Arial" w:hAnsi="Arial" w:eastAsia="Arial"/>
                <w:b w:val="0"/>
                <w:color w:val="000000"/>
                <w:sz w:val="16"/>
              </w:rPr>
              <w:t>11</w:t>
            </w:r>
          </w:p>
        </w:tc>
        <w:tc>
          <w:tcPr>
            <w:tcW w:w="1984" w:type="dxa"/>
            <w:vAlign w:val="center"/>
            <w:shd w:val="clear" w:color="auto" w:fill="FFFFFF"/>
          </w:tcPr>
          <w:p w14:paraId="09732DB4">
            <w:pPr>
              <w:keepNext/>
              <w:keepLines/>
              <w:spacing w:before="0" w:after="0" w:line="240" w:lineRule="auto"/>
              <w:jc w:val="center"/>
            </w:pPr>
            <w:r>
              <w:rPr>
                <w:rFonts w:ascii="Arial" w:hAnsi="Arial" w:eastAsia="Arial"/>
                <w:b w:val="0"/>
                <w:color w:val="000000"/>
                <w:sz w:val="16"/>
              </w:rPr>
              <w:t>-2.697</w:t>
            </w:r>
          </w:p>
        </w:tc>
        <w:tc>
          <w:tcPr>
            <w:tcW w:w="1247" w:type="dxa"/>
            <w:vAlign w:val="center"/>
            <w:shd w:val="clear" w:color="auto" w:fill="FFFFFF"/>
          </w:tcPr>
          <w:p w14:paraId="1615B8E0">
            <w:pPr>
              <w:keepNext/>
              <w:keepLines/>
              <w:spacing w:before="0" w:after="0" w:line="240" w:lineRule="auto"/>
              <w:jc w:val="center"/>
            </w:pPr>
            <w:r>
              <w:rPr>
                <w:rFonts w:ascii="Arial" w:hAnsi="Arial" w:eastAsia="Arial"/>
                <w:b w:val="0"/>
                <w:color w:val="000000"/>
                <w:sz w:val="16"/>
              </w:rPr>
              <w:t>1.205</w:t>
            </w:r>
          </w:p>
        </w:tc>
        <w:tc>
          <w:tcPr>
            <w:tcW w:w="1134" w:type="dxa"/>
            <w:vAlign w:val="center"/>
            <w:shd w:val="clear" w:color="auto" w:fill="FFFFFF"/>
          </w:tcPr>
          <w:p w14:paraId="2D51C69D">
            <w:pPr>
              <w:keepNext/>
              <w:keepLines/>
              <w:spacing w:before="0" w:after="0" w:line="240" w:lineRule="auto"/>
              <w:jc w:val="center"/>
            </w:pPr>
            <w:r>
              <w:rPr>
                <w:rFonts w:ascii="Arial" w:hAnsi="Arial" w:eastAsia="Arial"/>
                <w:b w:val="0"/>
                <w:color w:val="000000"/>
                <w:sz w:val="16"/>
              </w:rPr>
              <w:t>-2.239</w:t>
            </w:r>
          </w:p>
        </w:tc>
        <w:tc>
          <w:tcPr>
            <w:tcW w:w="1134" w:type="dxa"/>
            <w:vAlign w:val="center"/>
            <w:shd w:val="clear" w:color="auto" w:fill="FFFFFF"/>
          </w:tcPr>
          <w:p w14:paraId="6177D73B">
            <w:pPr>
              <w:keepNext/>
              <w:keepLines/>
              <w:spacing w:before="0" w:after="0" w:line="240" w:lineRule="auto"/>
              <w:jc w:val="center"/>
            </w:pPr>
            <w:r>
              <w:rPr>
                <w:rFonts w:ascii="Arial" w:hAnsi="Arial" w:eastAsia="Arial"/>
                <w:b w:val="0"/>
                <w:color w:val="000000"/>
                <w:sz w:val="16"/>
              </w:rPr>
              <w:t>0.025</w:t>
            </w:r>
          </w:p>
        </w:tc>
        <w:tc>
          <w:tcPr>
            <w:tcW w:w="2268" w:type="dxa"/>
            <w:vAlign w:val="center"/>
            <w:shd w:val="clear" w:color="auto" w:fill="FFFFFF"/>
          </w:tcPr>
          <w:p w14:paraId="0DD4F1C5">
            <w:pPr>
              <w:keepNext/>
              <w:keepLines/>
              <w:spacing w:before="0" w:after="0" w:line="240" w:lineRule="auto"/>
              <w:jc w:val="left"/>
            </w:pPr>
            <w:r>
              <w:rPr>
                <w:rFonts w:ascii="Arial" w:hAnsi="Arial" w:eastAsia="Arial"/>
                <w:b w:val="0"/>
                <w:color w:val="000000"/>
                <w:sz w:val="16"/>
              </w:rPr>
              <w:t>Random effects / REML</w:t>
            </w:r>
          </w:p>
        </w:tc>
      </w:tr>
      <w:tr w14:paraId="182E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cantSplit/>
        </w:trPr>
        <w:tc>
          <w:tcPr>
            <w:tcW w:w="3402" w:type="dxa"/>
            <w:vAlign w:val="center"/>
            <w:shd w:val="clear" w:color="auto" w:fill="FFFFFF"/>
          </w:tcPr>
          <w:p w14:paraId="3C16FA47">
            <w:pPr>
              <w:keepNext/>
              <w:keepLines/>
              <w:spacing w:before="0" w:after="0" w:line="240" w:lineRule="auto"/>
              <w:jc w:val="left"/>
            </w:pPr>
            <w:r>
              <w:rPr>
                <w:rFonts w:ascii="Arial" w:hAnsi="Arial" w:eastAsia="Arial"/>
                <w:b w:val="0"/>
                <w:color w:val="000000"/>
                <w:sz w:val="16"/>
              </w:rPr>
              <w:t>Cardiovascular death</w:t>
            </w:r>
          </w:p>
        </w:tc>
        <w:tc>
          <w:tcPr>
            <w:tcW w:w="1701" w:type="dxa"/>
            <w:vAlign w:val="center"/>
            <w:shd w:val="clear" w:color="auto" w:fill="FFFFFF"/>
          </w:tcPr>
          <w:p w14:paraId="26EABD0C">
            <w:pPr>
              <w:keepNext/>
              <w:keepLines/>
              <w:spacing w:before="0" w:after="0" w:line="240" w:lineRule="auto"/>
              <w:jc w:val="left"/>
            </w:pPr>
            <w:r>
              <w:rPr>
                <w:rFonts w:ascii="Arial" w:hAnsi="Arial" w:eastAsia="Arial"/>
                <w:b w:val="0"/>
                <w:color w:val="000000"/>
                <w:sz w:val="16"/>
              </w:rPr>
              <w:t>CKM stage 4</w:t>
            </w:r>
          </w:p>
        </w:tc>
        <w:tc>
          <w:tcPr>
            <w:tcW w:w="567" w:type="dxa"/>
            <w:vAlign w:val="center"/>
            <w:shd w:val="clear" w:color="auto" w:fill="FFFFFF"/>
          </w:tcPr>
          <w:p w14:paraId="0F87159C">
            <w:pPr>
              <w:keepNext/>
              <w:keepLines/>
              <w:spacing w:before="0" w:after="0" w:line="240" w:lineRule="auto"/>
              <w:jc w:val="center"/>
            </w:pPr>
            <w:r>
              <w:rPr>
                <w:rFonts w:ascii="Arial" w:hAnsi="Arial" w:eastAsia="Arial"/>
                <w:b w:val="0"/>
                <w:color w:val="000000"/>
                <w:sz w:val="16"/>
              </w:rPr>
              <w:t>11</w:t>
            </w:r>
          </w:p>
        </w:tc>
        <w:tc>
          <w:tcPr>
            <w:tcW w:w="1984" w:type="dxa"/>
            <w:vAlign w:val="center"/>
            <w:shd w:val="clear" w:color="auto" w:fill="FFFFFF"/>
          </w:tcPr>
          <w:p w14:paraId="6215B471">
            <w:pPr>
              <w:keepNext/>
              <w:keepLines/>
              <w:spacing w:before="0" w:after="0" w:line="240" w:lineRule="auto"/>
              <w:jc w:val="center"/>
            </w:pPr>
            <w:r>
              <w:rPr>
                <w:rFonts w:ascii="Arial" w:hAnsi="Arial" w:eastAsia="Arial"/>
                <w:b w:val="0"/>
                <w:color w:val="000000"/>
                <w:sz w:val="16"/>
              </w:rPr>
              <w:t>-1.300</w:t>
            </w:r>
          </w:p>
        </w:tc>
        <w:tc>
          <w:tcPr>
            <w:tcW w:w="1247" w:type="dxa"/>
            <w:vAlign w:val="center"/>
            <w:shd w:val="clear" w:color="auto" w:fill="FFFFFF"/>
          </w:tcPr>
          <w:p w14:paraId="6FCF09C0">
            <w:pPr>
              <w:keepNext/>
              <w:keepLines/>
              <w:spacing w:before="0" w:after="0" w:line="240" w:lineRule="auto"/>
              <w:jc w:val="center"/>
            </w:pPr>
            <w:r>
              <w:rPr>
                <w:rFonts w:ascii="Arial" w:hAnsi="Arial" w:eastAsia="Arial"/>
                <w:b w:val="0"/>
                <w:color w:val="000000"/>
                <w:sz w:val="16"/>
              </w:rPr>
              <w:t>1.260</w:t>
            </w:r>
          </w:p>
        </w:tc>
        <w:tc>
          <w:tcPr>
            <w:tcW w:w="1134" w:type="dxa"/>
            <w:vAlign w:val="center"/>
            <w:shd w:val="clear" w:color="auto" w:fill="FFFFFF"/>
          </w:tcPr>
          <w:p w14:paraId="3CCDF9A1">
            <w:pPr>
              <w:keepNext/>
              <w:keepLines/>
              <w:spacing w:before="0" w:after="0" w:line="240" w:lineRule="auto"/>
              <w:jc w:val="center"/>
            </w:pPr>
            <w:r>
              <w:rPr>
                <w:rFonts w:ascii="Arial" w:hAnsi="Arial" w:eastAsia="Arial"/>
                <w:b w:val="0"/>
                <w:color w:val="000000"/>
                <w:sz w:val="16"/>
              </w:rPr>
              <w:t>-1.032</w:t>
            </w:r>
          </w:p>
        </w:tc>
        <w:tc>
          <w:tcPr>
            <w:tcW w:w="1134" w:type="dxa"/>
            <w:vAlign w:val="center"/>
            <w:shd w:val="clear" w:color="auto" w:fill="FFFFFF"/>
          </w:tcPr>
          <w:p w14:paraId="2A8171B1">
            <w:pPr>
              <w:keepNext/>
              <w:keepLines/>
              <w:spacing w:before="0" w:after="0" w:line="240" w:lineRule="auto"/>
              <w:jc w:val="center"/>
            </w:pPr>
            <w:r>
              <w:rPr>
                <w:rFonts w:ascii="Arial" w:hAnsi="Arial" w:eastAsia="Arial"/>
                <w:b w:val="0"/>
                <w:color w:val="000000"/>
                <w:sz w:val="16"/>
              </w:rPr>
              <w:t>0.302</w:t>
            </w:r>
          </w:p>
        </w:tc>
        <w:tc>
          <w:tcPr>
            <w:tcW w:w="2268" w:type="dxa"/>
            <w:vAlign w:val="center"/>
            <w:shd w:val="clear" w:color="auto" w:fill="FFFFFF"/>
          </w:tcPr>
          <w:p w14:paraId="22EDE58A">
            <w:pPr>
              <w:spacing w:before="0" w:after="0" w:line="240" w:lineRule="auto"/>
              <w:jc w:val="left"/>
            </w:pPr>
            <w:r>
              <w:rPr>
                <w:rFonts w:ascii="Arial" w:hAnsi="Arial" w:eastAsia="Arial"/>
                <w:b w:val="0"/>
                <w:color w:val="000000"/>
                <w:sz w:val="16"/>
              </w:rPr>
              <w:t>Random effects / REML</w:t>
            </w:r>
          </w:p>
        </w:tc>
      </w:tr>
    </w:tbl>
    <w:p w14:paraId="7EE0744B">
      <w:pPr>
        <w:spacing w:after="80"/>
      </w:pPr>
      <w:r>
        <w:rPr>
          <w:rFonts w:ascii="Arial" w:hAnsi="Arial" w:eastAsia="Arial"/>
          <w:i/>
          <w:color w:val="000000"/>
          <w:sz w:val="16"/>
        </w:rPr>
        <w:t>Testing was restricted to stage-group-specific syntheses with at least 10 independent trial estimates. The all-cause mortality signal should be interpreted as potential small-study effects rather than direct proof of publication bias.</w:t>
      </w:r>
    </w:p>
    <w:p w14:paraId="616A82D7">
      <w:pPr>
        <w:pStyle w:val="3"/>
        <w:spacing w:before="160" w:after="80"/>
      </w:pPr>
      <w:r>
        <w:rPr>
          <w:rFonts w:ascii="Arial" w:hAnsi="Arial" w:eastAsia="Arial"/>
          <w:color w:val="000000"/>
        </w:rPr>
        <w:t>Abbreviations</w:t>
      </w:r>
    </w:p>
    <w:p w14:paraId="1BB0D7AD">
      <w:r>
        <w:rPr>
          <w:color w:val="000000"/>
        </w:rPr>
        <w:t>ASCVD, atherosclerotic cardiovascular disease; CI, confidence interval; CKD, chronic kidney disease; CKM, cardiovascular-kidney-metabolic; eGFR, estimated glomerular filtration rate; GRADE, Grading of Recommendations Assessment, Development and Evaluation; HHF, hospitalization for heart failure; HR, hazard ratio; MACE, major adverse cardiovascular events; REML, restricted maximum likelihood; RoB 2, Cochrane Risk of Bias 2; SGLT2, sodium-glucose cotransporter 2.</w:t>
      </w:r>
    </w:p>
    <w:sectPr>
      <w:headerReference w:type="default" r:id="rId9"/>
      <w:footerReference w:type="default" r:id="rId10"/>
      <w:headerReference w:type="first" r:id="rId11"/>
      <w:footerReference w:type="first" r:id="rId12"/>
      <w:headerReference w:type="even" r:id="rId13"/>
      <w:footerReference w:type="even" r:id="rId14"/>
      <w:pgSz w:w="15840" w:h="12240"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F28DBB90-57B0-406D-957B-D4A1A74D85B4}"/>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embedRegular r:id="rId2" w:fontKey="{49096621-8B4D-44C8-AA9E-1DE19304A6A6}"/>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embedRegular r:id="rId3" w:fontKey="{1D2C3DCE-BBDE-4EC3-9C2E-67AE5B0DE4D2}"/>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8F7371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17365D"/>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472C4"/>
      <w:sz w:val="22"/>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5B9BD5"/>
      <w:sz w:val="20"/>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65D"/>
      <w:spacing w:val="5"/>
      <w:kern w:val="28"/>
      <w:sz w:val="3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590</Words>
  <Characters>4846</Characters>
  <Lines>0</Lines>
  <Paragraphs>0</Paragraphs>
  <TotalTime>2</TotalTime>
  <ScaleCrop>false</ScaleCrop>
  <LinksUpToDate>false</LinksUpToDate>
  <CharactersWithSpaces>5397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惊鸿</cp:lastModifiedBy>
  <dcterms:modified xsi:type="dcterms:W3CDTF">2026-07-11T08:12:15Z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eyJoZGlkIjoiZGE4ZWYzMTk3MzVjZDdmNzNkOTRjYmY1ODZjZjk0YzgiLCJ1c2VySWQiOiI2Njk5OTc5NDgifQ==</vt:lpwstr>
  </property>
  <property fmtid="{D5CDD505-2E9C-101B-9397-08002B2CF9AE}" pid="3" name="KSOProductBuildVer">
    <vt:lpwstr>2052-12.1.0.26895</vt:lpwstr>
  </property>
  <property fmtid="{D5CDD505-2E9C-101B-9397-08002B2CF9AE}" pid="4" name="ICV">
    <vt:lpwstr>CA156AF53FF54F0BBDC9E86944744B04_12</vt:lpwstr>
  </property>
</Properties>
</file>