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A3A5A"/>
          <w:sz w:val="32"/>
          <w:szCs w:val="32"/>
        </w:rPr>
        <w:t xml:space="preserve">Systematic Review Protocol (Updated)</w:t>
      </w:r>
    </w:p>
    <w:p>
      <w:pPr>
        <w:spacing w:after="120"/>
        <w:jc w:val="center"/>
      </w:pPr>
      <w:r>
        <w:rPr>
          <w:i/>
          <w:iCs/>
          <w:sz w:val="22"/>
          <w:szCs w:val="22"/>
        </w:rPr>
        <w:t xml:space="preserve">Association Between Metformin Use, Vitamin B12 Deficiency, and Peripheral Neuropathy in Patients with Type 2 Diabetes Mellitus: A Systematic Review and Meta-Analysis</w:t>
      </w:r>
    </w:p>
    <w:p>
      <w:pPr>
        <w:spacing w:after="40"/>
        <w:jc w:val="center"/>
      </w:pPr>
      <w:r>
        <w:rPr>
          <w:b/>
          <w:bCs/>
          <w:color w:val="555555"/>
          <w:sz w:val="20"/>
          <w:szCs w:val="20"/>
        </w:rPr>
        <w:t xml:space="preserve">PROSPERO Registration: CRD420261363992</w:t>
      </w:r>
    </w:p>
    <w:p>
      <w:pPr>
        <w:spacing w:after="240"/>
        <w:jc w:val="center"/>
      </w:pPr>
      <w:r>
        <w:rPr>
          <w:color w:val="555555"/>
          <w:sz w:val="19"/>
          <w:szCs w:val="19"/>
        </w:rPr>
        <w:t xml:space="preserve">Protocol version 2.0  ·  Updated 21 May 2026</w:t>
      </w:r>
    </w:p>
    <w:p>
      <w:pPr>
        <w:spacing w:after="140" w:line="290"/>
        <w:jc w:val="both"/>
      </w:pPr>
      <w:r>
        <w:rPr>
          <w:b/>
          <w:bCs/>
          <w:i w:val="false"/>
          <w:iCs w:val="false"/>
          <w:color w:val="000000"/>
          <w:sz w:val="21"/>
          <w:szCs w:val="21"/>
        </w:rPr>
        <w:t xml:space="preserve">Note. </w:t>
      </w:r>
      <w:r>
        <w:rPr>
          <w:b w:val="false"/>
          <w:bCs w:val="false"/>
          <w:i/>
          <w:iCs/>
          <w:color w:val="000000"/>
          <w:sz w:val="21"/>
          <w:szCs w:val="21"/>
        </w:rPr>
        <w:t xml:space="preserve">This document presents the updated review protocol, reflecting the methodology as finally implemented. It is provided for transparency and as a record for the review team and journal editors. Section 11 explicitly logs all amendments made after the original PROSPERO registration, in accordance with PRISMA 2020 item 24c.</w:t>
      </w:r>
    </w:p>
    <w:p>
      <w:pPr>
        <w:pStyle w:val="Heading1"/>
        <w:spacing w:after="140" w:before="280"/>
      </w:pPr>
      <w:r>
        <w:rPr>
          <w:rFonts w:ascii="Arial" w:cs="Arial" w:eastAsia="Arial" w:hAnsi="Arial"/>
          <w:b/>
          <w:bCs/>
          <w:color w:val="1A3A5A"/>
          <w:sz w:val="28"/>
          <w:szCs w:val="28"/>
        </w:rPr>
        <w:t xml:space="preserve">1. Background and Rationale</w:t>
      </w:r>
    </w:p>
    <w:p>
      <w:pPr>
        <w:spacing w:after="140" w:line="290"/>
        <w:jc w:val="both"/>
      </w:pPr>
      <w:r>
        <w:rPr>
          <w:sz w:val="21"/>
          <w:szCs w:val="21"/>
        </w:rPr>
        <w:t xml:space="preserve">Metformin is the first-line pharmacological therapy for type 2 diabetes mellitus (T2DM). Long-term metformin use has been associated with reduced serum vitamin B12 levels through impaired ileal calcium-dependent absorption of the vitamin B12–intrinsic factor complex. Vitamin B12 deficiency can itself produce peripheral nerve injury that is clinically difficult to distinguish from diabetic peripheral neuropathy. The extent to which metformin-associated B12 deficiency contributes to peripheral neuropathy in T2DM remains incompletely quantified, and existing syntheses predate several recent multinational studies. This review systematically synthesises the available observational evidence on this triad.</w:t>
      </w:r>
    </w:p>
    <w:p>
      <w:pPr>
        <w:pStyle w:val="Heading1"/>
        <w:spacing w:after="140" w:before="280"/>
      </w:pPr>
      <w:r>
        <w:rPr>
          <w:rFonts w:ascii="Arial" w:cs="Arial" w:eastAsia="Arial" w:hAnsi="Arial"/>
          <w:b/>
          <w:bCs/>
          <w:color w:val="1A3A5A"/>
          <w:sz w:val="28"/>
          <w:szCs w:val="28"/>
        </w:rPr>
        <w:t xml:space="preserve">2. Review Question and Objectives</w:t>
      </w:r>
    </w:p>
    <w:p>
      <w:pPr>
        <w:spacing w:after="140" w:line="290"/>
        <w:jc w:val="both"/>
      </w:pPr>
      <w:r>
        <w:rPr>
          <w:b/>
          <w:bCs/>
          <w:i w:val="false"/>
          <w:iCs w:val="false"/>
          <w:color w:val="000000"/>
          <w:sz w:val="21"/>
          <w:szCs w:val="21"/>
        </w:rPr>
        <w:t xml:space="preserve">Primary objective. </w:t>
      </w:r>
      <w:r>
        <w:rPr>
          <w:b w:val="false"/>
          <w:bCs w:val="false"/>
          <w:i w:val="false"/>
          <w:iCs w:val="false"/>
          <w:color w:val="000000"/>
          <w:sz w:val="21"/>
          <w:szCs w:val="21"/>
        </w:rPr>
        <w:t xml:space="preserve">To systematically evaluate the association between long-term metformin use, vitamin B12 deficiency, and peripheral neuropathy in adults with T2DM.</w:t>
      </w:r>
    </w:p>
    <w:p>
      <w:pPr>
        <w:spacing w:after="140" w:line="290"/>
        <w:jc w:val="both"/>
      </w:pPr>
      <w:r>
        <w:rPr>
          <w:sz w:val="21"/>
          <w:szCs w:val="21"/>
        </w:rPr>
        <w:t xml:space="preserve">Specific objectives:</w:t>
      </w:r>
    </w:p>
    <w:p>
      <w:pPr>
        <w:pStyle w:val="ListParagraph"/>
        <w:numPr>
          <w:ilvl w:val="0"/>
          <w:numId w:val="2"/>
        </w:numPr>
        <w:spacing w:after="70" w:line="285"/>
      </w:pPr>
      <w:r>
        <w:rPr>
          <w:sz w:val="21"/>
          <w:szCs w:val="21"/>
        </w:rPr>
        <w:t xml:space="preserve">To estimate the association between metformin use and peripheral neuropathy risk (Meta-analysis 1).</w:t>
      </w:r>
    </w:p>
    <w:p>
      <w:pPr>
        <w:pStyle w:val="ListParagraph"/>
        <w:numPr>
          <w:ilvl w:val="0"/>
          <w:numId w:val="2"/>
        </w:numPr>
        <w:spacing w:after="70" w:line="285"/>
      </w:pPr>
      <w:r>
        <w:rPr>
          <w:sz w:val="21"/>
          <w:szCs w:val="21"/>
        </w:rPr>
        <w:t xml:space="preserve">To estimate the association between vitamin B12 deficiency and peripheral neuropathy risk in T2DM (Meta-analysis 2).</w:t>
      </w:r>
    </w:p>
    <w:p>
      <w:pPr>
        <w:pStyle w:val="ListParagraph"/>
        <w:numPr>
          <w:ilvl w:val="0"/>
          <w:numId w:val="2"/>
        </w:numPr>
        <w:spacing w:after="70" w:line="285"/>
      </w:pPr>
      <w:r>
        <w:rPr>
          <w:sz w:val="21"/>
          <w:szCs w:val="21"/>
        </w:rPr>
        <w:t xml:space="preserve">To estimate the pooled prevalence of vitamin B12 deficiency among metformin-treated patients (Meta-analysis 3).</w:t>
      </w:r>
    </w:p>
    <w:p>
      <w:pPr>
        <w:pStyle w:val="Heading1"/>
        <w:spacing w:after="140" w:before="280"/>
      </w:pPr>
      <w:r>
        <w:rPr>
          <w:rFonts w:ascii="Arial" w:cs="Arial" w:eastAsia="Arial" w:hAnsi="Arial"/>
          <w:b/>
          <w:bCs/>
          <w:color w:val="1A3A5A"/>
          <w:sz w:val="28"/>
          <w:szCs w:val="28"/>
        </w:rPr>
        <w:t xml:space="preserve">3. Eligibility Criteria</w:t>
      </w:r>
    </w:p>
    <w:p>
      <w:pPr>
        <w:pStyle w:val="Heading2"/>
        <w:spacing w:after="100" w:before="200"/>
      </w:pPr>
      <w:r>
        <w:rPr>
          <w:rFonts w:ascii="Arial" w:cs="Arial" w:eastAsia="Arial" w:hAnsi="Arial"/>
          <w:b/>
          <w:bCs/>
          <w:color w:val="2C5F8A"/>
          <w:sz w:val="23"/>
          <w:szCs w:val="23"/>
        </w:rPr>
        <w:t xml:space="preserve">3.1 Inclusion criteria</w:t>
      </w:r>
    </w:p>
    <w:p>
      <w:pPr>
        <w:pStyle w:val="ListParagraph"/>
        <w:numPr>
          <w:ilvl w:val="0"/>
          <w:numId w:val="2"/>
        </w:numPr>
        <w:spacing w:after="70" w:line="285"/>
      </w:pPr>
      <w:r>
        <w:rPr>
          <w:sz w:val="21"/>
          <w:szCs w:val="21"/>
        </w:rPr>
        <w:t xml:space="preserve">Adults (≥18 years) with T2DM receiving or previously exposed to metformin, regardless of dose, duration, sex, ethnicity, or geographic location.</w:t>
      </w:r>
    </w:p>
    <w:p>
      <w:pPr>
        <w:pStyle w:val="ListParagraph"/>
        <w:numPr>
          <w:ilvl w:val="0"/>
          <w:numId w:val="2"/>
        </w:numPr>
        <w:spacing w:after="70" w:line="285"/>
      </w:pPr>
      <w:r>
        <w:rPr>
          <w:sz w:val="21"/>
          <w:szCs w:val="21"/>
        </w:rPr>
        <w:t xml:space="preserve">Studies evaluating serum or plasma vitamin B12 levels and/or vitamin B12 deficiency (study-defined threshold).</w:t>
      </w:r>
    </w:p>
    <w:p>
      <w:pPr>
        <w:pStyle w:val="ListParagraph"/>
        <w:numPr>
          <w:ilvl w:val="0"/>
          <w:numId w:val="2"/>
        </w:numPr>
        <w:spacing w:after="70" w:line="285"/>
      </w:pPr>
      <w:r>
        <w:rPr>
          <w:sz w:val="21"/>
          <w:szCs w:val="21"/>
        </w:rPr>
        <w:t xml:space="preserve">Studies assessing peripheral or diabetic neuropathy by clinical examination, nerve conduction studies, or validated scoring tools (e.g., MNSI, NSS, TCSS, DN4).</w:t>
      </w:r>
    </w:p>
    <w:p>
      <w:pPr>
        <w:pStyle w:val="ListParagraph"/>
        <w:numPr>
          <w:ilvl w:val="0"/>
          <w:numId w:val="2"/>
        </w:numPr>
        <w:spacing w:after="70" w:line="285"/>
      </w:pPr>
      <w:r>
        <w:rPr>
          <w:sz w:val="21"/>
          <w:szCs w:val="21"/>
        </w:rPr>
        <w:t xml:space="preserve">Original observational designs: prospective and retrospective cohort studies, and cross-sectional studies.</w:t>
      </w:r>
    </w:p>
    <w:p>
      <w:pPr>
        <w:pStyle w:val="ListParagraph"/>
        <w:numPr>
          <w:ilvl w:val="0"/>
          <w:numId w:val="2"/>
        </w:numPr>
        <w:spacing w:after="70" w:line="285"/>
      </w:pPr>
      <w:r>
        <w:rPr>
          <w:sz w:val="21"/>
          <w:szCs w:val="21"/>
        </w:rPr>
        <w:t xml:space="preserve">Published in English between January 2009 and April 2026.</w:t>
      </w:r>
    </w:p>
    <w:p>
      <w:pPr>
        <w:pStyle w:val="Heading2"/>
        <w:spacing w:after="100" w:before="200"/>
      </w:pPr>
      <w:r>
        <w:rPr>
          <w:rFonts w:ascii="Arial" w:cs="Arial" w:eastAsia="Arial" w:hAnsi="Arial"/>
          <w:b/>
          <w:bCs/>
          <w:color w:val="2C5F8A"/>
          <w:sz w:val="23"/>
          <w:szCs w:val="23"/>
        </w:rPr>
        <w:t xml:space="preserve">3.2 Exclusion criteria</w:t>
      </w:r>
    </w:p>
    <w:p>
      <w:pPr>
        <w:pStyle w:val="ListParagraph"/>
        <w:numPr>
          <w:ilvl w:val="0"/>
          <w:numId w:val="2"/>
        </w:numPr>
        <w:spacing w:after="70" w:line="285"/>
      </w:pPr>
      <w:r>
        <w:rPr>
          <w:sz w:val="21"/>
          <w:szCs w:val="21"/>
        </w:rPr>
        <w:t xml:space="preserve">Type 1 diabetes, gestational diabetes, other diabetes types; paediatric populations; non-diabetic individuals.</w:t>
      </w:r>
    </w:p>
    <w:p>
      <w:pPr>
        <w:pStyle w:val="ListParagraph"/>
        <w:numPr>
          <w:ilvl w:val="0"/>
          <w:numId w:val="2"/>
        </w:numPr>
        <w:spacing w:after="70" w:line="285"/>
      </w:pPr>
      <w:r>
        <w:rPr>
          <w:sz w:val="21"/>
          <w:szCs w:val="21"/>
        </w:rPr>
        <w:t xml:space="preserve">Studies in which metformin exposure cannot be clearly defined or isolated.</w:t>
      </w:r>
    </w:p>
    <w:p>
      <w:pPr>
        <w:pStyle w:val="ListParagraph"/>
        <w:numPr>
          <w:ilvl w:val="0"/>
          <w:numId w:val="2"/>
        </w:numPr>
        <w:spacing w:after="70" w:line="285"/>
      </w:pPr>
      <w:r>
        <w:rPr>
          <w:sz w:val="21"/>
          <w:szCs w:val="21"/>
        </w:rPr>
        <w:t xml:space="preserve">Reviews, meta-analyses, editorials, commentaries, letters, case reports, case series, and conference abstracts.</w:t>
      </w:r>
    </w:p>
    <w:p>
      <w:pPr>
        <w:pStyle w:val="ListParagraph"/>
        <w:numPr>
          <w:ilvl w:val="0"/>
          <w:numId w:val="2"/>
        </w:numPr>
        <w:spacing w:after="70" w:line="285"/>
      </w:pPr>
      <w:r>
        <w:rPr>
          <w:sz w:val="21"/>
          <w:szCs w:val="21"/>
        </w:rPr>
        <w:t xml:space="preserve">Studies not reporting relevant B12 or neuropathy data, or with insufficient/unclear data; duplicate publications.</w:t>
      </w:r>
    </w:p>
    <w:p>
      <w:pPr>
        <w:pStyle w:val="Heading2"/>
        <w:spacing w:after="100" w:before="200"/>
      </w:pPr>
      <w:r>
        <w:rPr>
          <w:rFonts w:ascii="Arial" w:cs="Arial" w:eastAsia="Arial" w:hAnsi="Arial"/>
          <w:b/>
          <w:bCs/>
          <w:color w:val="2C5F8A"/>
          <w:sz w:val="23"/>
          <w:szCs w:val="23"/>
        </w:rPr>
        <w:t xml:space="preserve">3.3 Comparators</w:t>
      </w:r>
    </w:p>
    <w:p>
      <w:pPr>
        <w:spacing w:after="140" w:line="290"/>
        <w:jc w:val="both"/>
      </w:pPr>
      <w:r>
        <w:rPr>
          <w:sz w:val="21"/>
          <w:szCs w:val="21"/>
        </w:rPr>
        <w:t xml:space="preserve">Eligible comparators were: (1) patients with T2DM not receiving metformin; (2) baseline vitamin B12 levels prior to metformin initiation; or (3) usual-care groups. For the comparative meta-analyses (MA1, MA2), a clearly defined comparator group with extractable data was required. Single-arm studies without a comparator were eligible for the prevalence analysis (MA3) or narrative synthesis only.</w:t>
      </w:r>
    </w:p>
    <w:p>
      <w:pPr>
        <w:pStyle w:val="Heading1"/>
        <w:spacing w:after="140" w:before="280"/>
      </w:pPr>
      <w:r>
        <w:rPr>
          <w:rFonts w:ascii="Arial" w:cs="Arial" w:eastAsia="Arial" w:hAnsi="Arial"/>
          <w:b/>
          <w:bCs/>
          <w:color w:val="1A3A5A"/>
          <w:sz w:val="28"/>
          <w:szCs w:val="28"/>
        </w:rPr>
        <w:t xml:space="preserve">4. Information Sources and Search Strategy</w:t>
      </w:r>
    </w:p>
    <w:p>
      <w:pPr>
        <w:spacing w:after="140" w:line="290"/>
        <w:jc w:val="both"/>
      </w:pPr>
      <w:r>
        <w:rPr>
          <w:sz w:val="21"/>
          <w:szCs w:val="21"/>
        </w:rPr>
        <w:t xml:space="preserve">Two primary electronic databases were searched — PubMed and Google Scholar — with coverage from January 2009 to April 2026. Europe PMC, the Cochrane Central Register of Controlled Trials (CENTRAL), ClinicalTrials.gov, and the WHO International Clinical Trials Registry Platform (ICTRP) were searched as supplementary sources. Backward citation searching of the reference lists of all included studies was performed. The 2009 start date was chosen to align with the period following widespread adoption of metformin as first-line T2DM therapy and the publication of foundational analyses on metformin and B12 absorption.</w:t>
      </w:r>
    </w:p>
    <w:p>
      <w:pPr>
        <w:spacing w:after="140" w:line="290"/>
        <w:jc w:val="both"/>
      </w:pPr>
      <w:r>
        <w:rPr>
          <w:b/>
          <w:bCs/>
          <w:i w:val="false"/>
          <w:iCs w:val="false"/>
          <w:color w:val="000000"/>
          <w:sz w:val="21"/>
          <w:szCs w:val="21"/>
        </w:rPr>
        <w:t xml:space="preserve">Core PubMed search string: </w:t>
      </w:r>
      <w:r>
        <w:rPr>
          <w:b w:val="false"/>
          <w:bCs w:val="false"/>
          <w:i/>
          <w:iCs/>
          <w:color w:val="000000"/>
          <w:sz w:val="21"/>
          <w:szCs w:val="21"/>
        </w:rPr>
        <w:t xml:space="preserve">((“metformin”[MeSH Terms] OR “metformin”[tiab]) AND (“vitamin B12 deficiency”[MeSH Terms] OR “vitamin B12”[tiab] OR “cobalamin”[tiab]) AND (“diabetic neuropathies”[MeSH Terms] OR “peripheral neuropathy”[tiab] OR “diabetic neuropathy”[tiab]) AND (“diabetes mellitus, type 2”[MeSH Terms] OR “type 2 diabetes”[tiab] OR “T2DM”[tiab])).</w:t>
      </w:r>
    </w:p>
    <w:p>
      <w:pPr>
        <w:spacing w:after="140" w:line="290"/>
        <w:jc w:val="both"/>
      </w:pPr>
      <w:r>
        <w:rPr>
          <w:sz w:val="21"/>
          <w:szCs w:val="21"/>
        </w:rPr>
        <w:t xml:space="preserve">An adapted keyword-based string was applied to Google Scholar. The search was restricted to English-language publications; the resulting potential for language bias is acknowledged as a limitation (see Section 11) and should be removed in future updates of this review.</w:t>
      </w:r>
    </w:p>
    <w:p>
      <w:pPr>
        <w:pStyle w:val="Heading1"/>
        <w:spacing w:after="140" w:before="280"/>
      </w:pPr>
      <w:r>
        <w:rPr>
          <w:rFonts w:ascii="Arial" w:cs="Arial" w:eastAsia="Arial" w:hAnsi="Arial"/>
          <w:b/>
          <w:bCs/>
          <w:color w:val="1A3A5A"/>
          <w:sz w:val="28"/>
          <w:szCs w:val="28"/>
        </w:rPr>
        <w:t xml:space="preserve">5. Study Selection</w:t>
      </w:r>
    </w:p>
    <w:p>
      <w:pPr>
        <w:spacing w:after="140" w:line="290"/>
        <w:jc w:val="both"/>
      </w:pPr>
      <w:r>
        <w:rPr>
          <w:sz w:val="21"/>
          <w:szCs w:val="21"/>
        </w:rPr>
        <w:t xml:space="preserve">Two reviewers (N.M. and A.S.O.T.) independently screened titles and abstracts against the eligibility criteria, followed by independent full-text assessment. Disagreements not resolved by discussion were arbitrated by a third reviewer (N.M.S.). Inter-rater agreement for full-text eligibility was strong (Cohen’s κ = 0.82). The selection process is reported using a PRISMA 2020 flow diagram.</w:t>
      </w:r>
    </w:p>
    <w:p>
      <w:pPr>
        <w:pStyle w:val="Heading1"/>
        <w:spacing w:after="140" w:before="280"/>
      </w:pPr>
      <w:r>
        <w:rPr>
          <w:rFonts w:ascii="Arial" w:cs="Arial" w:eastAsia="Arial" w:hAnsi="Arial"/>
          <w:b/>
          <w:bCs/>
          <w:color w:val="1A3A5A"/>
          <w:sz w:val="28"/>
          <w:szCs w:val="28"/>
        </w:rPr>
        <w:t xml:space="preserve">6. Data Extraction</w:t>
      </w:r>
    </w:p>
    <w:p>
      <w:pPr>
        <w:spacing w:after="140" w:line="290"/>
        <w:jc w:val="both"/>
      </w:pPr>
      <w:r>
        <w:rPr>
          <w:sz w:val="21"/>
          <w:szCs w:val="21"/>
        </w:rPr>
        <w:t xml:space="preserve">Data were extracted independently by two reviewers (N.M. and T.R.) using a standardized extraction form, and verified by a third reviewer (M.M.). Extracted variables included: first author and year; country and setting; study design; sample size; demographics (age, sex, diabetes duration); metformin dose and duration; serum vitamin B12 levels and deficiency prevalence; neuropathy assessment tool; neuropathy outcome and direction of association; and key findings. Discrepancies were resolved by discussion.</w:t>
      </w:r>
    </w:p>
    <w:p>
      <w:pPr>
        <w:pStyle w:val="Heading1"/>
        <w:spacing w:after="140" w:before="280"/>
      </w:pPr>
      <w:r>
        <w:rPr>
          <w:rFonts w:ascii="Arial" w:cs="Arial" w:eastAsia="Arial" w:hAnsi="Arial"/>
          <w:b/>
          <w:bCs/>
          <w:color w:val="1A3A5A"/>
          <w:sz w:val="28"/>
          <w:szCs w:val="28"/>
        </w:rPr>
        <w:t xml:space="preserve">7. Risk of Bias and Certainty Assessment</w:t>
      </w:r>
    </w:p>
    <w:p>
      <w:pPr>
        <w:spacing w:after="140" w:line="290"/>
        <w:jc w:val="both"/>
      </w:pPr>
      <w:r>
        <w:rPr>
          <w:sz w:val="21"/>
          <w:szCs w:val="21"/>
        </w:rPr>
        <w:t xml:space="preserve">Methodological quality and risk of bias were assessed independently by two reviewers (N.M. and A.S.O.T.) using the Newcastle-Ottawa Scale (NOS). Cohort studies were scored across Selection, Comparability, and Outcome domains (maximum 9 stars); cross-sectional studies used an adapted NOS (maximum 10 stars). Scores ≥7 were classified as high quality, 5–6 moderate, and &lt;5 low. The GRADE framework was applied to rate the certainty of evidence for each outcome (High, Moderate, Low, Very Low), accounting for risk of bias, inconsistency, indirectness, imprecision, and publication bias.</w:t>
      </w:r>
    </w:p>
    <w:p>
      <w:pPr>
        <w:pStyle w:val="Heading1"/>
        <w:spacing w:after="140" w:before="280"/>
      </w:pPr>
      <w:r>
        <w:rPr>
          <w:rFonts w:ascii="Arial" w:cs="Arial" w:eastAsia="Arial" w:hAnsi="Arial"/>
          <w:b/>
          <w:bCs/>
          <w:color w:val="1A3A5A"/>
          <w:sz w:val="28"/>
          <w:szCs w:val="28"/>
        </w:rPr>
        <w:t xml:space="preserve">8. Outcomes</w:t>
      </w:r>
    </w:p>
    <w:p>
      <w:pPr>
        <w:pStyle w:val="ListParagraph"/>
        <w:numPr>
          <w:ilvl w:val="0"/>
          <w:numId w:val="2"/>
        </w:numPr>
        <w:spacing w:after="70" w:line="285"/>
      </w:pPr>
      <w:r>
        <w:rPr>
          <w:b/>
          <w:bCs/>
          <w:i w:val="false"/>
          <w:iCs w:val="false"/>
          <w:color w:val="000000"/>
          <w:sz w:val="21"/>
          <w:szCs w:val="21"/>
        </w:rPr>
        <w:t xml:space="preserve">Primary outcome 1: </w:t>
      </w:r>
      <w:r>
        <w:rPr>
          <w:b w:val="false"/>
          <w:bCs w:val="false"/>
          <w:i w:val="false"/>
          <w:iCs w:val="false"/>
          <w:color w:val="000000"/>
          <w:sz w:val="21"/>
          <w:szCs w:val="21"/>
        </w:rPr>
        <w:t xml:space="preserve">peripheral neuropathy in metformin users versus non-users.</w:t>
      </w:r>
    </w:p>
    <w:p>
      <w:pPr>
        <w:pStyle w:val="ListParagraph"/>
        <w:numPr>
          <w:ilvl w:val="0"/>
          <w:numId w:val="2"/>
        </w:numPr>
        <w:spacing w:after="70" w:line="285"/>
      </w:pPr>
      <w:r>
        <w:rPr>
          <w:b/>
          <w:bCs/>
          <w:i w:val="false"/>
          <w:iCs w:val="false"/>
          <w:color w:val="000000"/>
          <w:sz w:val="21"/>
          <w:szCs w:val="21"/>
        </w:rPr>
        <w:t xml:space="preserve">Primary outcome 2: </w:t>
      </w:r>
      <w:r>
        <w:rPr>
          <w:b w:val="false"/>
          <w:bCs w:val="false"/>
          <w:i w:val="false"/>
          <w:iCs w:val="false"/>
          <w:color w:val="000000"/>
          <w:sz w:val="21"/>
          <w:szCs w:val="21"/>
        </w:rPr>
        <w:t xml:space="preserve">peripheral neuropathy in patients with versus without vitamin B12 deficiency.</w:t>
      </w:r>
    </w:p>
    <w:p>
      <w:pPr>
        <w:pStyle w:val="ListParagraph"/>
        <w:numPr>
          <w:ilvl w:val="0"/>
          <w:numId w:val="2"/>
        </w:numPr>
        <w:spacing w:after="70" w:line="285"/>
      </w:pPr>
      <w:r>
        <w:rPr>
          <w:b/>
          <w:bCs/>
          <w:i w:val="false"/>
          <w:iCs w:val="false"/>
          <w:color w:val="000000"/>
          <w:sz w:val="21"/>
          <w:szCs w:val="21"/>
        </w:rPr>
        <w:t xml:space="preserve">Secondary outcome: </w:t>
      </w:r>
      <w:r>
        <w:rPr>
          <w:b w:val="false"/>
          <w:bCs w:val="false"/>
          <w:i w:val="false"/>
          <w:iCs w:val="false"/>
          <w:color w:val="000000"/>
          <w:sz w:val="21"/>
          <w:szCs w:val="21"/>
        </w:rPr>
        <w:t xml:space="preserve">prevalence of vitamin B12 deficiency among metformin-treated patients.</w:t>
      </w:r>
    </w:p>
    <w:p>
      <w:pPr>
        <w:pStyle w:val="Heading1"/>
        <w:spacing w:after="140" w:before="280"/>
      </w:pPr>
      <w:r>
        <w:rPr>
          <w:rFonts w:ascii="Arial" w:cs="Arial" w:eastAsia="Arial" w:hAnsi="Arial"/>
          <w:b/>
          <w:bCs/>
          <w:color w:val="1A3A5A"/>
          <w:sz w:val="28"/>
          <w:szCs w:val="28"/>
        </w:rPr>
        <w:t xml:space="preserve">9. Data Synthesis and Statistical Analysis</w:t>
      </w:r>
    </w:p>
    <w:p>
      <w:pPr>
        <w:spacing w:after="140" w:line="290"/>
        <w:jc w:val="both"/>
      </w:pPr>
      <w:r>
        <w:rPr>
          <w:sz w:val="21"/>
          <w:szCs w:val="21"/>
        </w:rPr>
        <w:t xml:space="preserve">A two-stage approach was adopted. A narrative synthesis organised findings across three domains: metformin’s effect on serum B12; the B12 deficiency–neuropathy association; and the metformin–neuropathy association. Where sufficient homogeneous data existed, pre-specified meta-analyses were conducted using the DerSimonian–Laird random-effects model.</w:t>
      </w:r>
    </w:p>
    <w:p>
      <w:pPr>
        <w:spacing w:after="140" w:line="290"/>
        <w:jc w:val="both"/>
      </w:pPr>
      <w:r>
        <w:rPr>
          <w:sz w:val="21"/>
          <w:szCs w:val="21"/>
        </w:rPr>
        <w:t xml:space="preserve">To preserve homogeneity of effect measures, comparative pooling was restricted to cross-sectional studies reporting crude odds ratios; cohort studies reporting adjusted hazard or odds ratios were summarised narratively. Prevalence data were synthesised using a logit transformation with a priori stratification by B12 diagnostic threshold. Heterogeneity was quantified with Cochran’s Q and the I² statistic. Pre-specified subgroup analyses (by study design, geographic region, and neuropathy assessment tool) and sensitivity analyses (leave-one-out and leave-India-out) were used to explore heterogeneity. Egger’s test was not performed owing to fewer than ten studies per analysis. All analyses were conducted in Python 3 (NumPy, SciPy).</w:t>
      </w:r>
    </w:p>
    <w:p>
      <w:pPr>
        <w:pStyle w:val="Heading1"/>
        <w:spacing w:after="140" w:before="280"/>
      </w:pPr>
      <w:r>
        <w:rPr>
          <w:rFonts w:ascii="Arial" w:cs="Arial" w:eastAsia="Arial" w:hAnsi="Arial"/>
          <w:b/>
          <w:bCs/>
          <w:color w:val="1A3A5A"/>
          <w:sz w:val="28"/>
          <w:szCs w:val="28"/>
        </w:rPr>
        <w:t xml:space="preserve">10. Reporting</w:t>
      </w:r>
    </w:p>
    <w:p>
      <w:pPr>
        <w:spacing w:after="140" w:line="290"/>
        <w:jc w:val="both"/>
      </w:pPr>
      <w:r>
        <w:rPr>
          <w:sz w:val="21"/>
          <w:szCs w:val="21"/>
        </w:rPr>
        <w:t xml:space="preserve">The review is reported in accordance with the PRISMA 2020 statement. A completed PRISMA 2020 checklist accompanies the manuscript. The review was prospectively registered in PROSPERO (CRD420261363992).</w:t>
      </w:r>
    </w:p>
    <w:p>
      <w:pPr>
        <w:pStyle w:val="Heading1"/>
        <w:spacing w:after="140" w:before="280"/>
      </w:pPr>
      <w:r>
        <w:rPr>
          <w:rFonts w:ascii="Arial" w:cs="Arial" w:eastAsia="Arial" w:hAnsi="Arial"/>
          <w:b/>
          <w:bCs/>
          <w:color w:val="1A3A5A"/>
          <w:sz w:val="28"/>
          <w:szCs w:val="28"/>
        </w:rPr>
        <w:t xml:space="preserve">11. Amendments to the Registered Protocol</w:t>
      </w:r>
    </w:p>
    <w:p>
      <w:pPr>
        <w:spacing w:after="140" w:line="290"/>
        <w:jc w:val="both"/>
      </w:pPr>
      <w:r>
        <w:rPr>
          <w:b w:val="false"/>
          <w:bCs w:val="false"/>
          <w:i/>
          <w:iCs/>
          <w:color w:val="000000"/>
          <w:sz w:val="21"/>
          <w:szCs w:val="21"/>
        </w:rPr>
        <w:t xml:space="preserve">The following amendments were made after the original PROSPERO registration. Each is reported here in the interest of full transparency (PRISMA 2020 item 24c). None of the amendments altered the primary review question; all were methodological refinements adopted to improve the validity and homogeneity of the synthesis.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
        <w:gridCol w:w="2550"/>
        <w:gridCol w:w="3050"/>
        <w:gridCol w:w="3140"/>
      </w:tblGrid>
      <w:tr>
        <w:trPr>
          <w:tblHeader/>
        </w:trPr>
        <w:tc>
          <w:tcPr>
            <w:tcW w:type="dxa" w:w="620"/>
            <w:tcBorders>
              <w:top w:val="single" w:color="AAAAAA" w:sz="1"/>
              <w:left w:val="single" w:color="AAAAAA" w:sz="1"/>
              <w:bottom w:val="single" w:color="AAAAAA" w:sz="1"/>
              <w:right w:val="single" w:color="AAAAAA" w:sz="1"/>
            </w:tcBorders>
            <w:shd w:fill="2C5F8A" w:val="clear"/>
            <w:tcMar>
              <w:top w:type="dxa" w:w="70"/>
              <w:left w:type="dxa" w:w="110"/>
              <w:bottom w:type="dxa" w:w="70"/>
              <w:right w:type="dxa" w:w="110"/>
            </w:tcMar>
            <w:vAlign w:val="center"/>
          </w:tcPr>
          <w:p>
            <w:pPr>
              <w:jc w:val="center"/>
            </w:pPr>
            <w:r>
              <w:rPr>
                <w:b/>
                <w:bCs/>
                <w:color w:val="FFFFFF"/>
                <w:sz w:val="19"/>
                <w:szCs w:val="19"/>
              </w:rPr>
              <w:t xml:space="preserve">No.</w:t>
            </w:r>
          </w:p>
        </w:tc>
        <w:tc>
          <w:tcPr>
            <w:tcW w:type="dxa" w:w="2550"/>
            <w:tcBorders>
              <w:top w:val="single" w:color="AAAAAA" w:sz="1"/>
              <w:left w:val="single" w:color="AAAAAA" w:sz="1"/>
              <w:bottom w:val="single" w:color="AAAAAA" w:sz="1"/>
              <w:right w:val="single" w:color="AAAAAA" w:sz="1"/>
            </w:tcBorders>
            <w:shd w:fill="2C5F8A" w:val="clear"/>
            <w:tcMar>
              <w:top w:type="dxa" w:w="70"/>
              <w:left w:type="dxa" w:w="110"/>
              <w:bottom w:type="dxa" w:w="70"/>
              <w:right w:type="dxa" w:w="110"/>
            </w:tcMar>
            <w:vAlign w:val="center"/>
          </w:tcPr>
          <w:p>
            <w:pPr>
              <w:jc w:val="left"/>
            </w:pPr>
            <w:r>
              <w:rPr>
                <w:b/>
                <w:bCs/>
                <w:color w:val="FFFFFF"/>
                <w:sz w:val="19"/>
                <w:szCs w:val="19"/>
              </w:rPr>
              <w:t xml:space="preserve">Protocol Element</w:t>
            </w:r>
          </w:p>
        </w:tc>
        <w:tc>
          <w:tcPr>
            <w:tcW w:type="dxa" w:w="3050"/>
            <w:tcBorders>
              <w:top w:val="single" w:color="AAAAAA" w:sz="1"/>
              <w:left w:val="single" w:color="AAAAAA" w:sz="1"/>
              <w:bottom w:val="single" w:color="AAAAAA" w:sz="1"/>
              <w:right w:val="single" w:color="AAAAAA" w:sz="1"/>
            </w:tcBorders>
            <w:shd w:fill="2C5F8A" w:val="clear"/>
            <w:tcMar>
              <w:top w:type="dxa" w:w="70"/>
              <w:left w:type="dxa" w:w="110"/>
              <w:bottom w:type="dxa" w:w="70"/>
              <w:right w:type="dxa" w:w="110"/>
            </w:tcMar>
            <w:vAlign w:val="center"/>
          </w:tcPr>
          <w:p>
            <w:pPr>
              <w:jc w:val="left"/>
            </w:pPr>
            <w:r>
              <w:rPr>
                <w:b/>
                <w:bCs/>
                <w:color w:val="FFFFFF"/>
                <w:sz w:val="19"/>
                <w:szCs w:val="19"/>
              </w:rPr>
              <w:t xml:space="preserve">As Originally Registered</w:t>
            </w:r>
          </w:p>
        </w:tc>
        <w:tc>
          <w:tcPr>
            <w:tcW w:type="dxa" w:w="3140"/>
            <w:tcBorders>
              <w:top w:val="single" w:color="AAAAAA" w:sz="1"/>
              <w:left w:val="single" w:color="AAAAAA" w:sz="1"/>
              <w:bottom w:val="single" w:color="AAAAAA" w:sz="1"/>
              <w:right w:val="single" w:color="AAAAAA" w:sz="1"/>
            </w:tcBorders>
            <w:shd w:fill="2C5F8A" w:val="clear"/>
            <w:tcMar>
              <w:top w:type="dxa" w:w="70"/>
              <w:left w:type="dxa" w:w="110"/>
              <w:bottom w:type="dxa" w:w="70"/>
              <w:right w:type="dxa" w:w="110"/>
            </w:tcMar>
            <w:vAlign w:val="center"/>
          </w:tcPr>
          <w:p>
            <w:pPr>
              <w:jc w:val="left"/>
            </w:pPr>
            <w:r>
              <w:rPr>
                <w:b/>
                <w:bCs/>
                <w:color w:val="FFFFFF"/>
                <w:sz w:val="19"/>
                <w:szCs w:val="19"/>
              </w:rPr>
              <w:t xml:space="preserve">Amendment and Rationale</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1</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Number of included studies</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anticipated approximately 17 studies based on the initial scoping search.</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Twenty studies were included after the full search and addition of three further eligible studies (Singh 2013, Jayashankar 2021, Alvarez 2019) identified through backward citation searching.</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2</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Risk-of-bias / quality assessment tool</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planned use of the Cochrane Risk of Bias tool.</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The Newcastle-Ottawa Scale (NOS) was used instead, as the evidence base was exclusively observational; the Cochrane RoB-2 tool is designed for randomized controlled trials, which were absent from the review.</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3</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Handling of studies without a non-metformin comparator</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did not pre-specify treatment of single-arm studies.</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Studies lacking a non-metformin comparator (Gupta 2018; Alvarez 2019) were retained as included studies contributing to the prevalence analysis (MA3) or narrative synthesis, but were not entered into the comparative pooled analyses (MA1).</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4</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Inclusion of Singh et al. (2013) in pooled analysis</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Planned to pool all eligible cross-sectional studies reporting a neuropathy outcome.</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Singh et al. (2013) reported only continuous Toronto Clinical Neuropathy Scores in the available record, without extractable binary event counts. It was therefore summarised narratively (standardised mean difference) and excluded from the binary pooled estimate.</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5</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Vitamin B12 deficiency threshold for MA2 pooling</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Planned a single pooled analysis of B12 deficiency and neuropathy.</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Alvarez et al. (2019) applied a broader threshold (≤300 pg/mL) and included prediabetes; it was summarised narratively. The MA2 pooled estimate was restricted to four T2DM-specific studies using consistent thresholds, with a pre-specified sensitivity analysis.</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6</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Assessment of publication bias</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planned Egger’s regression test for small-study effects.</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Egger’s test was not performed because fewer than ten studies were available per meta-analysis, a threshold below which the test is statistically unreliable. Funnel plots were inspected visually for descriptive purposes only.</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7</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Subgroup and sensitivity analyses</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pre-specified subgroup analysis by study design and region.</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Additional subgroup analysis by neuropathy assessment tool, a leave-one-out sensitivity analysis, and a leave-India-out regional sensitivity analysis were added to explore the observed heterogeneity.</w:t>
            </w:r>
          </w:p>
        </w:tc>
      </w:tr>
      <w:tr>
        <w:tc>
          <w:tcPr>
            <w:tcW w:type="dxa" w:w="62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center"/>
            </w:pPr>
            <w:r>
              <w:rPr>
                <w:b w:val="false"/>
                <w:bCs w:val="false"/>
                <w:color w:val="000000"/>
                <w:sz w:val="19"/>
                <w:szCs w:val="19"/>
              </w:rPr>
              <w:t xml:space="preserve">8</w:t>
            </w:r>
          </w:p>
        </w:tc>
        <w:tc>
          <w:tcPr>
            <w:tcW w:type="dxa" w:w="25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bCs/>
                <w:color w:val="000000"/>
                <w:sz w:val="19"/>
                <w:szCs w:val="19"/>
              </w:rPr>
              <w:t xml:space="preserve">Language restriction</w:t>
            </w:r>
          </w:p>
        </w:tc>
        <w:tc>
          <w:tcPr>
            <w:tcW w:type="dxa" w:w="305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Protocol applied an English-language restriction to the search.</w:t>
            </w:r>
          </w:p>
        </w:tc>
        <w:tc>
          <w:tcPr>
            <w:tcW w:type="dxa" w:w="3140"/>
            <w:tcBorders>
              <w:top w:val="single" w:color="AAAAAA" w:sz="1"/>
              <w:left w:val="single" w:color="AAAAAA" w:sz="1"/>
              <w:bottom w:val="single" w:color="AAAAAA" w:sz="1"/>
              <w:right w:val="single" w:color="AAAAAA" w:sz="1"/>
            </w:tcBorders>
            <w:tcMar>
              <w:top w:type="dxa" w:w="70"/>
              <w:left w:type="dxa" w:w="110"/>
              <w:bottom w:type="dxa" w:w="70"/>
              <w:right w:type="dxa" w:w="110"/>
            </w:tcMar>
            <w:vAlign w:val="center"/>
          </w:tcPr>
          <w:p>
            <w:pPr>
              <w:jc w:val="left"/>
            </w:pPr>
            <w:r>
              <w:rPr>
                <w:b w:val="false"/>
                <w:bCs w:val="false"/>
                <w:color w:val="000000"/>
                <w:sz w:val="19"/>
                <w:szCs w:val="19"/>
              </w:rPr>
              <w:t xml:space="preserve">The English-language restriction was retained for pragmatic (translation-resource) reasons, but is now explicitly acknowledged as a source of potential language (“Tower of Babel”) bias in the Limitations section, consistent with Cochrane, Campbell, JBI, and AMSTAR guidance. Future updates will remove language limits.</w:t>
            </w:r>
          </w:p>
        </w:tc>
      </w:tr>
    </w:tbl>
    <w:p>
      <w:pPr>
        <w:spacing w:after="240" w:line="290"/>
        <w:jc w:val="both"/>
      </w:pPr>
      <w:r>
        <w:rPr>
          <w:b/>
          <w:bCs/>
          <w:i w:val="false"/>
          <w:iCs w:val="false"/>
          <w:color w:val="000000"/>
          <w:sz w:val="21"/>
          <w:szCs w:val="21"/>
        </w:rPr>
        <w:t xml:space="preserve">Summary. </w:t>
      </w:r>
      <w:r>
        <w:rPr>
          <w:b w:val="false"/>
          <w:bCs w:val="false"/>
          <w:i w:val="false"/>
          <w:iCs w:val="false"/>
          <w:color w:val="000000"/>
          <w:sz w:val="21"/>
          <w:szCs w:val="21"/>
        </w:rPr>
        <w:t xml:space="preserve">All amendments were prompted by the characteristics of the evidence base as it emerged during full-text review (an exclusively observational literature, heterogeneous neuropathy assessment tools and B12 thresholds, and a small number of studies per analysis). They were applied consistently and are fully reflected in the final manuscript’s Methods section.</w:t>
      </w:r>
    </w:p>
    <w:p>
      <w:pPr>
        <w:spacing w:before="200"/>
      </w:pPr>
      <w:r>
        <w:rPr>
          <w:i/>
          <w:iCs/>
          <w:color w:val="555555"/>
          <w:sz w:val="17"/>
          <w:szCs w:val="17"/>
        </w:rPr>
        <w:t xml:space="preserve">Review team: Noura Mohammed; Awad Sirelkhatim Osman Taha; Noura MohamedSalih; Mishaal Mohammed; Thoiba Rahama; Nadir Abdelrahman; Maha Osman Abdullah Idris; Nafisa Saeed; Noon Abdalazeem Abbas Mustafa. Faculty of Medicine and Surgery, Karary University, Omdurman, Sudan. Corresponding author: nourasatti40@gmail.com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2026-05-23T15:48:10.429Z</dcterms:created>
  <dcterms:modified xsi:type="dcterms:W3CDTF">2026-05-23T15:48:10.429Z</dcterms:modified>
</cp:coreProperties>
</file>

<file path=docProps/custom.xml><?xml version="1.0" encoding="utf-8"?>
<Properties xmlns="http://schemas.openxmlformats.org/officeDocument/2006/custom-properties" xmlns:vt="http://schemas.openxmlformats.org/officeDocument/2006/docPropsVTypes"/>
</file>